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Specimen: Right breast, tru cut biopsy</w:t>
      </w:r>
    </w:p>
    <w:p>
      <w:r>
        <w:t>Diagnosis: Tiny fragments of invasive carcinoma with lobular features, grade 1</w:t>
      </w:r>
    </w:p>
    <w:p>
      <w:r>
        <w:t>Nottingham Histologic Score: 5/9</w:t>
      </w:r>
    </w:p>
    <w:p>
      <w:r>
        <w:t>Estrogen Receptors: Positive, Moderate, in 90% of tumor cell nuclei</w:t>
      </w:r>
    </w:p>
    <w:p>
      <w:r>
        <w:t>Progesterone Receptors: Positive, Moderate, in 50% of tumor cell nuclei</w:t>
      </w:r>
    </w:p>
    <w:p>
      <w:r>
        <w:t>HER-2/neu Overexpression: Positive, score (3+)</w:t>
      </w:r>
    </w:p>
    <w:p>
      <w:r>
        <w:t>Clinical Note: HER-2/neu positivity is unusual for classic lobular carcinoma; repeat immunostains may be indicated</w:t>
      </w:r>
    </w:p>
    <w:p>
      <w:pPr>
        <w:pStyle w:val="Heading1"/>
      </w:pPr>
      <w:r>
        <w:t>Pedigree Analysis</w:t>
      </w:r>
    </w:p>
    <w:p>
      <w:r>
        <w:t>Generation II:</w:t>
      </w:r>
    </w:p>
    <w:p>
      <w:pPr>
        <w:pStyle w:val="ListBullet"/>
      </w:pPr>
      <w:r>
        <w:t xml:space="preserve">    Relation: Parent</w:t>
      </w:r>
    </w:p>
    <w:p>
      <w:pPr>
        <w:pStyle w:val="ListBullet"/>
      </w:pPr>
      <w:r>
        <w:t xml:space="preserve">    Health History: ['Dementia at age 55', 'Stroke at age 50']</w:t>
      </w:r>
    </w:p>
    <w:p>
      <w:pPr>
        <w:pStyle w:val="ListBullet"/>
      </w:pPr>
      <w:r>
        <w:t xml:space="preserve">    Relation: Uncle</w:t>
      </w:r>
    </w:p>
    <w:p>
      <w:pPr>
        <w:pStyle w:val="ListBullet"/>
      </w:pPr>
      <w:r>
        <w:t xml:space="preserve">    Health History: ['Prostate cancer at age 65']</w:t>
      </w:r>
    </w:p>
    <w:p>
      <w:r>
        <w:t>Generation III:</w:t>
      </w:r>
    </w:p>
    <w:p>
      <w:pPr>
        <w:pStyle w:val="ListBullet"/>
      </w:pPr>
      <w:r>
        <w:t xml:space="preserve">    Relation: Patient</w:t>
      </w:r>
    </w:p>
    <w:p>
      <w:pPr>
        <w:pStyle w:val="ListBullet"/>
      </w:pPr>
      <w:r>
        <w:t xml:space="preserve">    Health History: ['Breast cancer at age 35', '(ER+, PR+, HER2-)']</w:t>
      </w:r>
    </w:p>
    <w:p>
      <w:pPr>
        <w:pStyle w:val="ListBullet"/>
      </w:pPr>
      <w:r>
        <w:t xml:space="preserve">    Relation: Cousin</w:t>
      </w:r>
    </w:p>
    <w:p>
      <w:pPr>
        <w:pStyle w:val="ListBullet"/>
      </w:pPr>
      <w:r>
        <w:t xml:space="preserve">    Health History: ['Breast cancer at age 35', '(ER+, PR+, HER2-)']</w:t>
      </w:r>
    </w:p>
    <w:p>
      <w:pPr>
        <w:pStyle w:val="Heading1"/>
      </w:pPr>
      <w:r>
        <w:t>NCCN Testing Criteria Assessment</w:t>
      </w:r>
    </w:p>
    <w:p>
      <w:r>
        <w:t>Fulfilling with NCCN: Manchester score and BOADICEA risk noted but values not provided; significance in patient assessment for BRCA testing</w:t>
      </w:r>
    </w:p>
    <w:p>
      <w:pPr>
        <w:pStyle w:val="Heading1"/>
      </w:pPr>
      <w:r>
        <w:t>Conclusion</w:t>
      </w:r>
    </w:p>
    <w:p>
      <w:r>
        <w:t>Summary: The report indicates a familial pattern of breast cancer with positive hormone receptor status. HER-2/neu overexpression is atypical, suggesting further testing. Genetic consultation is suggested based on family history and diagnostic findings to consider BRCA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