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Medical Report</w:t>
      </w:r>
    </w:p>
    <w:p>
      <w:pPr>
        <w:pStyle w:val="Heading1"/>
      </w:pPr>
      <w:r>
        <w:t>Pathology Report Summary</w:t>
      </w:r>
    </w:p>
    <w:p>
      <w:r>
        <w:t>Clinical History: A case of breast cancer, for review.</w:t>
      </w:r>
    </w:p>
    <w:p>
      <w:r>
        <w:t>Specimen: Right breast, tru cut biopsy.</w:t>
      </w:r>
    </w:p>
    <w:p>
      <w:r>
        <w:t>Diagnosis: Tiny fragments of invasive carcinoma with lobular features grade 1.</w:t>
      </w:r>
    </w:p>
    <w:p>
      <w:r>
        <w:t>Nottingham Score: 5/9 (Tubular differentiation: 3/3, Nuclear pleomorphism: 1/3, Mitotic activity: 1/3)</w:t>
      </w:r>
    </w:p>
    <w:p>
      <w:r>
        <w:t>Receptor Status:</w:t>
      </w:r>
    </w:p>
    <w:p>
      <w:pPr>
        <w:pStyle w:val="ListBullet"/>
      </w:pPr>
      <w:r>
        <w:t xml:space="preserve">    Estrogen Receptors: Positive, Moderate, 90%</w:t>
      </w:r>
    </w:p>
    <w:p>
      <w:pPr>
        <w:pStyle w:val="ListBullet"/>
      </w:pPr>
      <w:r>
        <w:t xml:space="preserve">    Progesterone Receptors: Positive, Moderate, 50%</w:t>
      </w:r>
    </w:p>
    <w:p>
      <w:pPr>
        <w:pStyle w:val="ListBullet"/>
      </w:pPr>
      <w:r>
        <w:t xml:space="preserve">    HER-2/neu: Positive, score(3+)</w:t>
      </w:r>
    </w:p>
    <w:p>
      <w:r>
        <w:t>Note: HER-2/neu positivity is unusual for classic lobular carcinoma; repeat immunostains may be indicated.</w:t>
      </w:r>
    </w:p>
    <w:p>
      <w:pPr>
        <w:pStyle w:val="Heading1"/>
      </w:pPr>
      <w:r>
        <w:t>Pedigree Analysis</w:t>
      </w:r>
    </w:p>
    <w:p>
      <w:r>
        <w:t>Generations:</w:t>
      </w:r>
    </w:p>
    <w:p>
      <w:pPr>
        <w:pStyle w:val="ListBullet"/>
      </w:pPr>
      <w:r>
        <w:t xml:space="preserve">    Generation I: ['GPs', 'Great Aunts', 'Great Uncle']</w:t>
      </w:r>
    </w:p>
    <w:p>
      <w:pPr>
        <w:pStyle w:val="ListBullet"/>
      </w:pPr>
      <w:r>
        <w:t xml:space="preserve">    Generation II: [{'Individual': 'Parent', 'Age': 55, 'Conditions': ['Prostate cancer at 60']}, {'Individual': 'Aunt/Uncle', 'Age': 60, 'Conditions': ['Pancreatic cancer']}]</w:t>
      </w:r>
    </w:p>
    <w:p>
      <w:pPr>
        <w:pStyle w:val="ListBullet"/>
      </w:pPr>
      <w:r>
        <w:t xml:space="preserve">    Generation III: [{'Individual': 'Patient', 'Conditions': ['Breast cancer at 35']}, {'Individual': 'Sibling', 'Age': 59, 'Conditions': []}]</w:t>
      </w:r>
    </w:p>
    <w:p>
      <w:pPr>
        <w:pStyle w:val="ListBullet"/>
      </w:pPr>
      <w:r>
        <w:t xml:space="preserve">    Generation IV: ['Children', 'Nieces', 'Nephews']</w:t>
      </w:r>
    </w:p>
    <w:p>
      <w:pPr>
        <w:pStyle w:val="Heading1"/>
      </w:pPr>
      <w:r>
        <w:t>NCCN Testing Criteria Assessment</w:t>
      </w:r>
    </w:p>
    <w:p>
      <w:r>
        <w:t>Fulfillment: Hereditary breast and ovarian cancer syndrome criteria likely met due to breast cancer at age 35 and family history of related cancers.</w:t>
      </w:r>
    </w:p>
    <w:p>
      <w:pPr>
        <w:pStyle w:val="Heading1"/>
      </w:pPr>
      <w:r>
        <w:t>Conclusion</w:t>
      </w:r>
    </w:p>
    <w:p>
      <w:r>
        <w:t>Summary: The pathology indicates invasive lobular carcinoma with unusual HER-2 positivity. The family history suggests a possible genetic predisposition given multiple cancer cases across generations.</w:t>
      </w:r>
    </w:p>
    <w:p>
      <w:r>
        <w:t>Recommendations: Repeat HER-2 testing on larger biopsies, consider genetic counseling and testing for the patient and family.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