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Outside case for assessment of immunostains.</w:t>
      </w:r>
    </w:p>
    <w:p>
      <w:r>
        <w:t>Specimen: Right breast mass, tru-cut biopsy.</w:t>
      </w:r>
    </w:p>
    <w:p>
      <w:r>
        <w:t>Diagnosis: Invasive ductal carcinoma, grade 3. High-grade ductal carcinoma in situ with comedo necrosis.</w:t>
      </w:r>
    </w:p>
    <w:p>
      <w:r>
        <w:t>Nottingham Score: 8/9 (Tubular differentiation: 3/3, Nuclear pleomorphism: 3/3, Mitotic activity: 2/3)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HER-2/neu: Negative, score (0)</w:t>
      </w:r>
    </w:p>
    <w:p>
      <w:r>
        <w:t>Note: HER-2/neu, estrogen, and progesterone receptors negative. Ki67 proliferative index: 70%. p63 shows few myoepithelial cells around ducts involved by DCIS.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['GPs', 'Great Aunts', 'Great Uncle']</w:t>
      </w:r>
    </w:p>
    <w:p>
      <w:pPr>
        <w:pStyle w:val="ListBullet"/>
      </w:pPr>
      <w:r>
        <w:t xml:space="preserve">    Generation II: []</w:t>
      </w:r>
    </w:p>
    <w:p>
      <w:pPr>
        <w:pStyle w:val="ListBullet"/>
      </w:pPr>
      <w:r>
        <w:t xml:space="preserve">    Generation III: [{'Individual': 'Patient', 'Age': 55, 'Conditions': ['Breast cancer at 50', 'Triple-negative (ER-, PR-, HER2-)']}]</w:t>
      </w:r>
    </w:p>
    <w:p>
      <w:pPr>
        <w:pStyle w:val="ListBullet"/>
      </w:pPr>
      <w:r>
        <w:t xml:space="preserve">    Generation IV: ['Children', 'Nieces', 'Nephews']</w:t>
      </w:r>
    </w:p>
    <w:p>
      <w:pPr>
        <w:pStyle w:val="Heading1"/>
      </w:pPr>
      <w:r>
        <w:t>NCCN Testing Criteria Assessment</w:t>
      </w:r>
    </w:p>
    <w:p>
      <w:r>
        <w:t>Fulfillment: Possible hereditary cancer syndrome due to triple-negative breast cancer at age 50 and family history.</w:t>
      </w:r>
    </w:p>
    <w:p>
      <w:pPr>
        <w:pStyle w:val="Heading1"/>
      </w:pPr>
      <w:r>
        <w:t>Conclusion</w:t>
      </w:r>
    </w:p>
    <w:p>
      <w:r>
        <w:t>Summary: The pathology indicates a high-grade invasive ductal carcinoma with triple-negative receptor status. The genetic predisposition is suggested by the family history.</w:t>
      </w:r>
    </w:p>
    <w:p>
      <w:r>
        <w:t>Recommendations: Consider genetic counseling and testing for BRCA1/BRCA2 mutations. Close monitoring and screening for family members may be advisable.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