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FD679" w14:textId="77777777" w:rsidR="00DB51DF" w:rsidRDefault="00000000" w:rsidP="007501C7">
      <w:pPr>
        <w:pStyle w:val="Heading1"/>
        <w:numPr>
          <w:ilvl w:val="0"/>
          <w:numId w:val="0"/>
        </w:numPr>
        <w:ind w:left="360" w:hanging="360"/>
      </w:pPr>
      <w:r>
        <w:t>Pathology Report</w:t>
      </w:r>
    </w:p>
    <w:p w14:paraId="11D390BD" w14:textId="77777777" w:rsidR="00DB51DF" w:rsidRDefault="00000000">
      <w:r>
        <w:t>Case Number: 32</w:t>
      </w:r>
    </w:p>
    <w:p w14:paraId="7C645FA6" w14:textId="36DD2E6D" w:rsidR="00DB51DF" w:rsidRDefault="00000000">
      <w:r>
        <w:t xml:space="preserve">Age of </w:t>
      </w:r>
      <w:r w:rsidR="00044A18">
        <w:t xml:space="preserve">diagnosis for </w:t>
      </w:r>
      <w:r>
        <w:t>Affected Patient: 34</w:t>
      </w:r>
    </w:p>
    <w:p w14:paraId="31B65DF7" w14:textId="77777777" w:rsidR="00DB51DF" w:rsidRDefault="00000000">
      <w:r>
        <w:t>Family History: Father pancreatic cancer</w:t>
      </w:r>
    </w:p>
    <w:p w14:paraId="689CBF97" w14:textId="77777777" w:rsidR="007501C7" w:rsidRDefault="007501C7"/>
    <w:p w14:paraId="26908544" w14:textId="76CAC0AD" w:rsidR="007501C7" w:rsidRPr="000F5EB8" w:rsidRDefault="007501C7" w:rsidP="007501C7">
      <w:pPr>
        <w:spacing w:after="160" w:line="259" w:lineRule="auto"/>
        <w:rPr>
          <w:rFonts w:asciiTheme="majorBidi" w:hAnsiTheme="majorBidi" w:cstheme="majorBidi"/>
        </w:rPr>
      </w:pPr>
      <w:r w:rsidRPr="000F5EB8">
        <w:rPr>
          <w:rFonts w:asciiTheme="majorBidi" w:hAnsiTheme="majorBidi" w:cstheme="majorBidi"/>
        </w:rPr>
        <w:t xml:space="preserve">Diagnosis: Invasive carcinoma with lobular features (Grade </w:t>
      </w:r>
      <w:r>
        <w:rPr>
          <w:rFonts w:asciiTheme="majorBidi" w:hAnsiTheme="majorBidi" w:cstheme="majorBidi"/>
        </w:rPr>
        <w:t>2</w:t>
      </w:r>
      <w:r w:rsidRPr="000F5EB8">
        <w:rPr>
          <w:rFonts w:asciiTheme="majorBidi" w:hAnsiTheme="majorBidi" w:cstheme="majorBidi"/>
        </w:rPr>
        <w:t>).</w:t>
      </w:r>
    </w:p>
    <w:p w14:paraId="1A1EB19D" w14:textId="298BC6F9" w:rsidR="007501C7" w:rsidRPr="007501C7" w:rsidRDefault="007501C7" w:rsidP="007501C7">
      <w:pPr>
        <w:rPr>
          <w:rFonts w:asciiTheme="majorBidi" w:hAnsiTheme="majorBidi" w:cstheme="majorBidi"/>
        </w:rPr>
      </w:pPr>
      <w:r w:rsidRPr="000F5EB8">
        <w:rPr>
          <w:rFonts w:asciiTheme="majorBidi" w:hAnsiTheme="majorBidi" w:cstheme="majorBidi"/>
        </w:rPr>
        <w:t>Hormone Receptor Status:</w:t>
      </w:r>
    </w:p>
    <w:p w14:paraId="3C3F8D8B" w14:textId="77777777" w:rsidR="00DB51DF" w:rsidRDefault="00000000">
      <w:r>
        <w:t>ER Status: Negative</w:t>
      </w:r>
    </w:p>
    <w:p w14:paraId="6D25EBE7" w14:textId="77777777" w:rsidR="00DB51DF" w:rsidRDefault="00000000">
      <w:r>
        <w:t>PR Status: Negative</w:t>
      </w:r>
    </w:p>
    <w:p w14:paraId="62D7F806" w14:textId="77777777" w:rsidR="00DB51DF" w:rsidRDefault="00000000">
      <w:r>
        <w:t>HER2 Status: Negative</w:t>
      </w:r>
    </w:p>
    <w:sectPr w:rsidR="00DB51DF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45277412">
    <w:abstractNumId w:val="1"/>
  </w:num>
  <w:num w:numId="2" w16cid:durableId="1693802600">
    <w:abstractNumId w:val="2"/>
  </w:num>
  <w:num w:numId="3" w16cid:durableId="261184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1DF"/>
    <w:rsid w:val="00044A18"/>
    <w:rsid w:val="007501C7"/>
    <w:rsid w:val="00B0337F"/>
    <w:rsid w:val="00DB5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3814F"/>
  <w15:docId w15:val="{9F000F73-2FE3-43E0-9689-833361594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Lama AbdelKarim Mahmoud Abujamous</cp:lastModifiedBy>
  <cp:revision>12</cp:revision>
  <dcterms:created xsi:type="dcterms:W3CDTF">2017-02-28T11:18:00Z</dcterms:created>
  <dcterms:modified xsi:type="dcterms:W3CDTF">2025-01-22T10:07:00Z</dcterms:modified>
  <cp:category/>
</cp:coreProperties>
</file>