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8D78C" w14:textId="65FF9A98" w:rsidR="00317040" w:rsidRDefault="00BC6A10">
      <w:hyperlink r:id="rId4" w:history="1">
        <w:r w:rsidRPr="00191D26">
          <w:rPr>
            <w:rStyle w:val="Hyperlink"/>
          </w:rPr>
          <w:t>https://www.kaggle.com/mmattson/who-national-life-expectancy</w:t>
        </w:r>
      </w:hyperlink>
      <w:r>
        <w:t xml:space="preserve">  </w:t>
      </w:r>
    </w:p>
    <w:sectPr w:rsidR="0031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10"/>
    <w:rsid w:val="00317040"/>
    <w:rsid w:val="00BC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69F0"/>
  <w15:chartTrackingRefBased/>
  <w15:docId w15:val="{1A3D57D3-72C1-41A9-BF9C-3A40C99F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mattson/who-national-life-expecta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</cp:revision>
  <dcterms:created xsi:type="dcterms:W3CDTF">2021-05-17T09:18:00Z</dcterms:created>
  <dcterms:modified xsi:type="dcterms:W3CDTF">2021-05-17T09:19:00Z</dcterms:modified>
</cp:coreProperties>
</file>