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2A32B" w14:textId="66942C91" w:rsidR="00217FF0" w:rsidRDefault="00731439">
      <w:hyperlink r:id="rId4" w:history="1">
        <w:r w:rsidRPr="00110740">
          <w:rPr>
            <w:rStyle w:val="Hyperlink"/>
          </w:rPr>
          <w:t>https://www.kaggle.com/twinkle0705/mental-health-and-suicide-rates</w:t>
        </w:r>
      </w:hyperlink>
      <w:r>
        <w:t xml:space="preserve"> </w:t>
      </w:r>
    </w:p>
    <w:sectPr w:rsidR="00217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1MDYzNDA3MzE2NDBT0lEKTi0uzszPAykwrAUANkOW9CwAAAA="/>
  </w:docVars>
  <w:rsids>
    <w:rsidRoot w:val="00731439"/>
    <w:rsid w:val="00217FF0"/>
    <w:rsid w:val="0073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E1DB"/>
  <w15:chartTrackingRefBased/>
  <w15:docId w15:val="{A63E6E64-1B9F-4303-8AFD-265EC81CE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twinkle0705/mental-health-and-suicide-r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1</cp:revision>
  <dcterms:created xsi:type="dcterms:W3CDTF">2021-05-14T22:06:00Z</dcterms:created>
  <dcterms:modified xsi:type="dcterms:W3CDTF">2021-05-14T22:07:00Z</dcterms:modified>
</cp:coreProperties>
</file>