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80" w:lineRule="auto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36"/>
          <w:szCs w:val="36"/>
        </w:rPr>
        <w:t xml:space="preserve">作业 1　分类器性能评估：P-R 曲线、BEP 与 F1</w:t>
      </w:r>
    </w:p>
    <w:p>
      <w:pPr>
        <w:spacing w:after="160" w:before="0" w:line="280" w:lineRule="auto"/>
        <w:jc w:val="center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姓名：刘佳鹏　　　　日期：2026 年 10 月 25 日</w:t>
      </w:r>
    </w:p>
    <w:p>
      <w:pPr>
        <w:spacing w:after="120" w:before="40" w:line="260" w:lineRule="auto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本作业共两问：题目 1 要求绘制分类器 A、B 的 P-R 曲线并判断哪个分类器更好，对应第四章（图 1、图 2）与 4.3 的比较、第六章的结论；题目 2 要求估算 P-R 曲线 BEP 附近的 P 值、R 值并据此计算 F1，对应第五章。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一、题目与数据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本作业给定 20 张图片样本（其中小狗 10 张、小猫 10 张），要求评估分类器 A、B 的识别效果。题目约定：小狗为正例，小猫为反例，分类器的输出为“该样本属于小狗”的概率。表 1、表 2 分别给出分类器 A、B 的样本真实值与预测概率值。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需要特别注意：两表的样本序号互不对应，同一行并不一定是同一个样本，且两表各自已按预测概率从大到小排好序。因此 A、B 必须分别独立计算，不能把两表的行配对使用。</w:t>
      </w:r>
    </w:p>
    <w:p>
      <w:pPr>
        <w:keepNext/>
        <w:spacing w:after="60" w:before="12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表 1　分类器 A 的样本真实值与预测概率值</w:t>
      </w:r>
    </w:p>
    <w:tbl>
      <w:tblPr>
        <w:tblW w:type="dxa" w:w="87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1600"/>
        <w:gridCol w:w="1600"/>
        <w:gridCol w:w="1150"/>
        <w:gridCol w:w="1600"/>
        <w:gridCol w:w="1600"/>
      </w:tblGrid>
      <w:tr>
        <w:trPr>
          <w:cantSplit/>
          <w:tblHeader/>
        </w:trPr>
        <w:tc>
          <w:tcPr>
            <w:tcW w:type="dxa" w:w="115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真实值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预测概率值</w:t>
            </w:r>
          </w:p>
        </w:tc>
        <w:tc>
          <w:tcPr>
            <w:tcW w:type="dxa" w:w="115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真实值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预测概率值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0.47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0.43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0.42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0.53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0.29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0.51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0.12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0.06</w:t>
            </w:r>
          </w:p>
        </w:tc>
      </w:tr>
    </w:tbl>
    <w:p>
      <w:pPr>
        <w:spacing w:after="120" w:before="40" w:line="260" w:lineRule="auto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注：序号 1~10 为左半栏、11~20 为右半栏，已按预测概率降序排列。</w:t>
      </w:r>
    </w:p>
    <w:p>
      <w:pPr>
        <w:keepNext/>
        <w:spacing w:after="60" w:before="12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表 2　分类器 B 的样本真实值与预测概率值</w:t>
      </w:r>
    </w:p>
    <w:tbl>
      <w:tblPr>
        <w:tblW w:type="dxa" w:w="87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1600"/>
        <w:gridCol w:w="1600"/>
        <w:gridCol w:w="1150"/>
        <w:gridCol w:w="1600"/>
        <w:gridCol w:w="1600"/>
      </w:tblGrid>
      <w:tr>
        <w:trPr>
          <w:cantSplit/>
          <w:tblHeader/>
        </w:trPr>
        <w:tc>
          <w:tcPr>
            <w:tcW w:type="dxa" w:w="115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真实值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预测概率值</w:t>
            </w:r>
          </w:p>
        </w:tc>
        <w:tc>
          <w:tcPr>
            <w:tcW w:type="dxa" w:w="115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真实值</w:t>
            </w:r>
          </w:p>
        </w:tc>
        <w:tc>
          <w:tcPr>
            <w:tcW w:type="dxa" w:w="1600"/>
            <w:tcBorders>
              <w:bottom w:val="single" w:color="000000" w:sz="4"/>
            </w:tcBorders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预测概率值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0.45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0.38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0.25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0.55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0.52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0.09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小狗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dxa" w:w="115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小猫</w:t>
            </w:r>
          </w:p>
        </w:tc>
        <w:tc>
          <w:tcPr>
            <w:tcW w:type="dxa" w:w="1600"/>
            <w:tcMar>
              <w:top w:type="dxa" w:w="16"/>
              <w:left w:type="dxa" w:w="40"/>
              <w:bottom w:type="dxa" w:w="16"/>
              <w:right w:type="dxa" w:w="40"/>
            </w:tcMar>
            <w:vAlign w:val="center"/>
          </w:tcPr>
          <w:p>
            <w:pPr>
              <w:spacing w:after="0" w:before="0" w:line="220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0.02</w:t>
            </w:r>
          </w:p>
        </w:tc>
      </w:tr>
    </w:tbl>
    <w:p>
      <w:pPr>
        <w:spacing w:after="120" w:before="40" w:line="260" w:lineRule="auto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注：与表 1 相同，表 2 的序号与表 1 的序号无对应关系。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二、评价指标与计算规则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2.1 混淆矩阵的四个量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TP（真正例）：真实为小狗，且被判为小狗；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FP（假正例）：真实为小猫，却被判为小狗；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FN（假反例）：真实为小狗，却被判为小猫；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TN（真反例）：真实为小猫，且被判为小猫。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2.2 查准率、查全率与 F1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查准率（精确率）：P = TP / (TP + FP)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查全率（召回率）：R = TP / (TP + FN) = TP / 10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度量：F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2PR / (P + R) = 2TP / (2TP + FP + FN)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由于正例总数恒为 10，查全率的分母固定为 10，而不是“被判为正例的样本数”；这是本题最容易出错的地方。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2.3 阈值的取法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把 20 个样本的预测概率由大到小作为 20 个阈值 t₁ &gt; t₂ &gt; … &gt; t₂₀（即表 1、表 2 中每一行的概率值对应一个阈值），当且仅当样本的预测概率 p ≥ t 时判为正例（小狗），否则判为反例（小猫）。阈值由高到低变化，就得到 P-R 曲线上的一串点。此外，曲线还应以“全部样本都判为反例”为起点，此时 P = 1、R = 0。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2.4 两点约定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（1）起点处 TP + FP = 0，查准率无定义，本文按通行约定记为 P = 1、R = 0（与 sklearn 的做法一致）。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（2）BEP（Break-Even Point，平衡点）指 P-R 曲线上满足 P = R 的点，其取值可作为该学习器综合性能的度量。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三、20 个阈值下的混淆矩阵与 P、R、F1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 计算方法（逐行递推）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两张表都已按预测概率降序排列，因此当阈值由高到低下降时，样本是“逐个被放行”的：阈值降到第 k 个样本的概率时，前 k 个样本被判为正例。于是可以递推：若新放行的是小狗，则 TP 加 1、FN 减 1；若是小猫，则 FP 加 1、TN 减 1；然后按 2.2 的公式计算 P、R、F1。这样 20 个阈值只需沿表逐行累加，无需重复统计。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示例（分类器 A，t = 0.48）：预测概率 ≥ 0.48 的样本共 10 个，其中小狗 7 个、小猫 3 个，故 TP = 7、FP = 3、FN = 10 − 7 = 3、TN = 10 − 3 = 7，于是 P = 7 / 10 = 0.7000，R = 7 / 10 = 0.7000，F1 = 0.7000。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上述递推过程用 Python（matplotlib）实现并绘图，与题目推荐的 Matlab、Origin 绘图等价，脚本见同目录下的 pr20.py。</w:t>
      </w:r>
    </w:p>
    <w:p>
      <w:r>
        <w:br w:type="page"/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 分类器 A 的结果</w:t>
      </w:r>
    </w:p>
    <w:p>
      <w:pPr>
        <w:keepNext/>
        <w:spacing w:after="60" w:before="12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表 3　分类器 A 在 20 个阈值下的混淆矩阵与查准率、查全率、F1</w:t>
      </w:r>
    </w:p>
    <w:tbl>
      <w:tblPr>
        <w:tblW w:type="dxa" w:w="88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950"/>
        <w:gridCol w:w="660"/>
        <w:gridCol w:w="660"/>
        <w:gridCol w:w="660"/>
        <w:gridCol w:w="660"/>
        <w:gridCol w:w="1220"/>
        <w:gridCol w:w="1030"/>
        <w:gridCol w:w="1120"/>
        <w:gridCol w:w="1040"/>
      </w:tblGrid>
      <w:tr>
        <w:trPr>
          <w:cantSplit/>
          <w:tblHeader/>
        </w:trPr>
        <w:tc>
          <w:tcPr>
            <w:tcW w:type="dxa" w:w="80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95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阈值 t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FP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FN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TN</w:t>
            </w:r>
          </w:p>
        </w:tc>
        <w:tc>
          <w:tcPr>
            <w:tcW w:type="dxa" w:w="122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03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2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04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0.1818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0.3333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0.4615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0.4286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0.5333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0.8333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0.6250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0.8571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0.7059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0.7778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0.7368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0.6364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0.5833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0.6364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0.6154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0.6957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0.5714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0.5333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0.6400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0.6154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0.5294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0.6429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0.4737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0.6207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40" w:line="260" w:lineRule="auto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注：第 k 行对应第 k 个样本的预测概率作为阈值，即前 k 个样本被判为正例；k = 20 时阈值等于最小概率，20 个样本全部判为正例，故 P = 0.5、R = 1。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 分类器 B 的结果</w:t>
      </w:r>
    </w:p>
    <w:p>
      <w:pPr>
        <w:keepNext/>
        <w:spacing w:after="60" w:before="12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表 4　分类器 B 在 20 个阈值下的混淆矩阵与查准率、查全率、F1</w:t>
      </w:r>
    </w:p>
    <w:tbl>
      <w:tblPr>
        <w:tblW w:type="dxa" w:w="8800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950"/>
        <w:gridCol w:w="660"/>
        <w:gridCol w:w="660"/>
        <w:gridCol w:w="660"/>
        <w:gridCol w:w="660"/>
        <w:gridCol w:w="1220"/>
        <w:gridCol w:w="1030"/>
        <w:gridCol w:w="1120"/>
        <w:gridCol w:w="1040"/>
      </w:tblGrid>
      <w:tr>
        <w:trPr>
          <w:cantSplit/>
          <w:tblHeader/>
        </w:trPr>
        <w:tc>
          <w:tcPr>
            <w:tcW w:type="dxa" w:w="80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序号</w:t>
            </w:r>
          </w:p>
        </w:tc>
        <w:tc>
          <w:tcPr>
            <w:tcW w:type="dxa" w:w="95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阈值 t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FP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FN</w:t>
            </w:r>
          </w:p>
        </w:tc>
        <w:tc>
          <w:tcPr>
            <w:tcW w:type="dxa" w:w="66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TN</w:t>
            </w:r>
          </w:p>
        </w:tc>
        <w:tc>
          <w:tcPr>
            <w:tcW w:type="dxa" w:w="122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03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2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040"/>
            <w:tcBorders>
              <w:bottom w:val="single" w:color="000000" w:sz="4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0.1818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0.3333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0.4615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0.5714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0.8333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0.6250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0.8571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0.7059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0.8750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0.7778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0.8889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0.8421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0.8182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0.8571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0.8182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0.6923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0.7826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0.6429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0.7200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0.5625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0.6923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0.5882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0.7407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0.5556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0.7143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0.5263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0.6897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5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0.02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6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0.5000</w:t>
            </w:r>
          </w:p>
        </w:tc>
        <w:tc>
          <w:tcPr>
            <w:tcW w:type="dxa" w:w="103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112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0.6667</w:t>
            </w:r>
          </w:p>
        </w:tc>
        <w:tc>
          <w:tcPr>
            <w:tcW w:type="dxa" w:w="1040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05" w:lineRule="auto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40" w:line="260" w:lineRule="auto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注：表 3、表 4 相互独立，两表的同一行并不对应同一个样本。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四、P-R 曲线的绘制与比较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 标准经验 P-R 曲线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以查全率 R 为横轴、查准率 P 为纵轴，按阈值由高到低（R 由小到大）把各阈值对应的 (R, P) 依次连接，得到阶梯状的经验 P-R 曲线。为便于区分，分类器 A 用红色圆点，分类器 B 用蓝色方点，灰色虚线为 P = R，星号标出各自的 BEP。曲线的起点为 (0, 1)，终点为 (1, 0.5)。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286250" cy="32099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6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图 1　分类器 A、B 的 P-R 曲线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 阈值—指标曲线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 2 以阈值为横轴，画出 20 个阈值下 P、R、F1 的变化。可以看到：随阈值升高，被判为正例的样本减少，查全率 R 单调下降；查准率 P 总体上升但会出现回落（当新放行的样本恰好是小猫时，FP 增加而使 P 下降）；F1 在中间某个阈值处取得最大值。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21717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60" w:line="260" w:lineRule="auto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color w:val="000000"/>
          <w:sz w:val="18"/>
          <w:szCs w:val="18"/>
        </w:rPr>
        <w:t xml:space="preserve">图 2　P、R、F1 随阈值的变化（20 个阈值）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 两分类器的比较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由图 1 可以看出：在 0 ≤ R ≤ 1 的整个范围内，分类器 B 的曲线始终位于分类器 A 的曲线上方，即 B 的曲线把 A 的曲线“包住”。具体地，B 在查全率达到 0.90 时仍保持 P = 0.90；而 A 的查全率一旦超过 0.70，查准率就降到 0.78 以下，到 R = 0.90 时 P 只有 0.47～0.53。说明在相同的查全水平下，B 能维持更高的查准率。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五、BEP 与 F1 的计算（题目 2）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 BEP 的估读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由图 1 中曲线与 P = R 虚线的交点可估读：分类器 A 的平衡点约为 (R, P) = (0.70, 0.70)，分类器 B 的平衡点约为 (R, P) = (0.90, 0.90)。用表 3、表 4 精确核对如下：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分类器 A：阈值 t = 0.48 时 TP = 7、FP = 3、FN = 3、TN = 7，得 P = 7/10 = 0.7000、R = 7/10 = 0.7000，恰好满足 P = R，故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BEP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A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0.70。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分类器 B：阈值 t = 0.49 时 TP = 9、FP = 1、FN = 1、TN = 9，得 P = 9/10 = 0.9000、R = 9/10 = 0.9000，恰好满足 P = R，故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BEP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B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0.90。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 F1 的计算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分类器 A：F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2 × 0.70 × 0.70 / (0.70 + 0.70) = 0.98 / 1.40 = 0.7000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分类器 B：F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2 × 0.90 × 0.90 / (0.90 + 0.90) = 1.62 / 1.80 = 0.9000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可用等价式 F1 = 2TP / (2TP + FP + FN) 校核：A 为 14 / (14 + 3 + 3) = 0.7000，B 为 18 / (18 + 1 + 1) = 0.9000，与上式一致。</w:t>
      </w:r>
    </w:p>
    <w:p>
      <w:pPr>
        <w:keepNext/>
        <w:spacing w:after="110" w:before="2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 其他阈值下的 F1（补充）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分类器 A 的 F1 最大值出现在 t = 0.49，此时 P = 0.7778、R = 0.7000、F1 = 0.7368；分类器 B 的 F1 最大值正好出现在平衡点 t = 0.49 处，为 0.9000。可见即使取 A 的最优阈值，其 F1 仍明显低于 B。</w:t>
      </w:r>
    </w:p>
    <w:p>
      <w:pPr>
        <w:keepNext/>
        <w:spacing w:after="150" w:before="300" w:line="320" w:lineRule="auto"/>
      </w:pPr>
      <w:r>
        <w:rPr>
          <w:rFonts w:ascii="Times New Roman" w:cs="Times New Roman" w:eastAsia="黑体" w:hAnsi="Times New Roman"/>
          <w:b/>
          <w:bCs/>
          <w:i w:val="false"/>
          <w:iCs w:val="false"/>
          <w:color w:val="000000"/>
          <w:sz w:val="28"/>
          <w:szCs w:val="28"/>
        </w:rPr>
        <w:t xml:space="preserve">六、结论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题目 1 的判断：分类器 B 更好。理由有三，且三者结论一致：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（1）曲线位置：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 的 P-R 曲线完整地包住 A 的曲线，在任意查全率水平下 B 的查准率都不低于 A。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（2）平衡点：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BEP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B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0.90 &gt;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BEP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A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0.70。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（3）F1 值：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(B) = 0.90 &gt;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(A) = 0.70。</w:t>
      </w:r>
    </w:p>
    <w:p>
      <w:pPr>
        <w:spacing w:after="70" w:before="0" w:line="300" w:lineRule="auto"/>
        <w:ind w:firstLine="42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此外，分类器 A 在最优阈值下的最大 F1 也只有 0.7368，仍低于 B 的 0.9000，因此“B 优于 A”的判断是稳定可靠的。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b w:val="false"/>
        <w:bCs w:val="false"/>
        <w:i w:val="false"/>
        <w:iCs w:val="false"/>
        <w:color w:val="000000"/>
        <w:sz w:val="17"/>
        <w:szCs w:val="17"/>
      </w:rPr>
      <w:t xml:space="preserve">第 </w:t>
    </w:r>
    <w:r>
      <w:rPr>
        <w:rFonts w:ascii="Times New Roman" w:cs="Times New Roman" w:eastAsia="宋体" w:hAnsi="Times New Roman"/>
        <w:sz w:val="17"/>
        <w:szCs w:val="17"/>
      </w:rPr>
      <w:fldChar w:fldCharType="begin"/>
    </w:r>
    <w:r>
      <w:rPr>
        <w:rFonts w:ascii="Times New Roman" w:cs="Times New Roman" w:eastAsia="宋体" w:hAnsi="Times New Roman"/>
        <w:sz w:val="17"/>
        <w:szCs w:val="17"/>
      </w:rPr>
      <w:instrText xml:space="preserve">PAGE</w:instrText>
    </w:r>
    <w:r>
      <w:rPr>
        <w:rFonts w:ascii="Times New Roman" w:cs="Times New Roman" w:eastAsia="宋体" w:hAnsi="Times New Roman"/>
        <w:sz w:val="17"/>
        <w:szCs w:val="17"/>
      </w:rPr>
      <w:fldChar w:fldCharType="separate"/>
    </w:r>
    <w:r>
      <w:rPr>
        <w:rFonts w:ascii="Times New Roman" w:cs="Times New Roman" w:eastAsia="宋体" w:hAnsi="Times New Roman"/>
        <w:sz w:val="17"/>
        <w:szCs w:val="17"/>
      </w:rPr>
      <w:fldChar w:fldCharType="end"/>
    </w:r>
    <w:r>
      <w:rPr>
        <w:rFonts w:ascii="Times New Roman" w:cs="Times New Roman" w:eastAsia="宋体" w:hAnsi="Times New Roman"/>
        <w:b w:val="false"/>
        <w:bCs w:val="false"/>
        <w:i w:val="false"/>
        <w:iCs w:val="false"/>
        <w:color w:val="000000"/>
        <w:sz w:val="17"/>
        <w:szCs w:val="17"/>
      </w:rPr>
      <w:t xml:space="preserve"> 页　共 </w:t>
    </w:r>
    <w:r>
      <w:rPr>
        <w:rFonts w:ascii="Times New Roman" w:cs="Times New Roman" w:eastAsia="宋体" w:hAnsi="Times New Roman"/>
        <w:sz w:val="17"/>
        <w:szCs w:val="17"/>
      </w:rPr>
      <w:fldChar w:fldCharType="begin"/>
    </w:r>
    <w:r>
      <w:rPr>
        <w:rFonts w:ascii="Times New Roman" w:cs="Times New Roman" w:eastAsia="宋体" w:hAnsi="Times New Roman"/>
        <w:sz w:val="17"/>
        <w:szCs w:val="17"/>
      </w:rPr>
      <w:instrText xml:space="preserve">NUMPAGES</w:instrText>
    </w:r>
    <w:r>
      <w:rPr>
        <w:rFonts w:ascii="Times New Roman" w:cs="Times New Roman" w:eastAsia="宋体" w:hAnsi="Times New Roman"/>
        <w:sz w:val="17"/>
        <w:szCs w:val="17"/>
      </w:rPr>
      <w:fldChar w:fldCharType="separate"/>
    </w:r>
    <w:r>
      <w:rPr>
        <w:rFonts w:ascii="Times New Roman" w:cs="Times New Roman" w:eastAsia="宋体" w:hAnsi="Times New Roman"/>
        <w:sz w:val="17"/>
        <w:szCs w:val="17"/>
      </w:rPr>
      <w:fldChar w:fldCharType="end"/>
    </w:r>
    <w:r>
      <w:rPr>
        <w:rFonts w:ascii="Times New Roman" w:cs="Times New Roman" w:eastAsia="宋体" w:hAnsi="Times New Roman"/>
        <w:b w:val="false"/>
        <w:bCs w:val="false"/>
        <w:i w:val="false"/>
        <w:iCs w:val="false"/>
        <w:color w:val="00000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>
      <w:pPr>
        <w:spacing w:line="30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424aa7d7cb0651966fc5ad19689d087ec02e587.png"/><Relationship Id="rId9" Type="http://schemas.openxmlformats.org/officeDocument/2006/relationships/image" Target="media/b09aa359ecf6a5a5bcdfd268c4ac4e020febb4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作业1 分类器性能评估</dc:title>
  <dc:creator>刘佳鹏</dc:creator>
  <cp:lastModifiedBy>Un-named</cp:lastModifiedBy>
  <cp:revision>1</cp:revision>
  <dcterms:created xsi:type="dcterms:W3CDTF">2026-10-25T04:17:41.181Z</dcterms:created>
  <dcterms:modified xsi:type="dcterms:W3CDTF">2026-10-25T04:17:41.190Z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