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360" w:lineRule="auto" w:before="0" w:after="240"/>
        <w:ind w:firstLine="0"/>
        <w:jc w:val="center"/>
      </w:pPr>
      <w:r>
        <w:rPr>
          <w:rFonts w:ascii="Times New Roman" w:hAnsi="Times New Roman" w:cs="Times New Roman" w:eastAsia="Times New Roman"/>
          <w:b/>
          <w:i w:val="0"/>
          <w:sz w:val="28"/>
        </w:rPr>
        <w:t>РОЗДІЛ 1. ПЕРЕДУМОВИ ФОРМУВАННЯ ЕМПІРИЧНОГО ПІДХОДУ ДО ВИВЧЕННЯ ПОЛІТИЧНОЇ НАУКИ</w:t>
      </w:r>
    </w:p>
    <w:p>
      <w:pPr>
        <w:keepNext/>
        <w:spacing w:line="360" w:lineRule="auto" w:before="240" w:after="240"/>
        <w:ind w:firstLine="0"/>
        <w:jc w:val="center"/>
      </w:pPr>
      <w:r>
        <w:rPr>
          <w:rFonts w:ascii="Times New Roman" w:hAnsi="Times New Roman" w:cs="Times New Roman" w:eastAsia="Times New Roman"/>
          <w:b/>
          <w:i w:val="0"/>
          <w:sz w:val="28"/>
        </w:rPr>
        <w:t>1.1. Історичний та філософський контекст формування ідей Гаетано Моски</w:t>
      </w:r>
    </w:p>
    <w:p>
      <w:pPr>
        <w:keepNext w:val="0"/>
        <w:spacing w:line="360" w:lineRule="auto" w:before="0" w:after="0"/>
        <w:ind w:firstLine="709"/>
        <w:jc w:val="both"/>
      </w:pPr>
      <w:r>
        <w:rPr>
          <w:rFonts w:ascii="Times New Roman" w:hAnsi="Times New Roman" w:cs="Times New Roman" w:eastAsia="Times New Roman"/>
          <w:b w:val="0"/>
          <w:i w:val="0"/>
          <w:sz w:val="28"/>
        </w:rPr>
        <w:t>Друга половина XIX століття увійшла в історію європейської політичної думки як доба глибокої інтелектуальної кризи. Ліберально-раціоналістична картина світу, побудована на вірі в розум і прогрес, дедалі очевидніше розходилася з дійсністю: поразка революцій 1848–1849 років, Паризька комуна 1871 року, вихід на політичну арену масових партій і профспілок зруйнували уявлення про суспільство як сукупність вільних і рівних індивідів. Криза породила дві протилежні реакції. Перша полягала у спробах урятувати старі ліберальні ілюзії, підперши їх моральними аргументами та вірою в оздоровчу силу конституційних процедур. Друга вилилася в появу нових радикальних ідеологій, насамперед марксизму, який кинув виклик старому порядку й переконливо викрив його соціальну несправедливість, але водночас запропонував власну утопію — безкласове суспільство, що нібито виростає з революційного заперечення буржуазної дійсності. Обидві відповіді залишалися в межах нормативного мислення: вони описували бажаний політичний порядок, а не той, що реально існував. Дослідники елітарної традиції розглядають її піднесення саме як реакцію на соціалізм [5, p. 1].</w:t>
      </w:r>
    </w:p>
    <w:p>
      <w:pPr>
        <w:keepNext w:val="0"/>
        <w:spacing w:line="360" w:lineRule="auto" w:before="0" w:after="0"/>
        <w:ind w:firstLine="709"/>
        <w:jc w:val="both"/>
      </w:pPr>
      <w:r>
        <w:rPr>
          <w:rFonts w:ascii="Times New Roman" w:hAnsi="Times New Roman" w:cs="Times New Roman" w:eastAsia="Times New Roman"/>
          <w:b w:val="0"/>
          <w:i w:val="0"/>
          <w:sz w:val="28"/>
        </w:rPr>
        <w:t>Сутність філософсько-нормативних доктрин полягала в тому, що предметом політичного знання в них виступала держава такою, «якою вона повинна бути». Мислитель працював насамперед як законодавець і мораліст: він виводив модель належного устрою з аксіом розуму, природного права або релігійного вчення, а вже потім міряв нею реальні інститути. Політичний аналіз зводився до тлумачення конституцій, класифікації форм правління та моральної оцінки правителів. Питання «що є насправді» було цілком підпорядковане питанню «що має бути».</w:t>
      </w:r>
    </w:p>
    <w:p>
      <w:pPr>
        <w:keepNext w:val="0"/>
        <w:spacing w:line="360" w:lineRule="auto" w:before="0" w:after="0"/>
        <w:ind w:firstLine="709"/>
        <w:jc w:val="both"/>
      </w:pPr>
      <w:r>
        <w:rPr>
          <w:rFonts w:ascii="Times New Roman" w:hAnsi="Times New Roman" w:cs="Times New Roman" w:eastAsia="Times New Roman"/>
          <w:b w:val="0"/>
          <w:i w:val="0"/>
          <w:sz w:val="28"/>
        </w:rPr>
        <w:t>Інакше кажучи, йшлося не так про пізнання політики, як про її виховання. Дослідник дивився на державу очима судді: він знав, якою вона має стати, і майже не цікавився тим, як вона працює. Історики політичної науки зауважують, що її перші представники застосовували до публічних питань моральні абсолюти, залишаючись байдужими до епістемологічних питань природничих наук [4, p. 3].</w:t>
      </w:r>
    </w:p>
    <w:p>
      <w:pPr>
        <w:keepNext w:val="0"/>
        <w:spacing w:line="360" w:lineRule="auto" w:before="0" w:after="0"/>
        <w:ind w:firstLine="709"/>
        <w:jc w:val="both"/>
      </w:pPr>
      <w:r>
        <w:rPr>
          <w:rFonts w:ascii="Times New Roman" w:hAnsi="Times New Roman" w:cs="Times New Roman" w:eastAsia="Times New Roman"/>
          <w:b w:val="0"/>
          <w:i w:val="0"/>
          <w:sz w:val="28"/>
        </w:rPr>
        <w:t>Найяскравішим прикладом такого теоретизування була класична арістотелівська типологія, що панувала в європейській думці понад дві тисячі років. Арістотель поділяв форми правління за кількістю носіїв влади і розрізняв усередині кожної групи «правильні» та «перекручені» різновиди залежно від того, чи слугують правителі спільному благу, чи власному інтересу; так виникала шестичленна схема — монархія і тиранія, аристократія й олігархія, політія та демократія. Попри масштабне дослідження конституцій грецьких полісів, його побудова залишалася аксіологічною: вона завершувалася вченням про найкращий устрій, а зібрані факти слугували лише ілюстрацією. Успадкована середньовічною схоластикою та конституціоналістами XIX століття, ця схема звелася до класифікації юридичних форм. Саме проти неї й звертається критика Моски: «Те, що Арістотель називав демократією, було просто аристократією з досить широким членством» [1, p. 52].</w:t>
      </w:r>
    </w:p>
    <w:p>
      <w:pPr>
        <w:keepNext w:val="0"/>
        <w:spacing w:line="360" w:lineRule="auto" w:before="0" w:after="0"/>
        <w:ind w:firstLine="709"/>
        <w:jc w:val="both"/>
      </w:pPr>
      <w:r>
        <w:rPr>
          <w:rFonts w:ascii="Times New Roman" w:hAnsi="Times New Roman" w:cs="Times New Roman" w:eastAsia="Times New Roman"/>
          <w:b w:val="0"/>
          <w:i w:val="0"/>
          <w:sz w:val="28"/>
        </w:rPr>
        <w:t>Назва форми правління сама по собі не пояснює нічого. Пояснює лише те, хто насправді ухвалює рішення.</w:t>
      </w:r>
    </w:p>
    <w:p>
      <w:pPr>
        <w:keepNext w:val="0"/>
        <w:spacing w:line="360" w:lineRule="auto" w:before="0" w:after="0"/>
        <w:ind w:firstLine="709"/>
        <w:jc w:val="both"/>
      </w:pPr>
      <w:r>
        <w:rPr>
          <w:rFonts w:ascii="Times New Roman" w:hAnsi="Times New Roman" w:cs="Times New Roman" w:eastAsia="Times New Roman"/>
          <w:b w:val="0"/>
          <w:i w:val="0"/>
          <w:sz w:val="28"/>
        </w:rPr>
        <w:t>Тим часом розвиток масової політики зруйнував ту картину, яку ці теорії описували. Індустріалізація й урбанізація зібрали в містах мільйони робітників, розширення виборчого права перетворило вибори на справу широких народних мас, виникли масова преса, профспілки та соціал-демократичні партії, а Паризька комуна показала силу організованої революційної меншості в місті. Формально демократичні конституції не заважали ні пануванню вузьких клік, ні корупції, ні олігархічному переродженню парламентів: між юридичною формою держави та фактичним розподілом влади утворився розрив, якого стара теорія не помічала. Саме з цим розширенням виборчого права дослідники пов'язують тезу Парето, Моски й Міхельса про неминучу олігархічність будь-якої колективної організації [5, p. 1]. Розв'язання цього інтелектуального завдання й визначило наукову програму Моски.</w:t>
      </w:r>
    </w:p>
    <w:p>
      <w:pPr>
        <w:keepNext w:val="0"/>
        <w:spacing w:line="360" w:lineRule="auto" w:before="0" w:after="0"/>
        <w:ind w:firstLine="709"/>
        <w:jc w:val="both"/>
      </w:pPr>
      <w:r>
        <w:rPr>
          <w:rFonts w:ascii="Times New Roman" w:hAnsi="Times New Roman" w:cs="Times New Roman" w:eastAsia="Times New Roman"/>
          <w:b w:val="0"/>
          <w:i w:val="0"/>
          <w:sz w:val="28"/>
        </w:rPr>
        <w:t>Ключ до її розуміння лежить у біографії мислителя. Гаетано Моска народився 1 квітня 1858 року в Палермо, у заможній родині середнього класу, і належав до покоління, що формувалося вже в межах об'єднаної Італії [3, p. 3]. Сицилія тієї доби була периферією нової держави, краєм латифундій і слабкої центральної влади, де суспільні відносини регулювалися переважно патронажно-клієнтельними зв'язками. Юридична освіта, здобута на юридичному факультеті Палермського університету, який він закінчив 1881 року з відзнакою, дала йому ґрунтовне знання римського права, історії конституцій та юридичної догматики [3, p. 3]. Далі — викладання в Палермо, Римі, Турині й Мілані, депутатський мандат, посада заступника міністра колоній і сенаторство [1, p. xiii–xiv].</w:t>
      </w:r>
    </w:p>
    <w:p>
      <w:pPr>
        <w:keepNext w:val="0"/>
        <w:spacing w:line="360" w:lineRule="auto" w:before="0" w:after="0"/>
        <w:ind w:firstLine="709"/>
        <w:jc w:val="both"/>
      </w:pPr>
      <w:r>
        <w:rPr>
          <w:rFonts w:ascii="Times New Roman" w:hAnsi="Times New Roman" w:cs="Times New Roman" w:eastAsia="Times New Roman"/>
          <w:b w:val="0"/>
          <w:i w:val="0"/>
          <w:sz w:val="28"/>
        </w:rPr>
        <w:t>Поєднання виявилося вибуховим. Сицилія дала Моски досвід держави, яка не контролює власної території. Юриспруденція — звичку відрізняти норму від практики. Парламент, у якому він редагував стенографічні звіти палати депутатів, — матеріал для перевірки і першого, і другого.</w:t>
      </w:r>
    </w:p>
    <w:p>
      <w:pPr>
        <w:keepNext w:val="0"/>
        <w:spacing w:line="360" w:lineRule="auto" w:before="0" w:after="0"/>
        <w:ind w:firstLine="709"/>
        <w:jc w:val="both"/>
      </w:pPr>
      <w:r>
        <w:rPr>
          <w:rFonts w:ascii="Times New Roman" w:hAnsi="Times New Roman" w:cs="Times New Roman" w:eastAsia="Times New Roman"/>
          <w:b w:val="0"/>
          <w:i w:val="0"/>
          <w:sz w:val="28"/>
        </w:rPr>
        <w:t>Не менш важливим джерелом розчарування стало завершення Рісорджименто. Об'єднання Італії, здійснене «згори» зусиллями п'ємонтської монархії та дипломатії Кавура, обіцяло свободу і добробут, а принесло Півдню нові податки, військову повинність, протекціоністські тарифи, що руйнували місцеве виробництво, і адміністрацію з вихідців з Півночі. Відповіддю стали селянські бунти, придушені воєнним станом, і розбійництво як форма соціального протесту. Моска бачив, що нова ліберальна держава не подолала стару клієнтелістську систему, а успадкувала її; пізніше він спостерігав розстріл повсталих «Фаші січіліані» 1894 року під час облогового стану на Сицилії та криваве придушення міланських заворушень 1898 року.</w:t>
      </w:r>
    </w:p>
    <w:p>
      <w:pPr>
        <w:keepNext w:val="0"/>
        <w:spacing w:line="360" w:lineRule="auto" w:before="0" w:after="0"/>
        <w:ind w:firstLine="709"/>
        <w:jc w:val="both"/>
      </w:pPr>
      <w:r>
        <w:rPr>
          <w:rFonts w:ascii="Times New Roman" w:hAnsi="Times New Roman" w:cs="Times New Roman" w:eastAsia="Times New Roman"/>
          <w:b w:val="0"/>
          <w:i w:val="0"/>
          <w:sz w:val="28"/>
        </w:rPr>
        <w:t>Найвиразнішим симптомом хвороби італійського парламентаризму став так званий трансформізм — практика, що утвердилася після перемоги «історичної лівиці» на виборах 1876 року. Урядова більшість формувалася не навколо програми чи ідеології, а шляхом постійного перегрупування парламентських союзів, за допомогою якого створювалися коаліції — «може, і строкаті та різнорідні, але здатні забезпечити голоси на підтримку уряду» [3, p. 17]. Кожен депутат, який «приєднувався», отримував свою ціну — посаду, субсидію, заступництво для клієнтели; політика перетворювалася на обмін послугами, а парламент — на ринок. Моска описав цей механізм як «ганебний і лицемірний торг взаємними поблажками та послугами, що є справжньою виразкою в більшості європейських країн» [1, p. 266]. Його висновок про вибори був нещадним: «Коли ми говоримо, що виборці „вибирають“ свого представника, ми вживаємо вельми неточний вислів. Насправді представник сам домагається того, щоб його обрали виборці» [1, p. 154]. Кривизна тут не в моральності міністрів, а в будові самої системи [3, p. 17]. Саме цю практику Моска піддав нищівній критиці вже у своїй першій великій праці «Про теорію правління та парламентське правління» (1884), яка принесла йому славу нищівного критика італійської парламентської системи [2, p. 3].</w:t>
      </w:r>
    </w:p>
    <w:p>
      <w:pPr>
        <w:keepNext w:val="0"/>
        <w:spacing w:line="360" w:lineRule="auto" w:before="0" w:after="0"/>
        <w:ind w:firstLine="709"/>
        <w:jc w:val="both"/>
      </w:pPr>
      <w:r>
        <w:rPr>
          <w:rFonts w:ascii="Times New Roman" w:hAnsi="Times New Roman" w:cs="Times New Roman" w:eastAsia="Times New Roman"/>
          <w:b w:val="0"/>
          <w:i w:val="0"/>
          <w:sz w:val="28"/>
        </w:rPr>
        <w:t>Парламент змінював уряди, не змінюючи способу правління. Безпринципні коаліції безперервно перегруповувалися, а механізм залишався той самий.</w:t>
      </w:r>
    </w:p>
    <w:p>
      <w:pPr>
        <w:keepNext w:val="0"/>
        <w:spacing w:line="360" w:lineRule="auto" w:before="0" w:after="0"/>
        <w:ind w:firstLine="709"/>
        <w:jc w:val="both"/>
      </w:pPr>
      <w:r>
        <w:rPr>
          <w:rFonts w:ascii="Times New Roman" w:hAnsi="Times New Roman" w:cs="Times New Roman" w:eastAsia="Times New Roman"/>
          <w:b w:val="0"/>
          <w:i w:val="0"/>
          <w:sz w:val="28"/>
        </w:rPr>
        <w:t>Паралельно формувалася й друга лінія його критики — ставлення до марксизму та соціалістичних рухів, які швидко поширювалися Італією наприкінці XIX століття. «Соціал-демократія — це передусім інтелектуальна недуга нашої доби», — писав Моска [1, p. 325–326], вбачаючи в соціалізмі сліпу віру мас і утопічне бажання знищити буржуазію, а не реформувати її. Його заперечення мали не моральний, а аналітичний характер. Якщо експлуатація, нерівність і панування меншості притаманні будь-якому суспільству, а не лише капіталістичному, то знищення буржуазії не скасовує самого принципу панування — воно лише змінює його носіїв. Історичний матеріалізм він оголошував доктриною, «цілком фантастичною» [1, p. 447]. Альтернативи їй — диктатуру пролетаріату, бюрократичний абсолютизм і синдикалізм — він вважав кроком назад [1, p. 484] і висував натомість програму поступових реформ. Водночас він не довіряв загальному виборчому праву, побоюючись, що в аграрній Італії його розширення лише збільшить кількість легко маніпульованих людей [3, p. 20].</w:t>
      </w:r>
    </w:p>
    <w:p>
      <w:pPr>
        <w:keepNext w:val="0"/>
        <w:spacing w:line="360" w:lineRule="auto" w:before="0" w:after="0"/>
        <w:ind w:firstLine="709"/>
        <w:jc w:val="both"/>
      </w:pPr>
      <w:r>
        <w:rPr>
          <w:rFonts w:ascii="Times New Roman" w:hAnsi="Times New Roman" w:cs="Times New Roman" w:eastAsia="Times New Roman"/>
          <w:b w:val="0"/>
          <w:i w:val="0"/>
          <w:sz w:val="28"/>
        </w:rPr>
        <w:t>Тут і вимальовується головний висновок. Нова влада не скасовує панування — вона лише змінює тих, хто панує. Соціалістична революція, на думку Моски, неминуче породила б новий правлячий клас: іще більш централізований і нетерпимий, ніж той, який обіцяла повалити.</w:t>
      </w:r>
    </w:p>
    <w:p>
      <w:pPr>
        <w:keepNext w:val="0"/>
        <w:spacing w:line="360" w:lineRule="auto" w:before="0" w:after="0"/>
        <w:ind w:firstLine="709"/>
        <w:jc w:val="both"/>
      </w:pPr>
      <w:r>
        <w:rPr>
          <w:rFonts w:ascii="Times New Roman" w:hAnsi="Times New Roman" w:cs="Times New Roman" w:eastAsia="Times New Roman"/>
          <w:b w:val="0"/>
          <w:i w:val="0"/>
          <w:sz w:val="28"/>
        </w:rPr>
        <w:t>Отже, репрезентативна демократія в її італійському вигляді постала перед Москою як низка парадоксів: виборче право розширювалося, а реальна влада звужувалася до вузького кола; конституція гарантувала свободу, а адміністрація правила за допомогою облогового стану. Відкинувши і корумпований парламентський лібералізм, і соціалістичну утопію, Моска дійшов висновку, який став ядром усієї його подальшої теорії. Ще в «Теорії правління» він сформулював вихідне спостереження: «у кожному належно встановленому правлінні фактичний розподіл політичної влади не завжди збігається з владою, встановленою законом» [3, p. 7].</w:t>
      </w:r>
    </w:p>
    <w:p>
      <w:pPr>
        <w:keepNext w:val="0"/>
        <w:spacing w:line="360" w:lineRule="auto" w:before="0" w:after="0"/>
        <w:ind w:firstLine="709"/>
        <w:jc w:val="both"/>
      </w:pPr>
      <w:r>
        <w:rPr>
          <w:rFonts w:ascii="Times New Roman" w:hAnsi="Times New Roman" w:cs="Times New Roman" w:eastAsia="Times New Roman"/>
          <w:b w:val="0"/>
          <w:i w:val="0"/>
          <w:sz w:val="28"/>
        </w:rPr>
        <w:t>Звідси — теза, яку він повторюватиме до кінця життя. За будь-якої форми правління влада належить організованій меншості, а розмови про народовладдя описують лише ту форму, під якою ця меншість утримує панування. «Сто людей, які діють одностайно й у злагоді, переможуть тисячу людей, які не діють у згоді» [1, p. 53].</w:t>
      </w:r>
    </w:p>
    <w:p>
      <w:pPr>
        <w:keepNext w:val="0"/>
        <w:spacing w:line="360" w:lineRule="auto" w:before="0" w:after="0"/>
        <w:ind w:firstLine="709"/>
        <w:jc w:val="both"/>
      </w:pPr>
      <w:r>
        <w:rPr>
          <w:rFonts w:ascii="Times New Roman" w:hAnsi="Times New Roman" w:cs="Times New Roman" w:eastAsia="Times New Roman"/>
          <w:b w:val="0"/>
          <w:i w:val="0"/>
          <w:sz w:val="28"/>
        </w:rPr>
        <w:t>Підсумовуючи, ідейна позиція Гаетано Моски сформувалася на перетині трьох досвідів: кризи європейського нормативного теоретизування, яка позбавила його віри в дедуктивні схеми «найкращого устрою»; сицилійської периферії та італійського парламентського побуту, які показали йому справжній механізм влади; і наступу соціалістичних ідей, які змусили його шукати відповідь не в термінах моралі, а в термінах науки. Саме цей поворот — від оцінки належного до пізнання сущого — визначив подальший шлях перетворення політичного знання на самостійну емпіричну дисципліну.</w:t>
      </w:r>
    </w:p>
    <w:p>
      <w:pPr>
        <w:keepNext/>
        <w:spacing w:line="360" w:lineRule="auto" w:before="240" w:after="240"/>
        <w:ind w:firstLine="0"/>
        <w:jc w:val="center"/>
      </w:pPr>
      <w:r>
        <w:rPr>
          <w:rFonts w:ascii="Times New Roman" w:hAnsi="Times New Roman" w:cs="Times New Roman" w:eastAsia="Times New Roman"/>
          <w:b/>
          <w:i w:val="0"/>
          <w:sz w:val="28"/>
        </w:rPr>
        <w:t>1.2. Процес формування політичної науки як самостійної дисципліни та історичний метод як основа цих процесів</w:t>
      </w:r>
    </w:p>
    <w:p>
      <w:pPr>
        <w:keepNext w:val="0"/>
        <w:spacing w:line="360" w:lineRule="auto" w:before="0" w:after="0"/>
        <w:ind w:firstLine="709"/>
        <w:jc w:val="both"/>
      </w:pPr>
      <w:r>
        <w:rPr>
          <w:rFonts w:ascii="Times New Roman" w:hAnsi="Times New Roman" w:cs="Times New Roman" w:eastAsia="Times New Roman"/>
          <w:b w:val="0"/>
          <w:i w:val="0"/>
          <w:sz w:val="28"/>
        </w:rPr>
        <w:t>Відокремлення політології в самостійну галузь знання відбувалося в другій половині XIX століття і було наслідком поступового розпаду того синкретичного комплексу, в якому вивчення політики протягом століть було розчинене між моральною філософією, юриспруденцією та історією. Історики дисципліни описують цей стан стисло й точно: «Коли в Європі XIX століття вивчення політики досягло стану самосвідомості, воно поєднувало моральну філософію, юриспруденцію та історію» [4, p. 3]. Розрив із цим спадком став можливим завдяки філософському зсуву, здійсненому позитивізмом.</w:t>
      </w:r>
    </w:p>
    <w:p>
      <w:pPr>
        <w:keepNext w:val="0"/>
        <w:spacing w:line="360" w:lineRule="auto" w:before="0" w:after="0"/>
        <w:ind w:firstLine="709"/>
        <w:jc w:val="both"/>
      </w:pPr>
      <w:r>
        <w:rPr>
          <w:rFonts w:ascii="Times New Roman" w:hAnsi="Times New Roman" w:cs="Times New Roman" w:eastAsia="Times New Roman"/>
          <w:b w:val="0"/>
          <w:i w:val="0"/>
          <w:sz w:val="28"/>
        </w:rPr>
        <w:t>Позитивізм, найповніше сформульований Огюстом Контом, а також еволюційне вчення Герберта Спенсера та логіка Джона Стюарта Мілла, запропонував принципово інше розуміння завдання науки про суспільство. Суспільство оголошувалося частиною природи, а отже — підлеглим законам, які можна виявити спостереженням, порівнянням і узагальненням. Звідси випливав новий критерій науковості: твердження має сенс лише тоді, коли воно може бути перевірене фактами. Для політичного знання це означало радикальну зміну орієнтирів — перехід від міркувань про те, «як має бути», до вивчення того, «як є насправді». Моральна філософія втратила монополію на пояснення політики, юриспруденція описувала лише норму, а історія з ілюстративного матеріалу перетворилася на джерело даних для порівняння. Саме могутність наукового позитивізму, як підкреслюють дослідники, дозволила прискорити формування самостійних суспільних дисциплін [3, p. 29]. Показово, що свою головну працю Моска назвав «Елементи політичної науки» (1896): сама назва була заявкою на існування окремої дисципліни з власним предметом і методом. Знаковим є і його протистояння з панівною юридичною доктриною В. Е. Орландо — протилежність «реалізму “політичної науки” формалізмові “юридичного методу”» [3, p. 34].</w:t>
      </w:r>
    </w:p>
    <w:p>
      <w:pPr>
        <w:keepNext w:val="0"/>
        <w:spacing w:line="360" w:lineRule="auto" w:before="0" w:after="0"/>
        <w:ind w:firstLine="709"/>
        <w:jc w:val="both"/>
      </w:pPr>
      <w:r>
        <w:rPr>
          <w:rFonts w:ascii="Times New Roman" w:hAnsi="Times New Roman" w:cs="Times New Roman" w:eastAsia="Times New Roman"/>
          <w:b w:val="0"/>
          <w:i w:val="0"/>
          <w:sz w:val="28"/>
        </w:rPr>
        <w:t>Коротко кажучи, політична наука починається там, де закінчується проповідь. Замість того щоб казати владі, якою їй слід бути, дослідник береться з'ясувати, як вона влаштована насправді.</w:t>
      </w:r>
    </w:p>
    <w:p>
      <w:pPr>
        <w:keepNext w:val="0"/>
        <w:spacing w:line="360" w:lineRule="auto" w:before="0" w:after="0"/>
        <w:ind w:firstLine="709"/>
        <w:jc w:val="both"/>
      </w:pPr>
      <w:r>
        <w:rPr>
          <w:rFonts w:ascii="Times New Roman" w:hAnsi="Times New Roman" w:cs="Times New Roman" w:eastAsia="Times New Roman"/>
          <w:b w:val="0"/>
          <w:i w:val="0"/>
          <w:sz w:val="28"/>
        </w:rPr>
        <w:t>Специфіка «емпіричного» інструментарію Моски визначалася станом наукового знання його часу: соціологічних опитувань, вибіркових досліджень і статистичної обробки даних тоді не існувало, тому під емпірикою розуміли передусім опору на документовані, доступні перевірці факти. «Наука завжди будується на системі спостережень, здійснених з особливою ретельністю та відповідними методами над певним порядком явищ», — наголошував Моска [1, p. 3]. Відповідаючи тим, хто зауважував, що політику неможливо досліджувати експериментально, він писав: «можна відповісти, що історія, статистика та економіка зібрали вже такий великий запас експериментальних даних, що їх достатньо, щоб розпочати наші пошуки» [1, p. 337]. Головним емпіричним матеріалом для мислителя стали політична історія різних епох і цивілізацій, статистика його часу — виборча, фіскальна, демографічна — та сухі факти інституційного функціонування: тексти конституцій, регламенти палат, бюджетні розписи, результати голосувань. При цьому він віддавав перевагу статистиці перед враженнями: «Особисті враження майже завжди занадто суб'єктивні; загалом вони менш надійні, ніж статистика» [1, p. 11]. Додатковим джерелом був і власний досвід депутата й сенатора, який дозволяв порівнювати протокол засідання з кулуарною підготовкою. Моска не створив ані анкет, ані шкал, але вимагав, щоб кожне твердження підтверджувалося спостережуваним фактом і перевірялося на матеріалі інших країн і епох. Боббіо прямо наголошує, що поняття правлячого класу «не було виведене з апріорних принципів, а походило виключно з неупередженого й безжального спостереження фактів» [2, p. 14].</w:t>
      </w:r>
    </w:p>
    <w:p>
      <w:pPr>
        <w:keepNext w:val="0"/>
        <w:spacing w:line="360" w:lineRule="auto" w:before="0" w:after="0"/>
        <w:ind w:firstLine="709"/>
        <w:jc w:val="both"/>
      </w:pPr>
      <w:r>
        <w:rPr>
          <w:rFonts w:ascii="Times New Roman" w:hAnsi="Times New Roman" w:cs="Times New Roman" w:eastAsia="Times New Roman"/>
          <w:b w:val="0"/>
          <w:i w:val="0"/>
          <w:sz w:val="28"/>
        </w:rPr>
        <w:t>Фундаментом цього підходу був історичний, а точніше історико-порівняльний метод. «Якщо політична наука має ґрунтуватися на спостереженні й тлумаченні фактів політичного життя, то саме до старого історичного методу нам і слід повернутися», — заявляв Моска [1, p. 41]. Механіка цього методу полягала в тому, що він звертався до тисячолітнього досвіду різних цивілізацій — від давнього Єгипту, Індії, Греції та Риму до середньовічних комун, італійських міст-держав і тогочасних держав Європи — і шукав у цьому розмаїтті повторювані структури. Закономірності виводилися не з умоглядних міркувань про природу людини чи природу держави, а виключно шляхом порівняльного аналізу конкретних історичних фактів. Якщо в Афінах, у Римі, у Венеції, у французькій монархії та в сучасній йому демократичній Швейцарії виявляється та сама конфігурація — нечисленна організована меншість, що панує над неорганізованою більшістю, — то це вже не випадковість, а стала тенденція, яка претендує на статус закону. Цей висновок формулювався Москою як виявлення постійного факту політичного життя, а не як моральна оцінка: він не виправдовував панування меншості, але й не вважав його усувним.</w:t>
      </w:r>
    </w:p>
    <w:p>
      <w:pPr>
        <w:keepNext w:val="0"/>
        <w:spacing w:line="360" w:lineRule="auto" w:before="0" w:after="0"/>
        <w:ind w:firstLine="709"/>
        <w:jc w:val="both"/>
      </w:pPr>
      <w:r>
        <w:rPr>
          <w:rFonts w:ascii="Times New Roman" w:hAnsi="Times New Roman" w:cs="Times New Roman" w:eastAsia="Times New Roman"/>
          <w:b w:val="0"/>
          <w:i w:val="0"/>
          <w:sz w:val="28"/>
        </w:rPr>
        <w:t>Форма правління змінюється — механізм панування залишається. Саме тому Боббіо вважав теорію правлячого класу «початком, або, якщо хочете, першим нарисом сучасної політичної науки, задуманої як об'єктивне дослідження політичних явищ» [2, p. 13].</w:t>
      </w:r>
    </w:p>
    <w:p>
      <w:pPr>
        <w:keepNext w:val="0"/>
        <w:spacing w:line="360" w:lineRule="auto" w:before="0" w:after="0"/>
        <w:ind w:firstLine="709"/>
        <w:jc w:val="both"/>
      </w:pPr>
      <w:r>
        <w:rPr>
          <w:rFonts w:ascii="Times New Roman" w:hAnsi="Times New Roman" w:cs="Times New Roman" w:eastAsia="Times New Roman"/>
          <w:b w:val="0"/>
          <w:i w:val="0"/>
          <w:sz w:val="28"/>
        </w:rPr>
        <w:t>Критичний потенціал методу виявився в тому, що він дозволив описати механізми, які не фіксувалися юридичною наукою. Там, де конституційне право бачило суверенітет народу й розподіл влади, Моска бачив організаційну перевагу меншості: партійну дисципліну, контроль над адміністрацією, вміння маніпулювати формальними процедурами. Те саме явище він знаходив і в античному полісі, і в середньовічній комуні, і в сучасному парламенті. Отже, демократія не скасовує панування меншості — вона лише змінює його форму. Певною мірою метод Моски мав і обмеження: він був переважно ілюстративним і спирався на добір яскравих прикладів, а не на систематичний аналіз усіх випадків. Проте сама логіка пошуку інваріантних рис політичного порядку була кроком уперед порівняно з нормативною традицією.</w:t>
      </w:r>
    </w:p>
    <w:p>
      <w:pPr>
        <w:keepNext w:val="0"/>
        <w:spacing w:line="360" w:lineRule="auto" w:before="0" w:after="0"/>
        <w:ind w:firstLine="709"/>
        <w:jc w:val="both"/>
      </w:pPr>
      <w:r>
        <w:rPr>
          <w:rFonts w:ascii="Times New Roman" w:hAnsi="Times New Roman" w:cs="Times New Roman" w:eastAsia="Times New Roman"/>
          <w:b w:val="0"/>
          <w:i w:val="0"/>
          <w:sz w:val="28"/>
        </w:rPr>
        <w:t>Підсумком розглянутого в цьому розділі стало те, що Моска здійснив десакралізацію старих ідеалістичних догм. Уявлення про державу як утілення розуму, про найкращий устрій як мету політичного пошуку, про народ як єдиного суверена були позбавлені ореолу самоочевидності й перетворені на предмет критичної перевірки фактами. Замість дедуктивних побудов було запропоновано сувору орієнтацію на історико-порівняльний метод і на пошук повторюваних залежностей. Сам Моска бачив у цьому практичне завдання: «соціалізм буде зупинено лише тоді, коли реалістична політична наука спроможеться зруйнувати метафізичні й оптимістичні методи, що нині панують у суспільних дослідженнях» [1, p. 327]. Саме ця сукупність ідейних передумов — усвідомлення кризи нормативного теоретизування, звернення до позитивістського ідеалу науки, опора на історію та статистику і вимога перевірки теорії фактами — заклала підґрунтя для перетворення політичного знання на емпіричну науку, розвиток якої становить зміст наступних розділів роботи.</w:t>
      </w:r>
    </w:p>
    <w:p>
      <w:pPr>
        <w:keepNext/>
        <w:spacing w:line="360" w:lineRule="auto" w:before="240" w:after="240"/>
        <w:ind w:firstLine="0"/>
        <w:jc w:val="center"/>
      </w:pPr>
      <w:r>
        <w:rPr>
          <w:rFonts w:ascii="Times New Roman" w:hAnsi="Times New Roman" w:cs="Times New Roman" w:eastAsia="Times New Roman"/>
          <w:b/>
          <w:i w:val="0"/>
          <w:sz w:val="28"/>
        </w:rPr>
        <w:t>ДЖЕРЕЛА ДО РОЗДІЛУ 1</w:t>
      </w:r>
    </w:p>
    <w:p>
      <w:pPr>
        <w:keepNext w:val="0"/>
        <w:spacing w:line="360" w:lineRule="auto" w:before="0" w:after="0"/>
        <w:ind w:firstLine="0" w:left="709"/>
        <w:jc w:val="both"/>
      </w:pPr>
      <w:r>
        <w:rPr>
          <w:rFonts w:ascii="Times New Roman" w:hAnsi="Times New Roman" w:cs="Times New Roman" w:eastAsia="Times New Roman"/>
          <w:b w:val="0"/>
          <w:i w:val="0"/>
          <w:sz w:val="28"/>
        </w:rPr>
        <w:t>1. Mosca G. The Ruling Class / ed. by A. Livingston, transl. by H. D. Kahn. New York ; London : McGraw-Hill, 1939. 514 p.</w:t>
      </w:r>
    </w:p>
    <w:p>
      <w:pPr>
        <w:keepNext w:val="0"/>
        <w:spacing w:line="360" w:lineRule="auto" w:before="0" w:after="0"/>
        <w:ind w:firstLine="0" w:left="709"/>
        <w:jc w:val="both"/>
      </w:pPr>
      <w:r>
        <w:rPr>
          <w:rFonts w:ascii="Times New Roman" w:hAnsi="Times New Roman" w:cs="Times New Roman" w:eastAsia="Times New Roman"/>
          <w:b w:val="0"/>
          <w:i w:val="0"/>
          <w:sz w:val="28"/>
        </w:rPr>
        <w:t>2. Bobbio N. Gaetano Mosca and the Theory of the Ruling Class // Banca Nazionale del Lavoro Quarterly Review. 1961. P. 3–23.</w:t>
      </w:r>
    </w:p>
    <w:p>
      <w:pPr>
        <w:keepNext w:val="0"/>
        <w:spacing w:line="360" w:lineRule="auto" w:before="0" w:after="0"/>
        <w:ind w:firstLine="0" w:left="709"/>
        <w:jc w:val="both"/>
      </w:pPr>
      <w:r>
        <w:rPr>
          <w:rFonts w:ascii="Times New Roman" w:hAnsi="Times New Roman" w:cs="Times New Roman" w:eastAsia="Times New Roman"/>
          <w:b w:val="0"/>
          <w:i w:val="0"/>
          <w:sz w:val="28"/>
        </w:rPr>
        <w:t>3. Martinelli C. Gaetano Mosca's Political Theories: a Key to Interpret the Dynamics of the Power // Italian Journal of Public Law. 2009. Vol. 1, No. 1. P. 1–44.</w:t>
      </w:r>
    </w:p>
    <w:p>
      <w:pPr>
        <w:keepNext w:val="0"/>
        <w:spacing w:line="360" w:lineRule="auto" w:before="0" w:after="0"/>
        <w:ind w:firstLine="0" w:left="709"/>
        <w:jc w:val="both"/>
      </w:pPr>
      <w:r>
        <w:rPr>
          <w:rFonts w:ascii="Times New Roman" w:hAnsi="Times New Roman" w:cs="Times New Roman" w:eastAsia="Times New Roman"/>
          <w:b w:val="0"/>
          <w:i w:val="0"/>
          <w:sz w:val="28"/>
        </w:rPr>
        <w:t>4. Haas M., Kariel H. S. (eds.). Approaches to the Study of Political Science. Scranton : Chandler Publishing Company, 1970. 530 p.</w:t>
      </w:r>
    </w:p>
    <w:p>
      <w:pPr>
        <w:keepNext w:val="0"/>
        <w:spacing w:line="360" w:lineRule="auto" w:before="0" w:after="0"/>
        <w:ind w:firstLine="0" w:left="709"/>
        <w:jc w:val="both"/>
      </w:pPr>
      <w:r>
        <w:rPr>
          <w:rFonts w:ascii="Times New Roman" w:hAnsi="Times New Roman" w:cs="Times New Roman" w:eastAsia="Times New Roman"/>
          <w:b w:val="0"/>
          <w:i w:val="0"/>
          <w:sz w:val="28"/>
        </w:rPr>
        <w:t>5. Damele G., Campos A. S. Introduction: Elite Theory – Philosophical Challenges // Topoi. 2022. Vol. 41. P. 1–5.</w:t>
      </w:r>
    </w:p>
    <w:sectPr w:rsidR="00FC693F" w:rsidRPr="0006063C" w:rsidSect="00034616">
      <w:pgSz w:w="11906" w:h="16838"/>
      <w:pgMar w:top="1134" w:right="567"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pPr>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