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color w:val="666666"/>
          <w:sz w:val="24"/>
          <w:szCs w:val="24"/>
        </w:rPr>
        <w:t xml:space="preserve">PetCare Platform</w:t>
      </w:r>
    </w:p>
    <w:p>
      <w:pPr>
        <w:spacing w:after="40"/>
        <w:jc w:val="center"/>
      </w:pPr>
      <w:r>
        <w:rPr>
          <w:rFonts w:ascii="Calibri" w:cs="Calibri" w:eastAsia="Calibri" w:hAnsi="Calibri"/>
          <w:b/>
          <w:bCs/>
          <w:sz w:val="40"/>
          <w:szCs w:val="40"/>
        </w:rPr>
        <w:t xml:space="preserve">Спецификација на Treatment Service</w:t>
      </w:r>
    </w:p>
    <w:p>
      <w:pPr>
        <w:spacing w:after="400"/>
        <w:jc w:val="center"/>
      </w:pPr>
      <w:r>
        <w:rPr>
          <w:rFonts w:ascii="Calibri" w:cs="Calibri" w:eastAsia="Calibri" w:hAnsi="Calibri"/>
          <w:i/>
          <w:iCs/>
          <w:color w:val="666666"/>
          <w:sz w:val="20"/>
          <w:szCs w:val="20"/>
        </w:rPr>
        <w:t xml:space="preserve">Член 3 од тимот · Сервисно ориентирани архитектури 2025/26</w:t>
      </w:r>
    </w:p>
    <w:p>
      <w:pPr>
        <w:pStyle w:val="Heading1"/>
        <w:spacing w:after="150" w:before="320"/>
      </w:pPr>
      <w:r>
        <w:t xml:space="preserve">1. Вовед</w:t>
      </w:r>
    </w:p>
    <w:p>
      <w:pPr>
        <w:spacing w:after="140"/>
      </w:pPr>
      <w:r>
        <w:rPr>
          <w:rFonts w:ascii="Calibri" w:cs="Calibri" w:eastAsia="Calibri" w:hAnsi="Calibri"/>
          <w:sz w:val="22"/>
          <w:szCs w:val="22"/>
        </w:rPr>
        <w:t xml:space="preserve">PetCare Platform е систем за дигитално управување со ветеринарна нега на миленичиња, изграден како три независни бизнис микросервиси (Pet Service, Appointment Service, Treatment Service), плус заеднички платформски компоненти (API Gateway, Keycloak, Consul, Kafka, MCP сервер, frontend). Секој сервис е одговорност на еден член од тимот и се развива, тестира и подигнува независно.</w:t>
      </w:r>
    </w:p>
    <w:p>
      <w:pPr>
        <w:spacing w:after="140"/>
      </w:pPr>
      <w:r>
        <w:rPr>
          <w:rFonts w:ascii="Calibri" w:cs="Calibri" w:eastAsia="Calibri" w:hAnsi="Calibri"/>
          <w:sz w:val="22"/>
          <w:szCs w:val="22"/>
        </w:rPr>
        <w:t xml:space="preserve">Овој документ ги опишува архитектурата и имплементацијата на Treatment Service (Treatment &amp; Notification Service) — сервисот одговорен за клиничката евиденција (медицински прегледи, вакцинации) и за генерирање и испорака на известувања кон сопственици и ветеринари, вклучувајќи автоматски потсетници за контроли и наредни вакцини.</w:t>
      </w:r>
    </w:p>
    <w:p>
      <w:pPr>
        <w:spacing w:after="140"/>
      </w:pPr>
      <w:r>
        <w:rPr>
          <w:rFonts w:ascii="Calibri" w:cs="Calibri" w:eastAsia="Calibri" w:hAnsi="Calibri"/>
          <w:sz w:val="22"/>
          <w:szCs w:val="22"/>
        </w:rPr>
        <w:t xml:space="preserve">За разлика од другите два сервиси, Treatment Service не изложува ниту еден свој ендпоинт кон Appointment/Pet Service синхроно — тој исклучиво реагира асинхроно, консумирајќи Kafka настани објавени од Appointment Service, и самостојно решава кога и кого да го извести. Ова е сервисот каде асинхроната, настан-водена комуникација (event-driven communication) е најизразена во целата платформа.</w:t>
      </w:r>
    </w:p>
    <w:p>
      <w:pPr>
        <w:pStyle w:val="Heading1"/>
        <w:spacing w:after="150" w:before="320"/>
      </w:pPr>
      <w:r>
        <w:t xml:space="preserve">2. Архитектура на сервисот (DDD слоеви)</w:t>
      </w:r>
    </w:p>
    <w:p>
      <w:pPr>
        <w:spacing w:after="140"/>
      </w:pPr>
      <w:r>
        <w:rPr>
          <w:rFonts w:ascii="Calibri" w:cs="Calibri" w:eastAsia="Calibri" w:hAnsi="Calibri"/>
          <w:sz w:val="22"/>
          <w:szCs w:val="22"/>
        </w:rPr>
        <w:t xml:space="preserve">Treatment Service е структуриран според Domain-Driven Design, поделен во четири јасно одвоени слоја:</w:t>
      </w:r>
    </w:p>
    <w:p>
      <w:pPr>
        <w:pStyle w:val="ListParagraph"/>
        <w:numPr>
          <w:ilvl w:val="0"/>
          <w:numId w:val="2"/>
        </w:numPr>
        <w:spacing w:after="60"/>
      </w:pPr>
      <w:r>
        <w:rPr>
          <w:rFonts w:ascii="Calibri" w:cs="Calibri" w:eastAsia="Calibri" w:hAnsi="Calibri"/>
          <w:sz w:val="22"/>
          <w:szCs w:val="22"/>
        </w:rPr>
        <w:t xml:space="preserve">Domain – ентитети (MedicalExamination, Vaccination, Notification), value objects (Diagnosis, TreatmentPlan, VaccineName, VaccinationSchedule, SourceEventId, NotificationContent) и бизнис правила, без зависности од инфраструктура.</w:t>
      </w:r>
    </w:p>
    <w:p>
      <w:pPr>
        <w:pStyle w:val="ListParagraph"/>
        <w:numPr>
          <w:ilvl w:val="0"/>
          <w:numId w:val="2"/>
        </w:numPr>
        <w:spacing w:after="60"/>
      </w:pPr>
      <w:r>
        <w:rPr>
          <w:rFonts w:ascii="Calibri" w:cs="Calibri" w:eastAsia="Calibri" w:hAnsi="Calibri"/>
          <w:sz w:val="22"/>
          <w:szCs w:val="22"/>
        </w:rPr>
        <w:t xml:space="preserve">Application – command/query handlers, апликациски сервиси (AppointmentNotificationApplicationService), и dispatcher за доменски настани (DomainEventDispatcher).</w:t>
      </w:r>
    </w:p>
    <w:p>
      <w:pPr>
        <w:pStyle w:val="ListParagraph"/>
        <w:numPr>
          <w:ilvl w:val="0"/>
          <w:numId w:val="2"/>
        </w:numPr>
        <w:spacing w:after="60"/>
      </w:pPr>
      <w:r>
        <w:rPr>
          <w:rFonts w:ascii="Calibri" w:cs="Calibri" w:eastAsia="Calibri" w:hAnsi="Calibri"/>
          <w:sz w:val="22"/>
          <w:szCs w:val="22"/>
        </w:rPr>
        <w:t xml:space="preserve">Infrastructure – EF Core/PostgreSQL репозиториуми, Kafka consumer (AppointmentEventConsumer), позадински worker за испорака на известувања (NotificationDeliveryWorker), испраќач на известувања (INotificationSender).</w:t>
      </w:r>
    </w:p>
    <w:p>
      <w:pPr>
        <w:pStyle w:val="ListParagraph"/>
        <w:numPr>
          <w:ilvl w:val="0"/>
          <w:numId w:val="2"/>
        </w:numPr>
        <w:spacing w:after="60"/>
      </w:pPr>
      <w:r>
        <w:rPr>
          <w:rFonts w:ascii="Calibri" w:cs="Calibri" w:eastAsia="Calibri" w:hAnsi="Calibri"/>
          <w:sz w:val="22"/>
          <w:szCs w:val="22"/>
        </w:rPr>
        <w:t xml:space="preserve">Api – REST контролери, автентикација/авторизација, DomainExceptionMiddleware за мапирање на доменски исклучоци во HTTP статус кодови.</w:t>
      </w:r>
    </w:p>
    <w:p>
      <w:pPr>
        <w:spacing w:after="140"/>
      </w:pPr>
      <w:r>
        <w:rPr>
          <w:rFonts w:ascii="Calibri" w:cs="Calibri" w:eastAsia="Calibri" w:hAnsi="Calibri"/>
          <w:sz w:val="22"/>
          <w:szCs w:val="22"/>
        </w:rPr>
        <w:t xml:space="preserve">Специфично за овој сервис, доменскиот слој дополнително содржи и доменски настани (domain events) – ентитетите MedicalExamination и Vaccination самите генерираат внатрешни настани (FollowUpReminderRequested, VaccinationReminderRequested) кога се внесува закажана контрола/наредна вакцина, кои потоа Application слојот ги обработува откако промената е зачувана – класична примена на DDD доменски настани, одвоена од надворешната Kafka интеграција.</w:t>
      </w:r>
    </w:p>
    <w:p>
      <w:pPr>
        <w:pBdr>
          <w:top w:val="dashed" w:color="999999" w:sz="6"/>
          <w:bottom w:val="dashed" w:color="999999" w:sz="6"/>
          <w:left w:val="dashed" w:color="999999" w:sz="6"/>
          <w:right w:val="dashed" w:color="999999" w:sz="6"/>
        </w:pBdr>
        <w:spacing w:after="60" w:before="200"/>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bottom w:val="dashed" w:color="999999" w:sz="6"/>
          <w:left w:val="dashed" w:color="999999" w:sz="6"/>
          <w:right w:val="dashed" w:color="999999" w:sz="6"/>
        </w:pBdr>
        <w:spacing w:after="40"/>
        <w:jc w:val="center"/>
      </w:pPr>
      <w:r>
        <w:rPr>
          <w:rFonts w:ascii="Calibri" w:cs="Calibri" w:eastAsia="Calibri" w:hAnsi="Calibri"/>
          <w:i/>
          <w:iCs/>
          <w:color w:val="888888"/>
          <w:sz w:val="20"/>
          <w:szCs w:val="20"/>
        </w:rPr>
        <w:t xml:space="preserve">[ ТУКА ВМЕТНИ ЈА СЛИКАТА ]</w:t>
      </w:r>
    </w:p>
    <w:p>
      <w:pPr>
        <w:spacing w:after="260"/>
        <w:jc w:val="center"/>
      </w:pPr>
      <w:r>
        <w:rPr>
          <w:rFonts w:ascii="Calibri" w:cs="Calibri" w:eastAsia="Calibri" w:hAnsi="Calibri"/>
          <w:i/>
          <w:iCs/>
          <w:color w:val="555555"/>
          <w:sz w:val="20"/>
          <w:szCs w:val="20"/>
        </w:rPr>
        <w:t xml:space="preserve">Слика 1: Архитектурен дијаграм на Treatment Service во контекст на целата платформа (Appointment Service → Kafka → Treatment Service → известувања).</w:t>
      </w:r>
    </w:p>
    <w:p>
      <w:pPr>
        <w:pStyle w:val="Heading1"/>
        <w:spacing w:after="150" w:before="320"/>
      </w:pPr>
      <w:r>
        <w:t xml:space="preserve">3. Домејн модел</w:t>
      </w:r>
    </w:p>
    <w:p>
      <w:pPr>
        <w:spacing w:after="140"/>
      </w:pPr>
      <w:r>
        <w:rPr>
          <w:rFonts w:ascii="Calibri" w:cs="Calibri" w:eastAsia="Calibri" w:hAnsi="Calibri"/>
          <w:sz w:val="22"/>
          <w:szCs w:val="22"/>
        </w:rPr>
        <w:t xml:space="preserve">Клучните ентитети (сите се aggregate roots) и нивните најважни бизнис правила:</w:t>
      </w:r>
    </w:p>
    <w:p>
      <w:pPr>
        <w:pStyle w:val="ListParagraph"/>
        <w:numPr>
          <w:ilvl w:val="0"/>
          <w:numId w:val="2"/>
        </w:numPr>
        <w:spacing w:after="60"/>
      </w:pPr>
      <w:r>
        <w:rPr>
          <w:rFonts w:ascii="Calibri" w:cs="Calibri" w:eastAsia="Calibri" w:hAnsi="Calibri"/>
          <w:sz w:val="22"/>
          <w:szCs w:val="22"/>
        </w:rPr>
        <w:t xml:space="preserve">MedicalExamination – непроменлива клиничка евиденција за преглед (пациент, сопственик, ветеринар, дијагноза, план на лекување, лекови, опционална следна контрола). При создавање, доколку е зададена NextControlAtUtc, ентитетот сам генерира доменски настан FollowUpReminderRequested.</w:t>
      </w:r>
    </w:p>
    <w:p>
      <w:pPr>
        <w:pStyle w:val="ListParagraph"/>
        <w:numPr>
          <w:ilvl w:val="0"/>
          <w:numId w:val="2"/>
        </w:numPr>
        <w:spacing w:after="60"/>
      </w:pPr>
      <w:r>
        <w:rPr>
          <w:rFonts w:ascii="Calibri" w:cs="Calibri" w:eastAsia="Calibri" w:hAnsi="Calibri"/>
          <w:sz w:val="22"/>
          <w:szCs w:val="22"/>
        </w:rPr>
        <w:t xml:space="preserve">Vaccination – администрирана вакцина (име, датум на администрирање преку VaccinationSchedule, опционален следен датум, број на серија). Аналогно, при зададен NextDueOn генерира VaccinationReminderRequested.</w:t>
      </w:r>
    </w:p>
    <w:p>
      <w:pPr>
        <w:pStyle w:val="ListParagraph"/>
        <w:numPr>
          <w:ilvl w:val="0"/>
          <w:numId w:val="2"/>
        </w:numPr>
        <w:spacing w:after="60"/>
      </w:pPr>
      <w:r>
        <w:rPr>
          <w:rFonts w:ascii="Calibri" w:cs="Calibri" w:eastAsia="Calibri" w:hAnsi="Calibri"/>
          <w:sz w:val="22"/>
          <w:szCs w:val="22"/>
        </w:rPr>
        <w:t xml:space="preserve">Notification – закажано, идемпотентно известување. Статусот (Pending/Sent/Failed) се менува исклучиво преку MarkSent()/MarkFailed(), кои дозволуваат премин само од Pending. Секое известување носи SourceEventId – единствен клуч изведен од изворниот настан + тип + примач, кој спречува создавање дупликат известувања доколку истиот Kafka настан случајно се обработи двапати.</w:t>
      </w:r>
    </w:p>
    <w:p>
      <w:pPr>
        <w:spacing w:after="140"/>
      </w:pPr>
      <w:r>
        <w:rPr>
          <w:rFonts w:ascii="Calibri" w:cs="Calibri" w:eastAsia="Calibri" w:hAnsi="Calibri"/>
          <w:sz w:val="22"/>
          <w:szCs w:val="22"/>
        </w:rPr>
        <w:t xml:space="preserve">Value objects како Diagnosis, TreatmentPlan, VaccineName и NotificationContent гарантираат дека текстуалните полиња никогаш не се празни и не ги надминуваат дозволените должини; VaccinationSchedule гарантира дека следниот датум секогаш е по датумот на администрирање. Сите овие проверки фрлаат DomainValidationException, централно мапирана во 400 Bad Request.</w:t>
      </w:r>
    </w:p>
    <w:p>
      <w:pPr>
        <w:pStyle w:val="Heading1"/>
        <w:spacing w:after="150" w:before="320"/>
      </w:pPr>
      <w:r>
        <w:t xml:space="preserve">4. Работен тек: од Kafka настан до две известувања</w:t>
      </w:r>
    </w:p>
    <w:p>
      <w:pPr>
        <w:spacing w:after="140"/>
      </w:pPr>
      <w:r>
        <w:rPr>
          <w:rFonts w:ascii="Calibri" w:cs="Calibri" w:eastAsia="Calibri" w:hAnsi="Calibri"/>
          <w:sz w:val="22"/>
          <w:szCs w:val="22"/>
        </w:rPr>
        <w:t xml:space="preserve">Пример: Appointment Service објавува AppointmentScheduledEvent. Чекор-по-чекор, што се случува во Treatment Service:</w:t>
      </w:r>
    </w:p>
    <w:p>
      <w:pPr>
        <w:pStyle w:val="ListParagraph"/>
        <w:numPr>
          <w:ilvl w:val="0"/>
          <w:numId w:val="3"/>
        </w:numPr>
        <w:spacing w:after="60"/>
      </w:pPr>
      <w:r>
        <w:rPr>
          <w:rFonts w:ascii="Calibri" w:cs="Calibri" w:eastAsia="Calibri" w:hAnsi="Calibri"/>
          <w:sz w:val="22"/>
          <w:szCs w:val="22"/>
        </w:rPr>
        <w:t xml:space="preserve">AppointmentEventConsumer (BackgroundService) го прима записот од темата petcare.appointments, го депаковува IntegrationEventEnvelope-от и, според EventType полето, го проследува кон AppointmentNotificationApplicationService.HandleAsync.</w:t>
      </w:r>
    </w:p>
    <w:p>
      <w:pPr>
        <w:pStyle w:val="ListParagraph"/>
        <w:numPr>
          <w:ilvl w:val="0"/>
          <w:numId w:val="3"/>
        </w:numPr>
        <w:spacing w:after="60"/>
      </w:pPr>
      <w:r>
        <w:rPr>
          <w:rFonts w:ascii="Calibri" w:cs="Calibri" w:eastAsia="Calibri" w:hAnsi="Calibri"/>
          <w:sz w:val="22"/>
          <w:szCs w:val="22"/>
        </w:rPr>
        <w:t xml:space="preserve">Апликацискиот сервис создава две одделни известувања за истиот настан – едно за сопственикот ("Appointment scheduled") и едно за ветеринарот ("Availability slot booked") – секое со свој SourceEventId composed од настанот, типот и примачот (на пр. appointment:AppointmentScheduled:{eventId}:owner).</w:t>
      </w:r>
    </w:p>
    <w:p>
      <w:pPr>
        <w:pStyle w:val="ListParagraph"/>
        <w:numPr>
          <w:ilvl w:val="0"/>
          <w:numId w:val="3"/>
        </w:numPr>
        <w:spacing w:after="60"/>
      </w:pPr>
      <w:r>
        <w:rPr>
          <w:rFonts w:ascii="Calibri" w:cs="Calibri" w:eastAsia="Calibri" w:hAnsi="Calibri"/>
          <w:sz w:val="22"/>
          <w:szCs w:val="22"/>
        </w:rPr>
        <w:t xml:space="preserve">Пред создавање, се проверува дали известување со истиот SourceEventId веќе постои (notifications.ExistsBySourceEventIdAsync) – доколку да, повикот тивко излегува, гарантирајќи идемпотентност дури и ако Kafka испорача ист запис двапати.</w:t>
      </w:r>
    </w:p>
    <w:p>
      <w:pPr>
        <w:pStyle w:val="ListParagraph"/>
        <w:numPr>
          <w:ilvl w:val="0"/>
          <w:numId w:val="3"/>
        </w:numPr>
        <w:spacing w:after="60"/>
      </w:pPr>
      <w:r>
        <w:rPr>
          <w:rFonts w:ascii="Calibri" w:cs="Calibri" w:eastAsia="Calibri" w:hAnsi="Calibri"/>
          <w:sz w:val="22"/>
          <w:szCs w:val="22"/>
        </w:rPr>
        <w:t xml:space="preserve">Известувањето за сопственикот се закажува за 1 ден пред терминот (или веднаш, доколку до терминот остануваат помалку од 24 часа); известувањето за ветеринарот се закажува веднаш.</w:t>
      </w:r>
    </w:p>
    <w:p>
      <w:pPr>
        <w:pStyle w:val="ListParagraph"/>
        <w:numPr>
          <w:ilvl w:val="0"/>
          <w:numId w:val="3"/>
        </w:numPr>
        <w:spacing w:after="60"/>
      </w:pPr>
      <w:r>
        <w:rPr>
          <w:rFonts w:ascii="Calibri" w:cs="Calibri" w:eastAsia="Calibri" w:hAnsi="Calibri"/>
          <w:sz w:val="22"/>
          <w:szCs w:val="22"/>
        </w:rPr>
        <w:t xml:space="preserve">Consumer-от ја потврдува (commit) Kafka офсетот дури откако целата обработка (вклучувајќи го зачувувањето во база) успешно завршила – доколку паднe пред тоа, записот автоматски ќе се преработи при следното читање.</w:t>
      </w:r>
    </w:p>
    <w:p>
      <w:pPr>
        <w:pStyle w:val="ListParagraph"/>
        <w:numPr>
          <w:ilvl w:val="0"/>
          <w:numId w:val="3"/>
        </w:numPr>
        <w:spacing w:after="60"/>
      </w:pPr>
      <w:r>
        <w:rPr>
          <w:rFonts w:ascii="Calibri" w:cs="Calibri" w:eastAsia="Calibri" w:hAnsi="Calibri"/>
          <w:sz w:val="22"/>
          <w:szCs w:val="22"/>
        </w:rPr>
        <w:t xml:space="preserve">Одделно, NotificationDeliveryWorker (позадински worker) на секои 15 секунди прашува кои известувања се "due" (ScheduledForUtc е поминато), ги испорачува преку INotificationSender, и ги означува како Sent или Failed.</w:t>
      </w:r>
    </w:p>
    <w:p>
      <w:pPr>
        <w:spacing w:after="140"/>
      </w:pPr>
      <w:r>
        <w:rPr>
          <w:rFonts w:ascii="Calibri" w:cs="Calibri" w:eastAsia="Calibri" w:hAnsi="Calibri"/>
          <w:sz w:val="22"/>
          <w:szCs w:val="22"/>
        </w:rPr>
        <w:t xml:space="preserve">Истиот образец на идемпотентност преку SourceEventId важи и за потсетниците генерирани од внатрешните доменски настани (FollowUpReminderRequested, VaccinationReminderRequested).</w:t>
      </w:r>
    </w:p>
    <w:p>
      <w:pPr>
        <w:pStyle w:val="Heading1"/>
        <w:spacing w:after="150" w:before="320"/>
      </w:pPr>
      <w:r>
        <w:t xml:space="preserve">5. REST API</w:t>
      </w:r>
    </w:p>
    <w:p>
      <w:pPr>
        <w:spacing w:after="140"/>
      </w:pPr>
      <w:r>
        <w:rPr>
          <w:rFonts w:ascii="Calibri" w:cs="Calibri" w:eastAsia="Calibri" w:hAnsi="Calibri"/>
          <w:sz w:val="22"/>
          <w:szCs w:val="22"/>
        </w:rPr>
        <w:t xml:space="preserve">Сите ендпоинти бараат валиден Keycloak JWT (Authorize).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2200"/>
      </w:tblGrid>
      <w:tr>
        <w:tc>
          <w:tcPr>
            <w:tcW w:type="dxa" w:w="2600"/>
            <w:shd w:fill="2E4057" w:val="clear"/>
            <w:tcMar>
              <w:top w:type="dxa" w:w="80"/>
              <w:left w:type="dxa" w:w="100"/>
              <w:bottom w:type="dxa" w:w="80"/>
              <w:right w:type="dxa" w:w="100"/>
            </w:tcMar>
          </w:tcPr>
          <w:p>
            <w:r>
              <w:rPr>
                <w:rFonts w:ascii="Calibri" w:cs="Calibri" w:eastAsia="Calibri" w:hAnsi="Calibri"/>
                <w:b/>
                <w:bCs/>
                <w:color w:val="FFFFFF"/>
                <w:sz w:val="20"/>
                <w:szCs w:val="20"/>
              </w:rPr>
              <w:t xml:space="preserve">Ендпоинт</w:t>
            </w:r>
          </w:p>
        </w:tc>
        <w:tc>
          <w:tcPr>
            <w:tcW w:type="dxa" w:w="5200"/>
            <w:shd w:fill="2E4057" w:val="clear"/>
            <w:tcMar>
              <w:top w:type="dxa" w:w="80"/>
              <w:left w:type="dxa" w:w="100"/>
              <w:bottom w:type="dxa" w:w="80"/>
              <w:right w:type="dxa" w:w="100"/>
            </w:tcMar>
          </w:tcPr>
          <w:p>
            <w:r>
              <w:rPr>
                <w:rFonts w:ascii="Calibri" w:cs="Calibri" w:eastAsia="Calibri" w:hAnsi="Calibri"/>
                <w:b/>
                <w:bCs/>
                <w:color w:val="FFFFFF"/>
                <w:sz w:val="20"/>
                <w:szCs w:val="20"/>
              </w:rPr>
              <w:t xml:space="preserve">Опис</w:t>
            </w:r>
          </w:p>
        </w:tc>
        <w:tc>
          <w:tcPr>
            <w:tcW w:type="dxa" w:w="2200"/>
            <w:shd w:fill="2E4057" w:val="clear"/>
            <w:tcMar>
              <w:top w:type="dxa" w:w="80"/>
              <w:left w:type="dxa" w:w="100"/>
              <w:bottom w:type="dxa" w:w="80"/>
              <w:right w:type="dxa" w:w="100"/>
            </w:tcMar>
          </w:tcPr>
          <w:p>
            <w:r>
              <w:rPr>
                <w:rFonts w:ascii="Calibri" w:cs="Calibri" w:eastAsia="Calibri" w:hAnsi="Calibri"/>
                <w:b/>
                <w:bCs/>
                <w:color w:val="FFFFFF"/>
                <w:sz w:val="20"/>
                <w:szCs w:val="20"/>
              </w:rPr>
              <w:t xml:space="preserve">Улога</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 /api/treatments</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Евидентирање медицински преглед</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veterinarian, admin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PUT/DELETE /api/treatments/{id}</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Уредување / бришење преглед</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veterinarian, admin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GET /api/treatments/pet/{petId}</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Медицинска историја на миленче</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секој авт. корисник</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GET /api/treatments/veterinarian/{id}</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Прегледи изведени од ветеринар</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veterinarian, admin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 /api/vaccinations</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Евидентирање вакцинација</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veterinarian, admin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PUT/DELETE /api/vaccinations/{id}</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Уредување / бришење вакцинација</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veterinarian, admin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GET /api/vaccinations/pet/{petId}</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Историја на вакцинации</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секој авт. корисник</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GET /api/vaccinations/pet/{petId}/next</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Наредна закажана вакцина</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секој авт. корисник</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GET /api/vaccinations/veterinarian/{id}</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Вакцинации изведени од ветеринар</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veterinarian, admin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GET /api/notifications/owner/{ownerId}</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Известувања на сопственик</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owner, admin, service</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GET /api/notifications/veterinarian/{id}</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Известувања на ветеринар</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veterinarian, admin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 /api/notifications</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Рачно создавање известување</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admin, service</w:t>
            </w:r>
          </w:p>
        </w:tc>
      </w:tr>
    </w:tbl>
    <w:p>
      <w:pPr>
        <w:pStyle w:val="Heading2"/>
        <w:spacing w:after="120" w:before="240"/>
      </w:pPr>
      <w:r>
        <w:t xml:space="preserve">5.1 Пример: POST /api/treatments</w:t>
      </w:r>
    </w:p>
    <w:p>
      <w:pPr>
        <w:spacing w:after="140"/>
      </w:pPr>
      <w:r>
        <w:rPr>
          <w:rFonts w:ascii="Calibri" w:cs="Calibri" w:eastAsia="Calibri" w:hAnsi="Calibri"/>
          <w:sz w:val="22"/>
          <w:szCs w:val="22"/>
        </w:rPr>
        <w:t xml:space="preserve">Барање:</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POST /api/treatments</w:t>
      </w:r>
      <w:r>
        <w:rPr>
          <w:rFonts w:ascii="Consolas" w:cs="Consolas" w:eastAsia="Consolas" w:hAnsi="Consolas"/>
          <w:sz w:val="18"/>
          <w:szCs w:val="18"/>
        </w:rPr>
        <w:br/>
        <w:t xml:space="preserve">Authorization: Bearer &lt;veterinarian JWT&gt;</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"petId": "44444444-...", "ownerId": "11111111-...", "veterinarianId": "22222222-...",</w:t>
      </w:r>
      <w:r>
        <w:rPr>
          <w:rFonts w:ascii="Consolas" w:cs="Consolas" w:eastAsia="Consolas" w:hAnsi="Consolas"/>
          <w:sz w:val="18"/>
          <w:szCs w:val="18"/>
        </w:rPr>
        <w:br/>
        <w:t xml:space="preserve">  "examinedAtUtc": "2026-08-14T08:00:00Z",</w:t>
      </w:r>
      <w:r>
        <w:rPr>
          <w:rFonts w:ascii="Consolas" w:cs="Consolas" w:eastAsia="Consolas" w:hAnsi="Consolas"/>
          <w:sz w:val="18"/>
          <w:szCs w:val="18"/>
        </w:rPr>
        <w:br/>
        <w:t xml:space="preserve">  "diagnosis": "Healthy", "treatmentPlan": "No treatment required",</w:t>
      </w:r>
      <w:r>
        <w:rPr>
          <w:rFonts w:ascii="Consolas" w:cs="Consolas" w:eastAsia="Consolas" w:hAnsi="Consolas"/>
          <w:sz w:val="18"/>
          <w:szCs w:val="18"/>
        </w:rPr>
        <w:br/>
        <w:t xml:space="preserve">  "nextControlAtUtc": "2026-11-14T08:00:00Z"</w:t>
      </w:r>
      <w:r>
        <w:rPr>
          <w:rFonts w:ascii="Consolas" w:cs="Consolas" w:eastAsia="Consolas" w:hAnsi="Consolas"/>
          <w:sz w:val="18"/>
          <w:szCs w:val="18"/>
        </w:rPr>
        <w:br/>
        <w:t xml:space="preserve">}</w:t>
      </w:r>
    </w:p>
    <w:p>
      <w:pPr>
        <w:spacing w:after="140"/>
      </w:pPr>
      <w:r>
        <w:rPr>
          <w:rFonts w:ascii="Calibri" w:cs="Calibri" w:eastAsia="Calibri" w:hAnsi="Calibri"/>
          <w:sz w:val="22"/>
          <w:szCs w:val="22"/>
        </w:rPr>
        <w:t xml:space="preserve">Одговор (201 Created) — а во позадина, ентитетот веднаш регистрира FollowUpReminderRequested доменски настан, кој по SaveChanges создава Notification со ScheduledForUtc еден ден пред 2026-11-14.</w:t>
      </w:r>
    </w:p>
    <w:p>
      <w:pPr>
        <w:pStyle w:val="Heading1"/>
        <w:spacing w:after="150" w:before="320"/>
      </w:pPr>
      <w:r>
        <w:t xml:space="preserve">6. Мапирање на грешки</w:t>
      </w:r>
    </w:p>
    <w:p>
      <w:pPr>
        <w:spacing w:after="140"/>
      </w:pPr>
      <w:r>
        <w:rPr>
          <w:rFonts w:ascii="Calibri" w:cs="Calibri" w:eastAsia="Calibri" w:hAnsi="Calibri"/>
          <w:sz w:val="22"/>
          <w:szCs w:val="22"/>
        </w:rPr>
        <w:t xml:space="preserve">DomainExceptionMiddleware централно ги преведува доменските исклучоци во HTTP статус:</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3600"/>
      </w:tblGrid>
      <w:tr>
        <w:tc>
          <w:tcPr>
            <w:tcW w:type="dxa" w:w="4200"/>
            <w:shd w:fill="2E4057" w:val="clear"/>
            <w:tcMar>
              <w:top w:type="dxa" w:w="80"/>
              <w:left w:type="dxa" w:w="100"/>
              <w:bottom w:type="dxa" w:w="80"/>
              <w:right w:type="dxa" w:w="100"/>
            </w:tcMar>
          </w:tcPr>
          <w:p>
            <w:r>
              <w:rPr>
                <w:rFonts w:ascii="Calibri" w:cs="Calibri" w:eastAsia="Calibri" w:hAnsi="Calibri"/>
                <w:b/>
                <w:bCs/>
                <w:color w:val="FFFFFF"/>
                <w:sz w:val="20"/>
                <w:szCs w:val="20"/>
              </w:rPr>
              <w:t xml:space="preserve">Исклучок</w:t>
            </w:r>
          </w:p>
        </w:tc>
        <w:tc>
          <w:tcPr>
            <w:tcW w:type="dxa" w:w="2200"/>
            <w:shd w:fill="2E4057" w:val="clear"/>
            <w:tcMar>
              <w:top w:type="dxa" w:w="80"/>
              <w:left w:type="dxa" w:w="100"/>
              <w:bottom w:type="dxa" w:w="80"/>
              <w:right w:type="dxa" w:w="100"/>
            </w:tcMar>
          </w:tcPr>
          <w:p>
            <w:r>
              <w:rPr>
                <w:rFonts w:ascii="Calibri" w:cs="Calibri" w:eastAsia="Calibri" w:hAnsi="Calibri"/>
                <w:b/>
                <w:bCs/>
                <w:color w:val="FFFFFF"/>
                <w:sz w:val="20"/>
                <w:szCs w:val="20"/>
              </w:rPr>
              <w:t xml:space="preserve">HTTP статус</w:t>
            </w:r>
          </w:p>
        </w:tc>
        <w:tc>
          <w:tcPr>
            <w:tcW w:type="dxa" w:w="3600"/>
            <w:shd w:fill="2E4057" w:val="clear"/>
            <w:tcMar>
              <w:top w:type="dxa" w:w="80"/>
              <w:left w:type="dxa" w:w="100"/>
              <w:bottom w:type="dxa" w:w="80"/>
              <w:right w:type="dxa" w:w="100"/>
            </w:tcMar>
          </w:tcPr>
          <w:p>
            <w:r>
              <w:rPr>
                <w:rFonts w:ascii="Calibri" w:cs="Calibri" w:eastAsia="Calibri" w:hAnsi="Calibri"/>
                <w:b/>
                <w:bCs/>
                <w:color w:val="FFFFFF"/>
                <w:sz w:val="20"/>
                <w:szCs w:val="20"/>
              </w:rPr>
              <w:t xml:space="preserve">Кога се случува</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DomainValidationException</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400</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Прекршено доменско правило (пр. следна контрола пред прегледот)</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ArgumentException</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400</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Невалиден аргумент</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DuplicateSourceEventException</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409</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Дупликат SourceEventId</w:t>
            </w:r>
          </w:p>
        </w:tc>
      </w:tr>
    </w:tbl>
    <w:p>
      <w:pPr>
        <w:pStyle w:val="Heading1"/>
        <w:spacing w:after="150" w:before="320"/>
      </w:pPr>
      <w:r>
        <w:t xml:space="preserve">7. Комуникација со останатите сервиси</w:t>
      </w:r>
    </w:p>
    <w:p>
      <w:pPr>
        <w:pStyle w:val="Heading2"/>
        <w:spacing w:after="120" w:before="240"/>
      </w:pPr>
      <w:r>
        <w:t xml:space="preserve">7.1 Асинхрона консумација – Kafka</w:t>
      </w:r>
    </w:p>
    <w:p>
      <w:pPr>
        <w:spacing w:after="140"/>
      </w:pPr>
      <w:r>
        <w:rPr>
          <w:rFonts w:ascii="Calibri" w:cs="Calibri" w:eastAsia="Calibri" w:hAnsi="Calibri"/>
          <w:sz w:val="22"/>
          <w:szCs w:val="22"/>
        </w:rPr>
        <w:t xml:space="preserve">Treatment Service е чист Kafka consumer на темата petcare.appointments (BackgroundService AppointmentEventConsumer), со ManualCommit (EnableAutoCommit = false) — офсетот се потврдува рачно, дури откако записот е целосно обработен и зачуван, никогаш однапред.</w:t>
      </w:r>
    </w:p>
    <w:p>
      <w:pPr>
        <w:spacing w:after="140"/>
      </w:pPr>
      <w:r>
        <w:rPr>
          <w:rFonts w:ascii="Calibri" w:cs="Calibri" w:eastAsia="Calibri" w:hAnsi="Calibri"/>
          <w:sz w:val="22"/>
          <w:szCs w:val="22"/>
        </w:rPr>
        <w:t xml:space="preserve">Секој запис што ќе падне при обработка се обидува повторно до Kafka:MaxProcessingAttempts пати (со Kafka:RetryDelayMilliseconds пауза меѓу обидите); доколку и по сите обиди продолжи да пропаѓа, записот се препраќа кон dead-letter темата (petcare.appointments.dlq) заедно со детали за грешката (тип, порака, број обиди), и дури тогаш се потврдува офсетот на оригиналниот запис — со тоа еден трајно расипан запис никогаш не го блокира читањето на следните записи, но истовремено не се губи тивко.</w:t>
      </w:r>
    </w:p>
    <w:p>
      <w:pPr>
        <w:pStyle w:val="Heading2"/>
        <w:spacing w:after="120" w:before="240"/>
      </w:pPr>
      <w:r>
        <w:t xml:space="preserve">7.2 Позадинска испорака на известувања</w:t>
      </w:r>
    </w:p>
    <w:p>
      <w:pPr>
        <w:spacing w:after="140"/>
      </w:pPr>
      <w:r>
        <w:rPr>
          <w:rFonts w:ascii="Calibri" w:cs="Calibri" w:eastAsia="Calibri" w:hAnsi="Calibri"/>
          <w:sz w:val="22"/>
          <w:szCs w:val="22"/>
        </w:rPr>
        <w:t xml:space="preserve">NotificationDeliveryWorker е одделен BackgroundService кој на секои 15 секунди презема серија (до 100) достасани известувања (Status=Pending, ScheduledForUtc ≤ сега) и ги предава на INotificationSender. Тековната имплементација (ConsoleNotificationSender) намерно пишува на конзолата на сервисот — испораката преку е-пошта/SMS е надвор од опфатот на овој проект, но интерфејсот е веќе одвоен токму за да може подоцна да се замени без да се допира остатокот од логиката.</w:t>
      </w:r>
    </w:p>
    <w:p>
      <w:pPr>
        <w:pStyle w:val="Heading2"/>
        <w:spacing w:after="120" w:before="240"/>
      </w:pPr>
      <w:r>
        <w:t xml:space="preserve">7.3 Без Consul, без сопствени излезни повици</w:t>
      </w:r>
    </w:p>
    <w:p>
      <w:pPr>
        <w:spacing w:after="140"/>
      </w:pPr>
      <w:r>
        <w:rPr>
          <w:rFonts w:ascii="Calibri" w:cs="Calibri" w:eastAsia="Calibri" w:hAnsi="Calibri"/>
          <w:sz w:val="22"/>
          <w:szCs w:val="22"/>
        </w:rPr>
        <w:t xml:space="preserve">За разлика од Pet Service и Appointment Service, Treatment Service не се регистрира во Consul и нема ниту еден излезен HTTP повик кон друг бизнис сервис – целата негова комуникација е еднонасочна консумација на Kafka настани плус сопствен REST API за читање. Gateway/MCP/frontend го читаат директно преку неговата статички конфигурирана адреса.</w:t>
      </w:r>
    </w:p>
    <w:p>
      <w:pPr>
        <w:pStyle w:val="Heading1"/>
        <w:spacing w:after="150" w:before="320"/>
      </w:pPr>
      <w:r>
        <w:t xml:space="preserve">8. Безбедност</w:t>
      </w:r>
    </w:p>
    <w:p>
      <w:pPr>
        <w:spacing w:after="140"/>
      </w:pPr>
      <w:r>
        <w:rPr>
          <w:rFonts w:ascii="Calibri" w:cs="Calibri" w:eastAsia="Calibri" w:hAnsi="Calibri"/>
          <w:sz w:val="22"/>
          <w:szCs w:val="22"/>
        </w:rPr>
        <w:t xml:space="preserve">Автентикацијата и авторизацијата одат преку Keycloak (realm petcare), исто како кај останатите сервиси:</w:t>
      </w:r>
    </w:p>
    <w:p>
      <w:pPr>
        <w:pStyle w:val="ListParagraph"/>
        <w:numPr>
          <w:ilvl w:val="0"/>
          <w:numId w:val="2"/>
        </w:numPr>
        <w:spacing w:after="60"/>
      </w:pPr>
      <w:r>
        <w:rPr>
          <w:rFonts w:ascii="Calibri" w:cs="Calibri" w:eastAsia="Calibri" w:hAnsi="Calibri"/>
          <w:sz w:val="22"/>
          <w:szCs w:val="22"/>
        </w:rPr>
        <w:t xml:space="preserve">Секој REST ендпоинт бара валиден JWT (Authorize), а операциите кои внесуваат клинички податоци (прегледи, вакцинации) бараат улога veterinarian или admin.</w:t>
      </w:r>
    </w:p>
    <w:p>
      <w:pPr>
        <w:pStyle w:val="ListParagraph"/>
        <w:numPr>
          <w:ilvl w:val="0"/>
          <w:numId w:val="2"/>
        </w:numPr>
        <w:spacing w:after="60"/>
      </w:pPr>
      <w:r>
        <w:rPr>
          <w:rFonts w:ascii="Calibri" w:cs="Calibri" w:eastAsia="Calibri" w:hAnsi="Calibri"/>
          <w:sz w:val="22"/>
          <w:szCs w:val="22"/>
        </w:rPr>
        <w:t xml:space="preserve">Читањето на известувања за конкретен сопственик е дозволено на owner (себеси), admin и service (за интерни/сервисни повици), додека читање на известувања на ветеринар бара veterinarian или admin.</w:t>
      </w:r>
    </w:p>
    <w:p>
      <w:pPr>
        <w:pStyle w:val="ListParagraph"/>
        <w:numPr>
          <w:ilvl w:val="0"/>
          <w:numId w:val="2"/>
        </w:numPr>
        <w:spacing w:after="60"/>
      </w:pPr>
      <w:r>
        <w:rPr>
          <w:rFonts w:ascii="Calibri" w:cs="Calibri" w:eastAsia="Calibri" w:hAnsi="Calibri"/>
          <w:sz w:val="22"/>
          <w:szCs w:val="22"/>
        </w:rPr>
        <w:t xml:space="preserve">Kafka consumer-от нема сопствена автентикација кон Kafka во оваа демо-конфигурација (внатрешна мрежа во Docker Compose) – безбедноста таму се потпира на мрежната изолација, за разлика од REST API-то кое секогаш поминува низ Keycloak.</w:t>
      </w:r>
    </w:p>
    <w:p>
      <w:pPr>
        <w:pStyle w:val="Heading1"/>
        <w:spacing w:after="150" w:before="320"/>
      </w:pPr>
      <w:r>
        <w:t xml:space="preserve">9. База на податоци и конфигурација</w:t>
      </w:r>
    </w:p>
    <w:p>
      <w:pPr>
        <w:spacing w:after="140"/>
      </w:pPr>
      <w:r>
        <w:rPr>
          <w:rFonts w:ascii="Calibri" w:cs="Calibri" w:eastAsia="Calibri" w:hAnsi="Calibri"/>
          <w:sz w:val="22"/>
          <w:szCs w:val="22"/>
        </w:rPr>
        <w:t xml:space="preserve">Treatment Service има сопствена, изолирана PostgreSQL база (treatments_db), недостапна директно за другите сервиси. Шемата се менаџира преку EF Core migrations, вклучувајќи подоцнежни migrations кои додаваат FailureReason на известувањата и VeterinarianId како примач.</w:t>
      </w:r>
    </w:p>
    <w:p>
      <w:pPr>
        <w:spacing w:after="140"/>
      </w:pPr>
      <w:r>
        <w:rPr>
          <w:rFonts w:ascii="Calibri" w:cs="Calibri" w:eastAsia="Calibri" w:hAnsi="Calibri"/>
          <w:sz w:val="22"/>
          <w:szCs w:val="22"/>
        </w:rPr>
        <w:t xml:space="preserve">Runtime конфигурацијата (connection string, Kafka bootstrap servers/topic/DLQ, Keycloak authority) доаѓа преку environment променливи во Docker Compose, кои ги преклопуваат вредностите од appsettings.json (на пр. Kafka__BootstrapServers, Kafka__MaxProcessingAttempts).</w:t>
      </w:r>
    </w:p>
    <w:p>
      <w:pPr>
        <w:pStyle w:val="Heading1"/>
        <w:spacing w:after="150" w:before="320"/>
      </w:pPr>
      <w:r>
        <w:t xml:space="preserve">10. Улога во MCP серверот</w:t>
      </w:r>
    </w:p>
    <w:p>
      <w:pPr>
        <w:spacing w:after="140"/>
      </w:pPr>
      <w:r>
        <w:rPr>
          <w:rFonts w:ascii="Calibri" w:cs="Calibri" w:eastAsia="Calibri" w:hAnsi="Calibri"/>
          <w:sz w:val="22"/>
          <w:szCs w:val="22"/>
        </w:rPr>
        <w:t xml:space="preserve">Дел од функционалностите на Treatment Service се изложени и преку MCP серверот на платформата:</w:t>
      </w:r>
    </w:p>
    <w:p>
      <w:pPr>
        <w:pStyle w:val="ListParagraph"/>
        <w:numPr>
          <w:ilvl w:val="0"/>
          <w:numId w:val="2"/>
        </w:numPr>
        <w:spacing w:after="60"/>
      </w:pPr>
      <w:r>
        <w:rPr>
          <w:rFonts w:ascii="Calibri" w:cs="Calibri" w:eastAsia="Calibri" w:hAnsi="Calibri"/>
          <w:sz w:val="22"/>
          <w:szCs w:val="22"/>
        </w:rPr>
        <w:t xml:space="preserve">get_medical_history, get_vaccination_history, get_next_vaccination</w:t>
      </w:r>
    </w:p>
    <w:p>
      <w:pPr>
        <w:pStyle w:val="ListParagraph"/>
        <w:numPr>
          <w:ilvl w:val="0"/>
          <w:numId w:val="2"/>
        </w:numPr>
        <w:spacing w:after="60"/>
      </w:pPr>
      <w:r>
        <w:rPr>
          <w:rFonts w:ascii="Calibri" w:cs="Calibri" w:eastAsia="Calibri" w:hAnsi="Calibri"/>
          <w:sz w:val="22"/>
          <w:szCs w:val="22"/>
        </w:rPr>
        <w:t xml:space="preserve">record_medical_examination, record_vaccination</w:t>
      </w:r>
    </w:p>
    <w:p>
      <w:pPr>
        <w:spacing w:after="140"/>
      </w:pPr>
      <w:r>
        <w:rPr>
          <w:rFonts w:ascii="Calibri" w:cs="Calibri" w:eastAsia="Calibri" w:hAnsi="Calibri"/>
          <w:sz w:val="22"/>
          <w:szCs w:val="22"/>
        </w:rPr>
        <w:t xml:space="preserve">Пример повик преку MCP протоколот (JSON-RPC, tools/call):</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w:t>
      </w:r>
      <w:r>
        <w:rPr>
          <w:rFonts w:ascii="Consolas" w:cs="Consolas" w:eastAsia="Consolas" w:hAnsi="Consolas"/>
          <w:sz w:val="18"/>
          <w:szCs w:val="18"/>
        </w:rPr>
        <w:br/>
        <w:t xml:space="preserve">  "jsonrpc": "2.0", "id": 1, "method": "tools/call",</w:t>
      </w:r>
      <w:r>
        <w:rPr>
          <w:rFonts w:ascii="Consolas" w:cs="Consolas" w:eastAsia="Consolas" w:hAnsi="Consolas"/>
          <w:sz w:val="18"/>
          <w:szCs w:val="18"/>
        </w:rPr>
        <w:br/>
        <w:t xml:space="preserve">  "params": {</w:t>
      </w:r>
      <w:r>
        <w:rPr>
          <w:rFonts w:ascii="Consolas" w:cs="Consolas" w:eastAsia="Consolas" w:hAnsi="Consolas"/>
          <w:sz w:val="18"/>
          <w:szCs w:val="18"/>
        </w:rPr>
        <w:br/>
        <w:t xml:space="preserve">    "name": "get_vaccination_history",</w:t>
      </w:r>
      <w:r>
        <w:rPr>
          <w:rFonts w:ascii="Consolas" w:cs="Consolas" w:eastAsia="Consolas" w:hAnsi="Consolas"/>
          <w:sz w:val="18"/>
          <w:szCs w:val="18"/>
        </w:rPr>
        <w:br/>
        <w:t xml:space="preserve">    "arguments": { "petId": "44444444-..."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spacing w:after="140"/>
      </w:pPr>
      <w:r>
        <w:rPr>
          <w:rFonts w:ascii="Calibri" w:cs="Calibri" w:eastAsia="Calibri" w:hAnsi="Calibri"/>
          <w:sz w:val="22"/>
          <w:szCs w:val="22"/>
        </w:rPr>
        <w:t xml:space="preserve">Ова е единствениот од трите сервиси каде MCP алатките опфаќаат и команди што менуваат состојба (record_medical_examination, record_vaccination), не само читање – истите ролеви/токен правила важат идентично како и преку обичен REST повик, MCP серверот не заобиколува ништо.</w:t>
      </w:r>
    </w:p>
    <w:p>
      <w:pPr>
        <w:pStyle w:val="Heading1"/>
        <w:spacing w:after="150" w:before="320"/>
      </w:pPr>
      <w:r>
        <w:t xml:space="preserve">11. Тестирање</w:t>
      </w:r>
    </w:p>
    <w:p>
      <w:pPr>
        <w:spacing w:after="140"/>
      </w:pPr>
      <w:r>
        <w:rPr>
          <w:rFonts w:ascii="Calibri" w:cs="Calibri" w:eastAsia="Calibri" w:hAnsi="Calibri"/>
          <w:sz w:val="22"/>
          <w:szCs w:val="22"/>
        </w:rPr>
        <w:t xml:space="preserve">Сервисот е покриен со тестови на повеќе нивоа, најобемно од трите сервиси поради асинхроната природа на консумацијата:</w:t>
      </w:r>
    </w:p>
    <w:p>
      <w:pPr>
        <w:pStyle w:val="ListParagraph"/>
        <w:numPr>
          <w:ilvl w:val="0"/>
          <w:numId w:val="2"/>
        </w:numPr>
        <w:spacing w:after="60"/>
      </w:pPr>
      <w:r>
        <w:rPr>
          <w:rFonts w:ascii="Calibri" w:cs="Calibri" w:eastAsia="Calibri" w:hAnsi="Calibri"/>
          <w:sz w:val="22"/>
          <w:szCs w:val="22"/>
        </w:rPr>
        <w:t xml:space="preserve">Domain тестови (35) – бизнис правила на MedicalExamination/Vaccination/Notification и value objects, генерирање доменски настани, идемпотентни премини на статус.</w:t>
      </w:r>
    </w:p>
    <w:p>
      <w:pPr>
        <w:pStyle w:val="ListParagraph"/>
        <w:numPr>
          <w:ilvl w:val="0"/>
          <w:numId w:val="2"/>
        </w:numPr>
        <w:spacing w:after="60"/>
      </w:pPr>
      <w:r>
        <w:rPr>
          <w:rFonts w:ascii="Calibri" w:cs="Calibri" w:eastAsia="Calibri" w:hAnsi="Calibri"/>
          <w:sz w:val="22"/>
          <w:szCs w:val="22"/>
        </w:rPr>
        <w:t xml:space="preserve">Worker тестови (5) – NotificationDeliveryProcessor (испорака на достасани известувања, MarkSent/MarkFailed при грешка кај испраќачот).</w:t>
      </w:r>
    </w:p>
    <w:p>
      <w:pPr>
        <w:pStyle w:val="ListParagraph"/>
        <w:numPr>
          <w:ilvl w:val="0"/>
          <w:numId w:val="2"/>
        </w:numPr>
        <w:spacing w:after="60"/>
      </w:pPr>
      <w:r>
        <w:rPr>
          <w:rFonts w:ascii="Calibri" w:cs="Calibri" w:eastAsia="Calibri" w:hAnsi="Calibri"/>
          <w:sz w:val="22"/>
          <w:szCs w:val="22"/>
        </w:rPr>
        <w:t xml:space="preserve">API интеграциски тестови (30) – REST ендпоинти, автентикација/авторизација, плус интеграциски тестови на самиот AppointmentEventConsumer (реален Kafka + PostgreSQL преку тест fixtures) – вклучувајќи проверка дека дупликат настан не создава дупликат известување, и дека трајно неуспешна обработка навистина завршува во dead-letter темата.</w:t>
      </w:r>
    </w:p>
    <w:p>
      <w:pPr>
        <w:pStyle w:val="ListParagraph"/>
        <w:numPr>
          <w:ilvl w:val="0"/>
          <w:numId w:val="2"/>
        </w:numPr>
        <w:spacing w:after="60"/>
      </w:pPr>
      <w:r>
        <w:rPr>
          <w:rFonts w:ascii="Calibri" w:cs="Calibri" w:eastAsia="Calibri" w:hAnsi="Calibri"/>
          <w:sz w:val="22"/>
          <w:szCs w:val="22"/>
        </w:rPr>
        <w:t xml:space="preserve">Consumer-driven contract тестови со Pact (11) – го проверуваат договорот за настаните консумирани од Appointment Service.</w:t>
      </w:r>
    </w:p>
    <w:p>
      <w:pPr>
        <w:pBdr>
          <w:top w:val="dashed" w:color="999999" w:sz="6"/>
          <w:bottom w:val="dashed" w:color="999999" w:sz="6"/>
          <w:left w:val="dashed" w:color="999999" w:sz="6"/>
          <w:right w:val="dashed" w:color="999999" w:sz="6"/>
        </w:pBdr>
        <w:spacing w:after="60" w:before="200"/>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bottom w:val="dashed" w:color="999999" w:sz="6"/>
          <w:left w:val="dashed" w:color="999999" w:sz="6"/>
          <w:right w:val="dashed" w:color="999999" w:sz="6"/>
        </w:pBdr>
        <w:spacing w:after="40"/>
        <w:jc w:val="center"/>
      </w:pPr>
      <w:r>
        <w:rPr>
          <w:rFonts w:ascii="Calibri" w:cs="Calibri" w:eastAsia="Calibri" w:hAnsi="Calibri"/>
          <w:i/>
          <w:iCs/>
          <w:color w:val="888888"/>
          <w:sz w:val="20"/>
          <w:szCs w:val="20"/>
        </w:rPr>
        <w:t xml:space="preserve">[ ТУКА ВМЕТНИ ЈА СЛИКАТА ]</w:t>
      </w:r>
    </w:p>
    <w:p>
      <w:pPr>
        <w:spacing w:after="260"/>
        <w:jc w:val="center"/>
      </w:pPr>
      <w:r>
        <w:rPr>
          <w:rFonts w:ascii="Calibri" w:cs="Calibri" w:eastAsia="Calibri" w:hAnsi="Calibri"/>
          <w:i/>
          <w:iCs/>
          <w:color w:val="555555"/>
          <w:sz w:val="20"/>
          <w:szCs w:val="20"/>
        </w:rPr>
        <w:t xml:space="preserve">Слика 2: Дијаграм на текот на настан (Appointment Service → Kafka → Treatment Service → известувања) или скриншот од Swagger UI.</w:t>
      </w:r>
    </w:p>
    <w:p>
      <w:pPr>
        <w:pStyle w:val="Heading1"/>
        <w:spacing w:after="150" w:before="320"/>
      </w:pPr>
      <w:r>
        <w:t xml:space="preserve">12. Искористени технологии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2E4057" w:val="clear"/>
            <w:tcMar>
              <w:top w:type="dxa" w:w="80"/>
              <w:left w:type="dxa" w:w="100"/>
              <w:bottom w:type="dxa" w:w="80"/>
              <w:right w:type="dxa" w:w="100"/>
            </w:tcMar>
          </w:tcPr>
          <w:p>
            <w:r>
              <w:rPr>
                <w:rFonts w:ascii="Calibri" w:cs="Calibri" w:eastAsia="Calibri" w:hAnsi="Calibri"/>
                <w:b/>
                <w:bCs/>
                <w:color w:val="FFFFFF"/>
                <w:sz w:val="20"/>
                <w:szCs w:val="20"/>
              </w:rPr>
              <w:t xml:space="preserve">Категорија</w:t>
            </w:r>
          </w:p>
        </w:tc>
        <w:tc>
          <w:tcPr>
            <w:tcW w:type="dxa" w:w="6000"/>
            <w:shd w:fill="2E4057" w:val="clear"/>
            <w:tcMar>
              <w:top w:type="dxa" w:w="80"/>
              <w:left w:type="dxa" w:w="100"/>
              <w:bottom w:type="dxa" w:w="80"/>
              <w:right w:type="dxa" w:w="100"/>
            </w:tcMar>
          </w:tcPr>
          <w:p>
            <w:r>
              <w:rPr>
                <w:rFonts w:ascii="Calibri" w:cs="Calibri" w:eastAsia="Calibri" w:hAnsi="Calibri"/>
                <w:b/>
                <w:bCs/>
                <w:color w:val="FFFFFF"/>
                <w:sz w:val="20"/>
                <w:szCs w:val="20"/>
              </w:rPr>
              <w:t xml:space="preserve">Технологија</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.NET / јазик</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.NET 10, C#, ASP.NET Core Web API</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Пристап до податоци</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Entity Framework Core, PostgreSQL</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Автентикација</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Keycloak (OpenID Connect / OAuth 2.0), JWT Bearer</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Асинхрона комуникација</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Apache Kafka (Confluent.Kafka), рачен commit, dead-letter тема</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Позадински процеси</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ASP.NET Core BackgroundService (consumer + delivery worker)</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API документација</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OpenAPI / Swagger UI</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Тестирање</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xUnit, WebApplicationFactory, PactNet (consumer-driven contracts)</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Контејнеризација</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Docker, Docker Compose</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CI</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GitHub Actions</w:t>
            </w:r>
          </w:p>
        </w:tc>
      </w:tr>
    </w:tbl>
    <w:p>
      <w:pPr>
        <w:pStyle w:val="Heading1"/>
        <w:spacing w:after="150" w:before="320"/>
      </w:pPr>
      <w:r>
        <w:t xml:space="preserve">13. Заклучок</w:t>
      </w:r>
    </w:p>
    <w:p>
      <w:pPr>
        <w:spacing w:after="140"/>
      </w:pPr>
      <w:r>
        <w:rPr>
          <w:rFonts w:ascii="Calibri" w:cs="Calibri" w:eastAsia="Calibri" w:hAnsi="Calibri"/>
          <w:sz w:val="22"/>
          <w:szCs w:val="22"/>
        </w:rPr>
        <w:t xml:space="preserve">Treatment Service го демонстрира асинхроното, настан-водено моделирање во својата најцелосна форма во оваа платформа: doменски настани внатре во агрегатите (за потсетници), надворешна Kafka консумација со рачен commit, retry и dead-letter тема (за отпорност), и идемпотентност на ниво на домен (SourceEventId) која гарантира дека ниту еден настан – без разлика колку пати ќе се обработи – не создава дупликат известување. Заедно со сопствената PostgreSQL база, Keycloak автентикација, и изложување и преку MCP серверот (вклучувајќи команди за пишување), сервисот е целосно самостоен и покриен со тестови на секое ниво, вклучувајќи ги и позадинските процеси.</w:t>
      </w:r>
    </w:p>
    <w:p>
      <w:pPr>
        <w:spacing w:before="200"/>
      </w:pPr>
      <w:r>
        <w:rPr>
          <w:rFonts w:ascii="Calibri" w:cs="Calibri" w:eastAsia="Calibri" w:hAnsi="Calibri"/>
          <w:i/>
          <w:iCs/>
          <w:color w:val="888888"/>
          <w:sz w:val="18"/>
          <w:szCs w:val="18"/>
        </w:rPr>
        <w:t xml:space="preserve">Извор на код: src/Services/TreatmentService  ·  Тестови: tests/TreatmentAndNotificationService.*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2026-08-19T09:58:48.776Z</dcterms:created>
  <dcterms:modified xsi:type="dcterms:W3CDTF">2026-08-19T09:58:48.778Z</dcterms:modified>
</cp:coreProperties>
</file>

<file path=docProps/custom.xml><?xml version="1.0" encoding="utf-8"?>
<Properties xmlns="http://schemas.openxmlformats.org/officeDocument/2006/custom-properties" xmlns:vt="http://schemas.openxmlformats.org/officeDocument/2006/docPropsVTypes"/>
</file>