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683C">
      <w:pPr>
        <w:spacing w:line="360" w:lineRule="auto"/>
        <w:jc w:val="center"/>
        <w:rPr>
          <w:rFonts w:hint="eastAsia"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编程作业3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  <w:r>
        <w:rPr>
          <w:rFonts w:hint="eastAsia" w:ascii="微软雅黑" w:hAnsi="微软雅黑" w:eastAsia="微软雅黑"/>
          <w:b/>
          <w:sz w:val="44"/>
          <w:szCs w:val="44"/>
        </w:rPr>
        <w:t>光栅化渲染</w:t>
      </w:r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着色</w:t>
      </w:r>
      <w:r>
        <w:rPr>
          <w:rFonts w:hint="eastAsia" w:ascii="微软雅黑" w:hAnsi="微软雅黑" w:eastAsia="微软雅黑"/>
          <w:b/>
          <w:sz w:val="44"/>
          <w:szCs w:val="44"/>
        </w:rPr>
        <w:t>3D场景</w:t>
      </w:r>
    </w:p>
    <w:p w14:paraId="3789BA63"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姓名</w:t>
      </w:r>
      <w:r>
        <w:rPr>
          <w:rFonts w:hint="eastAsia" w:ascii="微软雅黑" w:hAnsi="微软雅黑" w:eastAsia="微软雅黑"/>
          <w:lang w:eastAsia="zh-CN"/>
        </w:rPr>
        <w:t>：</w:t>
      </w:r>
      <w:r>
        <w:rPr>
          <w:rFonts w:hint="eastAsia" w:ascii="微软雅黑" w:hAnsi="微软雅黑" w:eastAsia="微软雅黑"/>
          <w:color w:val="auto"/>
          <w:lang w:val="en-US" w:eastAsia="zh-CN"/>
        </w:rPr>
        <w:t xml:space="preserve">李嘉骏    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学号</w:t>
      </w:r>
      <w:r>
        <w:rPr>
          <w:rFonts w:hint="eastAsia" w:ascii="微软雅黑" w:hAnsi="微软雅黑" w:eastAsia="微软雅黑"/>
          <w:lang w:eastAsia="zh-CN"/>
        </w:rPr>
        <w:t>：</w:t>
      </w:r>
      <w:r>
        <w:rPr>
          <w:rFonts w:hint="eastAsia" w:ascii="微软雅黑" w:hAnsi="微软雅黑" w:eastAsia="微软雅黑"/>
          <w:color w:val="auto"/>
          <w:lang w:val="en-US" w:eastAsia="zh-CN"/>
        </w:rPr>
        <w:t>2021141461131</w:t>
      </w:r>
    </w:p>
    <w:p w14:paraId="65DF34FC">
      <w:pPr>
        <w:spacing w:line="360" w:lineRule="auto"/>
        <w:jc w:val="center"/>
        <w:rPr>
          <w:rFonts w:hint="eastAsia" w:ascii="微软雅黑" w:hAnsi="微软雅黑" w:eastAsia="微软雅黑"/>
          <w:b/>
          <w:sz w:val="27"/>
        </w:rPr>
      </w:pPr>
    </w:p>
    <w:p w14:paraId="3F009CE3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 思路</w:t>
      </w:r>
    </w:p>
    <w:p w14:paraId="158F752D">
      <w:pPr>
        <w:numPr>
          <w:ilvl w:val="0"/>
          <w:numId w:val="1"/>
        </w:numPr>
        <w:ind w:left="-210" w:leftChars="0" w:firstLine="420" w:firstLineChars="0"/>
        <w:rPr>
          <w:rFonts w:hint="eastAsia" w:ascii="微软雅黑" w:hAnsi="微软雅黑" w:eastAsia="微软雅黑"/>
          <w:color w:val="auto"/>
          <w:lang w:val="en-US" w:eastAsia="zh-CN"/>
        </w:rPr>
      </w:pPr>
      <w:r>
        <w:rPr>
          <w:rFonts w:hint="eastAsia" w:ascii="微软雅黑" w:hAnsi="微软雅黑" w:eastAsia="微软雅黑"/>
          <w:color w:val="auto"/>
          <w:lang w:val="en-US" w:eastAsia="zh-CN"/>
        </w:rPr>
        <w:t>理解Phong光照模型：</w:t>
      </w:r>
    </w:p>
    <w:p w14:paraId="1A19BB94">
      <w:pPr>
        <w:widowControl w:val="0"/>
        <w:numPr>
          <w:numId w:val="0"/>
        </w:numPr>
        <w:spacing w:line="400" w:lineRule="exact"/>
        <w:ind w:firstLine="420" w:firstLineChars="0"/>
        <w:jc w:val="both"/>
        <w:rPr>
          <w:rFonts w:hint="eastAsia" w:ascii="微软雅黑" w:hAnsi="微软雅黑" w:eastAsia="微软雅黑"/>
          <w:color w:val="auto"/>
          <w:lang w:val="en-US" w:eastAsia="zh-CN"/>
        </w:rPr>
      </w:pPr>
      <w:r>
        <w:rPr>
          <w:rFonts w:hint="eastAsia" w:ascii="微软雅黑" w:hAnsi="微软雅黑" w:eastAsia="微软雅黑"/>
          <w:color w:val="auto"/>
          <w:lang w:val="en-US" w:eastAsia="zh-CN"/>
        </w:rPr>
        <w:t>Phong模型将光照分为三个部分：</w:t>
      </w:r>
    </w:p>
    <w:p w14:paraId="73664A47">
      <w:pPr>
        <w:widowControl w:val="0"/>
        <w:numPr>
          <w:ilvl w:val="0"/>
          <w:numId w:val="2"/>
        </w:numPr>
        <w:spacing w:line="400" w:lineRule="exact"/>
        <w:ind w:left="84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default" w:ascii="微软雅黑" w:hAnsi="微软雅黑" w:eastAsia="微软雅黑"/>
          <w:color w:val="auto"/>
          <w:lang w:val="en-US" w:eastAsia="zh-CN"/>
        </w:rPr>
        <w:t>环境光（Ambient）：模拟间接光照，不受光源方向和视角影响</w:t>
      </w:r>
    </w:p>
    <w:p w14:paraId="0B26D01E">
      <w:pPr>
        <w:widowControl w:val="0"/>
        <w:numPr>
          <w:ilvl w:val="0"/>
          <w:numId w:val="2"/>
        </w:numPr>
        <w:spacing w:line="400" w:lineRule="exact"/>
        <w:ind w:left="84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default" w:ascii="微软雅黑" w:hAnsi="微软雅黑" w:eastAsia="微软雅黑"/>
          <w:color w:val="auto"/>
          <w:lang w:val="en-US" w:eastAsia="zh-CN"/>
        </w:rPr>
        <w:t>漫反射光（Diffuse）：模拟物体表面粗糙散射，与法向量和光源方向夹角有关</w:t>
      </w:r>
    </w:p>
    <w:p w14:paraId="17E9B5F7">
      <w:pPr>
        <w:widowControl w:val="0"/>
        <w:numPr>
          <w:ilvl w:val="0"/>
          <w:numId w:val="2"/>
        </w:numPr>
        <w:spacing w:line="400" w:lineRule="exact"/>
        <w:ind w:left="84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default" w:ascii="微软雅黑" w:hAnsi="微软雅黑" w:eastAsia="微软雅黑"/>
          <w:color w:val="auto"/>
          <w:lang w:val="en-US" w:eastAsia="zh-CN"/>
        </w:rPr>
        <w:t>镜面反射光（Specular）：模拟高光反射，与视角和反射方向有关</w:t>
      </w:r>
    </w:p>
    <w:p w14:paraId="7C5CFC72">
      <w:pPr>
        <w:numPr>
          <w:ilvl w:val="0"/>
          <w:numId w:val="1"/>
        </w:numPr>
        <w:ind w:left="-210" w:leftChars="0" w:firstLine="420" w:firstLineChars="0"/>
        <w:rPr>
          <w:rFonts w:hint="eastAsia" w:ascii="微软雅黑" w:hAnsi="微软雅黑" w:eastAsia="微软雅黑"/>
          <w:color w:val="auto"/>
          <w:lang w:val="en-US" w:eastAsia="zh-CN"/>
        </w:rPr>
      </w:pPr>
      <w:r>
        <w:rPr>
          <w:rFonts w:hint="eastAsia" w:ascii="微软雅黑" w:hAnsi="微软雅黑" w:eastAsia="微软雅黑"/>
          <w:color w:val="auto"/>
          <w:lang w:val="en-US" w:eastAsia="zh-CN"/>
        </w:rPr>
        <w:t>分析变量：</w:t>
      </w:r>
    </w:p>
    <w:p w14:paraId="5B2D519C">
      <w:pPr>
        <w:widowControl w:val="0"/>
        <w:numPr>
          <w:ilvl w:val="0"/>
          <w:numId w:val="3"/>
        </w:numPr>
        <w:spacing w:line="400" w:lineRule="exact"/>
        <w:ind w:left="84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default" w:ascii="微软雅黑" w:hAnsi="微软雅黑" w:eastAsia="微软雅黑"/>
          <w:color w:val="auto"/>
          <w:lang w:val="en-US" w:eastAsia="zh-CN"/>
        </w:rPr>
        <w:t>ambientStrength、diffuseStrength、specularStrength：控制各部分光照强度</w:t>
      </w:r>
    </w:p>
    <w:p w14:paraId="10DCBEA3">
      <w:pPr>
        <w:widowControl w:val="0"/>
        <w:numPr>
          <w:ilvl w:val="0"/>
          <w:numId w:val="3"/>
        </w:numPr>
        <w:spacing w:line="400" w:lineRule="exact"/>
        <w:ind w:left="84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default" w:ascii="微软雅黑" w:hAnsi="微软雅黑" w:eastAsia="微软雅黑"/>
          <w:color w:val="auto"/>
          <w:lang w:val="en-US" w:eastAsia="zh-CN"/>
        </w:rPr>
        <w:t>shininess：控制高光集中程度</w:t>
      </w:r>
    </w:p>
    <w:p w14:paraId="52FEC120">
      <w:pPr>
        <w:widowControl w:val="0"/>
        <w:numPr>
          <w:ilvl w:val="0"/>
          <w:numId w:val="3"/>
        </w:numPr>
        <w:spacing w:line="400" w:lineRule="exact"/>
        <w:ind w:left="84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default" w:ascii="微软雅黑" w:hAnsi="微软雅黑" w:eastAsia="微软雅黑"/>
          <w:color w:val="auto"/>
          <w:lang w:val="en-US" w:eastAsia="zh-CN"/>
        </w:rPr>
        <w:t>lightColor：光源颜色</w:t>
      </w:r>
    </w:p>
    <w:p w14:paraId="4D83844D">
      <w:pPr>
        <w:widowControl w:val="0"/>
        <w:numPr>
          <w:ilvl w:val="0"/>
          <w:numId w:val="3"/>
        </w:numPr>
        <w:spacing w:line="400" w:lineRule="exact"/>
        <w:ind w:left="84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default" w:ascii="微软雅黑" w:hAnsi="微软雅黑" w:eastAsia="微软雅黑"/>
          <w:color w:val="auto"/>
          <w:lang w:val="en-US" w:eastAsia="zh-CN"/>
        </w:rPr>
        <w:t>norm：法向量</w:t>
      </w:r>
    </w:p>
    <w:p w14:paraId="63A0306C">
      <w:pPr>
        <w:widowControl w:val="0"/>
        <w:numPr>
          <w:ilvl w:val="0"/>
          <w:numId w:val="3"/>
        </w:numPr>
        <w:spacing w:line="400" w:lineRule="exact"/>
        <w:ind w:left="84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default" w:ascii="微软雅黑" w:hAnsi="微软雅黑" w:eastAsia="微软雅黑"/>
          <w:color w:val="auto"/>
          <w:lang w:val="en-US" w:eastAsia="zh-CN"/>
        </w:rPr>
        <w:t>lightDir：光源方向</w:t>
      </w:r>
    </w:p>
    <w:p w14:paraId="5529A555">
      <w:pPr>
        <w:widowControl w:val="0"/>
        <w:numPr>
          <w:ilvl w:val="0"/>
          <w:numId w:val="3"/>
        </w:numPr>
        <w:spacing w:line="400" w:lineRule="exact"/>
        <w:ind w:left="84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default" w:ascii="微软雅黑" w:hAnsi="微软雅黑" w:eastAsia="微软雅黑"/>
          <w:color w:val="auto"/>
          <w:lang w:val="en-US" w:eastAsia="zh-CN"/>
        </w:rPr>
        <w:t>viewDir：视线方向</w:t>
      </w:r>
    </w:p>
    <w:p w14:paraId="79A79BFC">
      <w:pPr>
        <w:numPr>
          <w:ilvl w:val="0"/>
          <w:numId w:val="1"/>
        </w:numPr>
        <w:ind w:left="-210" w:leftChars="0" w:firstLine="420" w:firstLineChars="0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eastAsia" w:ascii="微软雅黑" w:hAnsi="微软雅黑" w:eastAsia="微软雅黑"/>
          <w:color w:val="auto"/>
          <w:lang w:val="en-US" w:eastAsia="zh-CN"/>
        </w:rPr>
        <w:t>步骤实现：</w:t>
      </w:r>
    </w:p>
    <w:p w14:paraId="5FD64B51">
      <w:pPr>
        <w:widowControl w:val="0"/>
        <w:numPr>
          <w:ilvl w:val="0"/>
          <w:numId w:val="4"/>
        </w:numPr>
        <w:spacing w:line="400" w:lineRule="exact"/>
        <w:ind w:left="84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default" w:ascii="微软雅黑" w:hAnsi="微软雅黑" w:eastAsia="微软雅黑"/>
          <w:color w:val="auto"/>
          <w:lang w:val="en-US" w:eastAsia="zh-CN"/>
        </w:rPr>
        <w:t>环境光：</w:t>
      </w:r>
      <w:r>
        <w:rPr>
          <w:rFonts w:hint="eastAsia" w:ascii="微软雅黑" w:hAnsi="微软雅黑" w:eastAsia="微软雅黑"/>
          <w:color w:val="auto"/>
          <w:lang w:val="en-US" w:eastAsia="zh-CN"/>
        </w:rPr>
        <w:t>用</w:t>
      </w:r>
      <w:r>
        <w:rPr>
          <w:rFonts w:hint="default" w:ascii="微软雅黑" w:hAnsi="微软雅黑" w:eastAsia="微软雅黑"/>
          <w:color w:val="auto"/>
          <w:lang w:val="en-US" w:eastAsia="zh-CN"/>
        </w:rPr>
        <w:t>ambientStrength与lightColor相乘</w:t>
      </w:r>
    </w:p>
    <w:p w14:paraId="18FE0E9D">
      <w:pPr>
        <w:widowControl w:val="0"/>
        <w:numPr>
          <w:ilvl w:val="0"/>
          <w:numId w:val="4"/>
        </w:numPr>
        <w:spacing w:line="400" w:lineRule="exact"/>
        <w:ind w:left="84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default" w:ascii="微软雅黑" w:hAnsi="微软雅黑" w:eastAsia="微软雅黑"/>
          <w:color w:val="auto"/>
          <w:lang w:val="en-US" w:eastAsia="zh-CN"/>
        </w:rPr>
        <w:t>漫反射光：计算法向量与光源方向的点积，取最大值避免负值，再与diffuseStrength和lightColor相乘</w:t>
      </w:r>
    </w:p>
    <w:p w14:paraId="7EF5E2FA">
      <w:pPr>
        <w:widowControl w:val="0"/>
        <w:numPr>
          <w:ilvl w:val="0"/>
          <w:numId w:val="4"/>
        </w:numPr>
        <w:spacing w:line="400" w:lineRule="exact"/>
        <w:ind w:left="84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eastAsia" w:ascii="微软雅黑" w:hAnsi="微软雅黑" w:eastAsia="微软雅黑"/>
          <w:color w:val="auto"/>
          <w:lang w:val="en-US" w:eastAsia="zh-CN"/>
        </w:rPr>
        <w:t>镜面反射光：</w:t>
      </w:r>
    </w:p>
    <w:p w14:paraId="44238049">
      <w:pPr>
        <w:widowControl w:val="0"/>
        <w:numPr>
          <w:ilvl w:val="3"/>
          <w:numId w:val="4"/>
        </w:numPr>
        <w:spacing w:line="400" w:lineRule="exact"/>
        <w:ind w:left="168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default" w:ascii="微软雅黑" w:hAnsi="微软雅黑" w:eastAsia="微软雅黑"/>
          <w:color w:val="auto"/>
          <w:lang w:val="en-US" w:eastAsia="zh-CN"/>
        </w:rPr>
        <w:t>计算反射方向reflectDir</w:t>
      </w:r>
    </w:p>
    <w:p w14:paraId="03755F3B">
      <w:pPr>
        <w:widowControl w:val="0"/>
        <w:numPr>
          <w:ilvl w:val="3"/>
          <w:numId w:val="4"/>
        </w:numPr>
        <w:spacing w:line="400" w:lineRule="exact"/>
        <w:ind w:left="168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default" w:ascii="微软雅黑" w:hAnsi="微软雅黑" w:eastAsia="微软雅黑"/>
          <w:color w:val="auto"/>
          <w:lang w:val="en-US" w:eastAsia="zh-CN"/>
        </w:rPr>
        <w:t>计算视线方向与反射方向的点积，取最大值</w:t>
      </w:r>
    </w:p>
    <w:p w14:paraId="421E7B92">
      <w:pPr>
        <w:widowControl w:val="0"/>
        <w:numPr>
          <w:ilvl w:val="3"/>
          <w:numId w:val="4"/>
        </w:numPr>
        <w:spacing w:line="400" w:lineRule="exact"/>
        <w:ind w:left="1680" w:leftChars="0" w:hanging="420" w:firstLineChars="0"/>
        <w:jc w:val="both"/>
        <w:rPr>
          <w:rFonts w:hint="default" w:ascii="微软雅黑" w:hAnsi="微软雅黑" w:eastAsia="微软雅黑"/>
          <w:color w:val="auto"/>
          <w:lang w:val="en-US" w:eastAsia="zh-CN"/>
        </w:rPr>
      </w:pPr>
      <w:r>
        <w:rPr>
          <w:rFonts w:hint="default" w:ascii="微软雅黑" w:hAnsi="微软雅黑" w:eastAsia="微软雅黑"/>
          <w:color w:val="auto"/>
          <w:lang w:val="en-US" w:eastAsia="zh-CN"/>
        </w:rPr>
        <w:t>使用</w:t>
      </w:r>
      <w:r>
        <w:rPr>
          <w:rFonts w:hint="eastAsia" w:ascii="微软雅黑" w:hAnsi="微软雅黑" w:eastAsia="微软雅黑"/>
          <w:color w:val="auto"/>
          <w:lang w:val="en-US" w:eastAsia="zh-CN"/>
        </w:rPr>
        <w:t>pow</w:t>
      </w:r>
      <w:r>
        <w:rPr>
          <w:rFonts w:hint="default" w:ascii="微软雅黑" w:hAnsi="微软雅黑" w:eastAsia="微软雅黑"/>
          <w:color w:val="auto"/>
          <w:lang w:val="en-US" w:eastAsia="zh-CN"/>
        </w:rPr>
        <w:t>函数模拟高光衰减，再</w:t>
      </w:r>
      <w:r>
        <w:rPr>
          <w:rFonts w:hint="eastAsia" w:ascii="微软雅黑" w:hAnsi="微软雅黑" w:eastAsia="微软雅黑"/>
          <w:color w:val="auto"/>
          <w:lang w:val="en-US" w:eastAsia="zh-CN"/>
        </w:rPr>
        <w:t>与</w:t>
      </w:r>
      <w:r>
        <w:rPr>
          <w:rFonts w:hint="default" w:ascii="微软雅黑" w:hAnsi="微软雅黑" w:eastAsia="微软雅黑"/>
          <w:color w:val="auto"/>
          <w:lang w:val="en-US" w:eastAsia="zh-CN"/>
        </w:rPr>
        <w:t>specularStrength和lightColor相乘</w:t>
      </w:r>
    </w:p>
    <w:p w14:paraId="3B8F087A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2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重点难点</w:t>
      </w:r>
    </w:p>
    <w:p w14:paraId="6856BC62">
      <w:pPr>
        <w:widowControl w:val="0"/>
        <w:numPr>
          <w:ilvl w:val="0"/>
          <w:numId w:val="5"/>
        </w:numPr>
        <w:spacing w:line="400" w:lineRule="exact"/>
        <w:ind w:left="-210" w:leftChars="0" w:firstLine="420" w:firstLineChars="0"/>
        <w:jc w:val="both"/>
        <w:rPr>
          <w:rFonts w:hint="eastAsia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  <w:t>重点：</w:t>
      </w:r>
    </w:p>
    <w:p w14:paraId="04A37EA1">
      <w:pPr>
        <w:widowControl w:val="0"/>
        <w:numPr>
          <w:ilvl w:val="1"/>
          <w:numId w:val="5"/>
        </w:numPr>
        <w:spacing w:line="400" w:lineRule="exact"/>
        <w:ind w:left="0" w:leftChars="0" w:firstLine="420" w:firstLineChars="0"/>
        <w:jc w:val="both"/>
        <w:rPr>
          <w:rFonts w:hint="eastAsia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  <w:t>向量归一化：所有方向向量（如norm、lightDir、viewDir）必须归一化，否则点积结果不准确。</w:t>
      </w:r>
    </w:p>
    <w:p w14:paraId="7CE57AE2">
      <w:pPr>
        <w:widowControl w:val="0"/>
        <w:numPr>
          <w:ilvl w:val="1"/>
          <w:numId w:val="5"/>
        </w:numPr>
        <w:spacing w:line="400" w:lineRule="exact"/>
        <w:ind w:left="0" w:leftChars="0" w:firstLine="420" w:firstLineChars="0"/>
        <w:jc w:val="both"/>
        <w:rPr>
          <w:rFonts w:hint="eastAsia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  <w:t>点积的使用：dot(norm, lightDir)用于漫反射，dot(viewDir, reflectDir)用于镜面反射。</w:t>
      </w:r>
    </w:p>
    <w:p w14:paraId="5FD601E8">
      <w:pPr>
        <w:widowControl w:val="0"/>
        <w:numPr>
          <w:ilvl w:val="1"/>
          <w:numId w:val="5"/>
        </w:numPr>
        <w:spacing w:line="400" w:lineRule="exact"/>
        <w:ind w:left="0" w:leftChars="0" w:firstLine="420" w:firstLineChars="0"/>
        <w:jc w:val="both"/>
        <w:rPr>
          <w:rFonts w:hint="eastAsia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  <w:t>光照强度控制：通过三个Strength变量和shininess调节光照效果，实现不同材质感。</w:t>
      </w:r>
    </w:p>
    <w:p w14:paraId="792F8D82">
      <w:pPr>
        <w:widowControl w:val="0"/>
        <w:numPr>
          <w:ilvl w:val="0"/>
          <w:numId w:val="5"/>
        </w:numPr>
        <w:spacing w:line="400" w:lineRule="exact"/>
        <w:ind w:left="-210" w:leftChars="0" w:firstLine="420" w:firstLineChars="0"/>
        <w:jc w:val="both"/>
        <w:rPr>
          <w:rFonts w:hint="default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  <w:t>难点：</w:t>
      </w:r>
    </w:p>
    <w:p w14:paraId="49288E39">
      <w:pPr>
        <w:widowControl w:val="0"/>
        <w:numPr>
          <w:ilvl w:val="1"/>
          <w:numId w:val="5"/>
        </w:numPr>
        <w:spacing w:line="400" w:lineRule="exact"/>
        <w:ind w:left="0" w:leftChars="0" w:firstLine="420" w:firstLineChars="0"/>
        <w:jc w:val="both"/>
        <w:rPr>
          <w:rFonts w:hint="default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  <w:t>反射方向计算：</w:t>
      </w:r>
    </w:p>
    <w:p w14:paraId="1989DEA2">
      <w:pPr>
        <w:widowControl w:val="0"/>
        <w:numPr>
          <w:ilvl w:val="0"/>
          <w:numId w:val="6"/>
        </w:numPr>
        <w:spacing w:line="400" w:lineRule="exact"/>
        <w:ind w:left="840" w:leftChars="0" w:hanging="420" w:firstLineChars="0"/>
        <w:jc w:val="both"/>
        <w:rPr>
          <w:rFonts w:hint="default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  <w:t>使用reflect(-lightDir, norm)计算反射方向，注意取反光源方向。</w:t>
      </w:r>
    </w:p>
    <w:p w14:paraId="0ACB1894">
      <w:pPr>
        <w:widowControl w:val="0"/>
        <w:numPr>
          <w:ilvl w:val="0"/>
          <w:numId w:val="6"/>
        </w:numPr>
        <w:spacing w:line="400" w:lineRule="exact"/>
        <w:ind w:left="840" w:leftChars="0" w:hanging="420" w:firstLineChars="0"/>
        <w:jc w:val="both"/>
        <w:rPr>
          <w:rFonts w:hint="default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  <w:t>若使用半程向量（Blinn-Phong），则需使用halfDir，但本次任务为经典Phong模型</w:t>
      </w:r>
    </w:p>
    <w:p w14:paraId="0CF797FA">
      <w:pPr>
        <w:widowControl w:val="0"/>
        <w:numPr>
          <w:ilvl w:val="1"/>
          <w:numId w:val="5"/>
        </w:numPr>
        <w:spacing w:line="400" w:lineRule="exact"/>
        <w:ind w:left="0" w:leftChars="0" w:firstLine="420" w:firstLineChars="0"/>
        <w:jc w:val="both"/>
        <w:rPr>
          <w:rFonts w:hint="default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  <w:t>高光计算中的幂运算：pow(max(dot(...), 0.0), shininess)中，shininess越大，高光越集中</w:t>
      </w:r>
    </w:p>
    <w:p w14:paraId="470866A4">
      <w:pPr>
        <w:widowControl w:val="0"/>
        <w:numPr>
          <w:ilvl w:val="1"/>
          <w:numId w:val="5"/>
        </w:numPr>
        <w:spacing w:line="400" w:lineRule="exact"/>
        <w:ind w:left="0" w:leftChars="0" w:firstLine="420" w:firstLineChars="0"/>
        <w:jc w:val="both"/>
        <w:rPr>
          <w:rFonts w:hint="default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color w:val="auto"/>
          <w:kern w:val="2"/>
          <w:sz w:val="21"/>
          <w:szCs w:val="22"/>
          <w:lang w:val="en-US" w:eastAsia="zh-CN" w:bidi="ar-SA"/>
        </w:rPr>
        <w:t>避免负值：所有点积结果使用 max(..., 0.0)避免负值影响光照</w:t>
      </w:r>
    </w:p>
    <w:p w14:paraId="6A4185F1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3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心得</w:t>
      </w:r>
      <w:bookmarkStart w:id="0" w:name="_GoBack"/>
      <w:bookmarkEnd w:id="0"/>
    </w:p>
    <w:p w14:paraId="53A0FBE8">
      <w:pPr>
        <w:numPr>
          <w:ilvl w:val="0"/>
          <w:numId w:val="7"/>
        </w:numPr>
        <w:ind w:left="840" w:leftChars="0" w:hanging="420" w:firstLineChars="0"/>
        <w:rPr>
          <w:rFonts w:hint="eastAsia" w:ascii="微软雅黑" w:hAnsi="微软雅黑" w:eastAsia="微软雅黑"/>
          <w:color w:val="auto"/>
        </w:rPr>
      </w:pPr>
      <w:r>
        <w:rPr>
          <w:rFonts w:hint="eastAsia" w:ascii="微软雅黑" w:hAnsi="微软雅黑" w:eastAsia="微软雅黑"/>
          <w:color w:val="auto"/>
        </w:rPr>
        <w:t>实深入理解了Phong光照模型的三个组成部分及其物理意义。</w:t>
      </w:r>
    </w:p>
    <w:p w14:paraId="5D833B23">
      <w:pPr>
        <w:numPr>
          <w:ilvl w:val="0"/>
          <w:numId w:val="7"/>
        </w:numPr>
        <w:ind w:left="840" w:leftChars="0" w:hanging="420" w:firstLineChars="0"/>
        <w:rPr>
          <w:rFonts w:hint="eastAsia" w:ascii="微软雅黑" w:hAnsi="微软雅黑" w:eastAsia="微软雅黑"/>
          <w:color w:val="auto"/>
        </w:rPr>
      </w:pPr>
      <w:r>
        <w:rPr>
          <w:rFonts w:hint="eastAsia" w:ascii="微软雅黑" w:hAnsi="微软雅黑" w:eastAsia="微软雅黑"/>
          <w:color w:val="auto"/>
        </w:rPr>
        <w:t>掌握了在片段着色器中实现光照计算的基本流程和关键函数（如dot、reflect、pow）。</w:t>
      </w:r>
    </w:p>
    <w:p w14:paraId="6EBC5C78">
      <w:pPr>
        <w:numPr>
          <w:ilvl w:val="0"/>
          <w:numId w:val="7"/>
        </w:numPr>
        <w:ind w:left="840" w:leftChars="0" w:hanging="420" w:firstLineChars="0"/>
        <w:rPr>
          <w:rFonts w:hint="eastAsia" w:ascii="微软雅黑" w:hAnsi="微软雅黑" w:eastAsia="微软雅黑"/>
          <w:color w:val="auto"/>
          <w:u w:val="single"/>
        </w:rPr>
      </w:pPr>
      <w:r>
        <w:rPr>
          <w:rFonts w:hint="eastAsia" w:ascii="微软雅黑" w:hAnsi="微软雅黑" w:eastAsia="微软雅黑"/>
          <w:color w:val="auto"/>
        </w:rPr>
        <w:t>学会了通过调节参数（如shininess）控制材质外观</w:t>
      </w:r>
    </w:p>
    <w:p w14:paraId="4B345357">
      <w:pPr>
        <w:ind w:firstLine="420"/>
        <w:rPr>
          <w:rFonts w:hint="eastAsia" w:ascii="微软雅黑" w:hAnsi="微软雅黑" w:eastAsia="微软雅黑"/>
          <w:u w:val="singl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E118">
    <w:pPr>
      <w:pStyle w:val="3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299E74"/>
    <w:multiLevelType w:val="singleLevel"/>
    <w:tmpl w:val="BC299E7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">
    <w:nsid w:val="04E1892C"/>
    <w:multiLevelType w:val="singleLevel"/>
    <w:tmpl w:val="04E1892C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nsid w:val="0592B95F"/>
    <w:multiLevelType w:val="multilevel"/>
    <w:tmpl w:val="0592B95F"/>
    <w:lvl w:ilvl="0" w:tentative="0">
      <w:start w:val="1"/>
      <w:numFmt w:val="chineseCounting"/>
      <w:suff w:val="nothing"/>
      <w:lvlText w:val="%1、"/>
      <w:lvlJc w:val="left"/>
      <w:pPr>
        <w:ind w:left="-21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-21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-21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-21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-21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-21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-21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-210" w:firstLine="420"/>
      </w:pPr>
      <w:rPr>
        <w:rFonts w:hint="eastAsia"/>
      </w:rPr>
    </w:lvl>
  </w:abstractNum>
  <w:abstractNum w:abstractNumId="3">
    <w:nsid w:val="0BA0FD27"/>
    <w:multiLevelType w:val="multilevel"/>
    <w:tmpl w:val="0BA0FD2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4">
    <w:nsid w:val="46B8DB4C"/>
    <w:multiLevelType w:val="singleLevel"/>
    <w:tmpl w:val="46B8DB4C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5">
    <w:nsid w:val="52F67FFF"/>
    <w:multiLevelType w:val="singleLevel"/>
    <w:tmpl w:val="52F67FFF"/>
    <w:lvl w:ilvl="0" w:tentative="0">
      <w:start w:val="1"/>
      <w:numFmt w:val="chineseCounting"/>
      <w:suff w:val="nothing"/>
      <w:lvlText w:val="%1、"/>
      <w:lvlJc w:val="left"/>
      <w:pPr>
        <w:ind w:left="-210" w:firstLine="420"/>
      </w:pPr>
      <w:rPr>
        <w:rFonts w:hint="eastAsia"/>
      </w:rPr>
    </w:lvl>
  </w:abstractNum>
  <w:abstractNum w:abstractNumId="6">
    <w:nsid w:val="581E3F4C"/>
    <w:multiLevelType w:val="singleLevel"/>
    <w:tmpl w:val="581E3F4C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5C9C48E3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11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2">
    <w:name w:val="页脚 字符"/>
    <w:basedOn w:val="6"/>
    <w:link w:val="2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2</Pages>
  <Words>95</Words>
  <Characters>108</Characters>
  <Lines>1</Lines>
  <Paragraphs>1</Paragraphs>
  <TotalTime>182</TotalTime>
  <ScaleCrop>false</ScaleCrop>
  <LinksUpToDate>false</LinksUpToDate>
  <CharactersWithSpaces>115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骏</cp:lastModifiedBy>
  <dcterms:modified xsi:type="dcterms:W3CDTF">2025-11-29T17:23:52Z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eyJoZGlkIjoiYjNiZWExNTkwZGU3MzRiNGUxMDY3N2Y5MjdmY2I1ZDEiLCJ1c2VySWQiOiIxMTU2NTY3NjU5In0=</vt:lpwstr>
  </property>
  <property fmtid="{D5CDD505-2E9C-101B-9397-08002B2CF9AE}" pid="3" name="KSOProductBuildVer">
    <vt:lpwstr>2052-12.1.0.23542</vt:lpwstr>
  </property>
  <property fmtid="{D5CDD505-2E9C-101B-9397-08002B2CF9AE}" pid="4" name="ICV">
    <vt:lpwstr>88E2F3C464C3448391636EE75E6F6FD8_12</vt:lpwstr>
  </property>
</Properties>
</file>