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6CEA1E" w14:textId="77777777" w:rsidR="00FA0BB6" w:rsidRPr="005D2775" w:rsidRDefault="00000000">
      <w:pPr>
        <w:spacing w:before="700" w:after="100"/>
        <w:jc w:val="center"/>
        <w:rPr>
          <w:color w:val="000000" w:themeColor="text1"/>
          <w:sz w:val="24"/>
          <w:szCs w:val="24"/>
        </w:rPr>
      </w:pPr>
      <w:r w:rsidRPr="005D2775">
        <w:rPr>
          <w:b/>
          <w:bCs/>
          <w:color w:val="000000" w:themeColor="text1"/>
          <w:sz w:val="24"/>
          <w:szCs w:val="24"/>
        </w:rPr>
        <w:t>Validation Plan &amp; Hub Gene Relevance Atlas</w:t>
      </w:r>
    </w:p>
    <w:p w14:paraId="2A0DCE77" w14:textId="77777777" w:rsidR="00FA0BB6" w:rsidRPr="005D2775" w:rsidRDefault="00000000">
      <w:pPr>
        <w:pStyle w:val="Heading1"/>
        <w:spacing w:before="400" w:after="200"/>
        <w:rPr>
          <w:color w:val="000000" w:themeColor="text1"/>
          <w:sz w:val="24"/>
          <w:szCs w:val="24"/>
        </w:rPr>
      </w:pPr>
      <w:r w:rsidRPr="005D2775">
        <w:rPr>
          <w:color w:val="000000" w:themeColor="text1"/>
          <w:sz w:val="24"/>
          <w:szCs w:val="24"/>
        </w:rPr>
        <w:t>Part I — Validation Plan Using the Four New Datasets</w:t>
      </w:r>
    </w:p>
    <w:p w14:paraId="6EB66CDD"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Before anything else: confirm independence</w:t>
      </w:r>
    </w:p>
    <w:p w14:paraId="677B5EFB" w14:textId="77777777" w:rsidR="00FA0BB6" w:rsidRPr="005D2775" w:rsidRDefault="00000000">
      <w:pPr>
        <w:spacing w:after="160"/>
        <w:jc w:val="both"/>
        <w:rPr>
          <w:color w:val="000000" w:themeColor="text1"/>
          <w:sz w:val="24"/>
          <w:szCs w:val="24"/>
        </w:rPr>
      </w:pPr>
      <w:r w:rsidRPr="005D2775">
        <w:rPr>
          <w:color w:val="000000" w:themeColor="text1"/>
          <w:sz w:val="24"/>
          <w:szCs w:val="24"/>
        </w:rPr>
        <w:t>The single most important check, before any validation analysis, is confirming none of the four new datasets share donors with GSE164416 (Wigger et al., 2021) or with each other. Reusing the same underlying samples under a different GEO accession would not count as independent validation — it would just be circular. Check donor counts, recruitment sites, and publication cross-references once you have the accession numbers.</w:t>
      </w:r>
    </w:p>
    <w:p w14:paraId="02F7B767"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Stage 1 — Direct replication check (no ML required)</w:t>
      </w:r>
    </w:p>
    <w:p w14:paraId="74439353" w14:textId="77777777" w:rsidR="00FA0BB6" w:rsidRPr="005D2775" w:rsidRDefault="00000000">
      <w:pPr>
        <w:spacing w:after="160"/>
        <w:jc w:val="both"/>
        <w:rPr>
          <w:color w:val="000000" w:themeColor="text1"/>
          <w:sz w:val="24"/>
          <w:szCs w:val="24"/>
        </w:rPr>
      </w:pPr>
      <w:r w:rsidRPr="005D2775">
        <w:rPr>
          <w:color w:val="000000" w:themeColor="text1"/>
          <w:sz w:val="24"/>
          <w:szCs w:val="24"/>
        </w:rPr>
        <w:t>For each of the 25 hub genes/lncRNAs, and separately for the wider set of DE-</w:t>
      </w:r>
      <w:proofErr w:type="spellStart"/>
      <w:r w:rsidRPr="005D2775">
        <w:rPr>
          <w:color w:val="000000" w:themeColor="text1"/>
          <w:sz w:val="24"/>
          <w:szCs w:val="24"/>
        </w:rPr>
        <w:t>prioritised</w:t>
      </w:r>
      <w:proofErr w:type="spellEnd"/>
      <w:r w:rsidRPr="005D2775">
        <w:rPr>
          <w:color w:val="000000" w:themeColor="text1"/>
          <w:sz w:val="24"/>
          <w:szCs w:val="24"/>
        </w:rPr>
        <w:t xml:space="preserve"> lncRNAs, re-derive a simple T2D-vs-ND (or closest available equivalent) fold change and significance value independently in each of the four datasets, using the same thresholds as your primary analysis (</w:t>
      </w:r>
      <w:proofErr w:type="spellStart"/>
      <w:r w:rsidRPr="005D2775">
        <w:rPr>
          <w:color w:val="000000" w:themeColor="text1"/>
          <w:sz w:val="24"/>
          <w:szCs w:val="24"/>
        </w:rPr>
        <w:t>padj</w:t>
      </w:r>
      <w:proofErr w:type="spellEnd"/>
      <w:r w:rsidRPr="005D2775">
        <w:rPr>
          <w:color w:val="000000" w:themeColor="text1"/>
          <w:sz w:val="24"/>
          <w:szCs w:val="24"/>
        </w:rPr>
        <w:t xml:space="preserve"> &lt; 0.05, |log2FC| &gt; 1 where power allows — smaller datasets like the 30-sample cohort may need a relaxed threshold given limited power). Then ask two questions per gene: does the direction of change match your primary </w:t>
      </w:r>
      <w:proofErr w:type="gramStart"/>
      <w:r w:rsidRPr="005D2775">
        <w:rPr>
          <w:color w:val="000000" w:themeColor="text1"/>
          <w:sz w:val="24"/>
          <w:szCs w:val="24"/>
        </w:rPr>
        <w:t>dataset, and</w:t>
      </w:r>
      <w:proofErr w:type="gramEnd"/>
      <w:r w:rsidRPr="005D2775">
        <w:rPr>
          <w:color w:val="000000" w:themeColor="text1"/>
          <w:sz w:val="24"/>
          <w:szCs w:val="24"/>
        </w:rPr>
        <w:t xml:space="preserve"> is the magnitude in a similar range. A sign (binomial) test across the whole panel — "how many of 25 genes replicate direction, versus the ~50% expected by chance" — gives a single, easy-to-report headline statistic for the dissertation.</w:t>
      </w:r>
    </w:p>
    <w:p w14:paraId="5F77DE19"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Stage 2 — Effect-size meta-analysis</w:t>
      </w:r>
    </w:p>
    <w:p w14:paraId="14905B19" w14:textId="77777777" w:rsidR="00FA0BB6" w:rsidRPr="005D2775" w:rsidRDefault="00000000">
      <w:pPr>
        <w:spacing w:after="160"/>
        <w:jc w:val="both"/>
        <w:rPr>
          <w:color w:val="000000" w:themeColor="text1"/>
          <w:sz w:val="24"/>
          <w:szCs w:val="24"/>
        </w:rPr>
      </w:pPr>
      <w:r w:rsidRPr="005D2775">
        <w:rPr>
          <w:color w:val="000000" w:themeColor="text1"/>
          <w:sz w:val="24"/>
          <w:szCs w:val="24"/>
        </w:rPr>
        <w:t xml:space="preserve">Once Stage </w:t>
      </w:r>
      <w:proofErr w:type="gramStart"/>
      <w:r w:rsidRPr="005D2775">
        <w:rPr>
          <w:color w:val="000000" w:themeColor="text1"/>
          <w:sz w:val="24"/>
          <w:szCs w:val="24"/>
        </w:rPr>
        <w:t>1 fold</w:t>
      </w:r>
      <w:proofErr w:type="gramEnd"/>
      <w:r w:rsidRPr="005D2775">
        <w:rPr>
          <w:color w:val="000000" w:themeColor="text1"/>
          <w:sz w:val="24"/>
          <w:szCs w:val="24"/>
        </w:rPr>
        <w:t xml:space="preserve"> changes are available from all five datasets (primary + 4), combine them per gene using a random-effects meta-analysis (e.g. the R package </w:t>
      </w:r>
      <w:proofErr w:type="spellStart"/>
      <w:r w:rsidRPr="005D2775">
        <w:rPr>
          <w:color w:val="000000" w:themeColor="text1"/>
          <w:sz w:val="24"/>
          <w:szCs w:val="24"/>
        </w:rPr>
        <w:t>metafor</w:t>
      </w:r>
      <w:proofErr w:type="spellEnd"/>
      <w:r w:rsidRPr="005D2775">
        <w:rPr>
          <w:color w:val="000000" w:themeColor="text1"/>
          <w:sz w:val="24"/>
          <w:szCs w:val="24"/>
        </w:rPr>
        <w:t xml:space="preserve">) to get a pooled effect estimate, a confidence interval, and a heterogeneity statistic (I²). This is standard practice for demonstrating that a finding isn't an artefact of one </w:t>
      </w:r>
      <w:proofErr w:type="gramStart"/>
      <w:r w:rsidRPr="005D2775">
        <w:rPr>
          <w:color w:val="000000" w:themeColor="text1"/>
          <w:sz w:val="24"/>
          <w:szCs w:val="24"/>
        </w:rPr>
        <w:t>cohort, and</w:t>
      </w:r>
      <w:proofErr w:type="gramEnd"/>
      <w:r w:rsidRPr="005D2775">
        <w:rPr>
          <w:color w:val="000000" w:themeColor="text1"/>
          <w:sz w:val="24"/>
          <w:szCs w:val="24"/>
        </w:rPr>
        <w:t xml:space="preserve"> is exactly the kind of analysis that strengthens a publication case — reviewers respond well to "the effect replicates across </w:t>
      </w:r>
      <w:proofErr w:type="spellStart"/>
      <w:r w:rsidRPr="005D2775">
        <w:rPr>
          <w:color w:val="000000" w:themeColor="text1"/>
          <w:sz w:val="24"/>
          <w:szCs w:val="24"/>
        </w:rPr>
        <w:t>N</w:t>
      </w:r>
      <w:proofErr w:type="spellEnd"/>
      <w:r w:rsidRPr="005D2775">
        <w:rPr>
          <w:color w:val="000000" w:themeColor="text1"/>
          <w:sz w:val="24"/>
          <w:szCs w:val="24"/>
        </w:rPr>
        <w:t xml:space="preserve"> independent cohorts with low heterogeneity" framing.</w:t>
      </w:r>
    </w:p>
    <w:p w14:paraId="010384C9"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 xml:space="preserve">Stage 3 — Machine learning: does the hub-gene panel </w:t>
      </w:r>
      <w:proofErr w:type="spellStart"/>
      <w:r w:rsidRPr="005D2775">
        <w:rPr>
          <w:color w:val="000000" w:themeColor="text1"/>
          <w:sz w:val="24"/>
          <w:szCs w:val="24"/>
        </w:rPr>
        <w:t>generalise</w:t>
      </w:r>
      <w:proofErr w:type="spellEnd"/>
      <w:r w:rsidRPr="005D2775">
        <w:rPr>
          <w:color w:val="000000" w:themeColor="text1"/>
          <w:sz w:val="24"/>
          <w:szCs w:val="24"/>
        </w:rPr>
        <w:t>?</w:t>
      </w:r>
    </w:p>
    <w:p w14:paraId="7F09B70E" w14:textId="77777777" w:rsidR="00FA0BB6" w:rsidRPr="005D2775" w:rsidRDefault="00000000">
      <w:pPr>
        <w:spacing w:after="160"/>
        <w:jc w:val="both"/>
        <w:rPr>
          <w:color w:val="000000" w:themeColor="text1"/>
          <w:sz w:val="24"/>
          <w:szCs w:val="24"/>
        </w:rPr>
      </w:pPr>
      <w:r w:rsidRPr="005D2775">
        <w:rPr>
          <w:color w:val="000000" w:themeColor="text1"/>
          <w:sz w:val="24"/>
          <w:szCs w:val="24"/>
        </w:rPr>
        <w:t xml:space="preserve">Train a classifier (start simple: logistic regression or elastic-net logistic regression via </w:t>
      </w:r>
      <w:proofErr w:type="spellStart"/>
      <w:r w:rsidRPr="005D2775">
        <w:rPr>
          <w:color w:val="000000" w:themeColor="text1"/>
          <w:sz w:val="24"/>
          <w:szCs w:val="24"/>
        </w:rPr>
        <w:t>glmnet</w:t>
      </w:r>
      <w:proofErr w:type="spellEnd"/>
      <w:r w:rsidRPr="005D2775">
        <w:rPr>
          <w:color w:val="000000" w:themeColor="text1"/>
          <w:sz w:val="24"/>
          <w:szCs w:val="24"/>
        </w:rPr>
        <w:t>, which also handles feature selection naturally; random forest as a non-linear comparison) on your primary dataset using expression of the 25 hub genes as features to distinguish disease status. Validate internally with k-fold cross-validation on the primary dataset first to get a baseline. Then apply that trained model, unmodified, to each of the four external datasets and report AUC/accuracy per dataset. Critically, compare this against a null baseline: repeat the same procedure using randomly-selected, size-matched panels of non-hub genes (permute many times) to show the hub panel outperforms chance — this addresses the obvious reviewer question of whether any 25-gene panel would "work."</w:t>
      </w:r>
    </w:p>
    <w:p w14:paraId="32C0A274"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Stage 4 — Feature importance concordance</w:t>
      </w:r>
    </w:p>
    <w:p w14:paraId="2324FFA7" w14:textId="77777777" w:rsidR="00FA0BB6" w:rsidRPr="005D2775" w:rsidRDefault="00000000">
      <w:pPr>
        <w:spacing w:after="160"/>
        <w:jc w:val="both"/>
        <w:rPr>
          <w:color w:val="000000" w:themeColor="text1"/>
          <w:sz w:val="24"/>
          <w:szCs w:val="24"/>
        </w:rPr>
      </w:pPr>
      <w:r w:rsidRPr="005D2775">
        <w:rPr>
          <w:color w:val="000000" w:themeColor="text1"/>
          <w:sz w:val="24"/>
          <w:szCs w:val="24"/>
        </w:rPr>
        <w:t xml:space="preserve">Independently retrain a model within each validation dataset (not applying the primary </w:t>
      </w:r>
      <w:proofErr w:type="gramStart"/>
      <w:r w:rsidRPr="005D2775">
        <w:rPr>
          <w:color w:val="000000" w:themeColor="text1"/>
          <w:sz w:val="24"/>
          <w:szCs w:val="24"/>
        </w:rPr>
        <w:t>model, but</w:t>
      </w:r>
      <w:proofErr w:type="gramEnd"/>
      <w:r w:rsidRPr="005D2775">
        <w:rPr>
          <w:color w:val="000000" w:themeColor="text1"/>
          <w:sz w:val="24"/>
          <w:szCs w:val="24"/>
        </w:rPr>
        <w:t xml:space="preserve"> fitting a fresh one) and compare which genes come out as top-weighted features. Overlap with your original hub gene list (e.g. via a Jaccard index or simple rank correlation of feature importance) tells you which specific </w:t>
      </w:r>
      <w:r w:rsidRPr="005D2775">
        <w:rPr>
          <w:color w:val="000000" w:themeColor="text1"/>
          <w:sz w:val="24"/>
          <w:szCs w:val="24"/>
        </w:rPr>
        <w:lastRenderedPageBreak/>
        <w:t>candidates are robustly important across cohorts versus which were more cohort-specific in the primary analysis.</w:t>
      </w:r>
    </w:p>
    <w:p w14:paraId="5D707665"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Stage 5 — Network-level validation (where sample size allows)</w:t>
      </w:r>
    </w:p>
    <w:p w14:paraId="3E7ADA88" w14:textId="77777777" w:rsidR="00FA0BB6" w:rsidRPr="005D2775" w:rsidRDefault="00000000">
      <w:pPr>
        <w:spacing w:after="160"/>
        <w:jc w:val="both"/>
        <w:rPr>
          <w:color w:val="000000" w:themeColor="text1"/>
          <w:sz w:val="24"/>
          <w:szCs w:val="24"/>
        </w:rPr>
      </w:pPr>
      <w:r w:rsidRPr="005D2775">
        <w:rPr>
          <w:color w:val="000000" w:themeColor="text1"/>
          <w:sz w:val="24"/>
          <w:szCs w:val="24"/>
        </w:rPr>
        <w:t xml:space="preserve">For any validation dataset with adequate sample size (WGCNA guidance generally wants at least 50, ideally 80+, samples for stable module detection — this likely rules out the 30-sample T2D/control cohort for independent network reconstruction, though it remains usable for Stages 1–4), re-run WGCNA independently and use </w:t>
      </w:r>
      <w:proofErr w:type="gramStart"/>
      <w:r w:rsidRPr="005D2775">
        <w:rPr>
          <w:color w:val="000000" w:themeColor="text1"/>
          <w:sz w:val="24"/>
          <w:szCs w:val="24"/>
        </w:rPr>
        <w:t>WGCNA::</w:t>
      </w:r>
      <w:proofErr w:type="spellStart"/>
      <w:r w:rsidRPr="005D2775">
        <w:rPr>
          <w:color w:val="000000" w:themeColor="text1"/>
          <w:sz w:val="24"/>
          <w:szCs w:val="24"/>
        </w:rPr>
        <w:t>modulePreservation</w:t>
      </w:r>
      <w:proofErr w:type="spellEnd"/>
      <w:r w:rsidRPr="005D2775">
        <w:rPr>
          <w:color w:val="000000" w:themeColor="text1"/>
          <w:sz w:val="24"/>
          <w:szCs w:val="24"/>
        </w:rPr>
        <w:t>(</w:t>
      </w:r>
      <w:proofErr w:type="gramEnd"/>
      <w:r w:rsidRPr="005D2775">
        <w:rPr>
          <w:color w:val="000000" w:themeColor="text1"/>
          <w:sz w:val="24"/>
          <w:szCs w:val="24"/>
        </w:rPr>
        <w:t>) to test whether the co-expression structure around your hub genes is preserved in the new dataset (</w:t>
      </w:r>
      <w:proofErr w:type="spellStart"/>
      <w:r w:rsidRPr="005D2775">
        <w:rPr>
          <w:color w:val="000000" w:themeColor="text1"/>
          <w:sz w:val="24"/>
          <w:szCs w:val="24"/>
        </w:rPr>
        <w:t>Zsummary</w:t>
      </w:r>
      <w:proofErr w:type="spellEnd"/>
      <w:r w:rsidRPr="005D2775">
        <w:rPr>
          <w:color w:val="000000" w:themeColor="text1"/>
          <w:sz w:val="24"/>
          <w:szCs w:val="24"/>
        </w:rPr>
        <w:t xml:space="preserve"> statistic). This is the strongest possible validation of the network claims in your dissertation but is also the most demanding in terms of both sample size and computation time.</w:t>
      </w:r>
    </w:p>
    <w:p w14:paraId="0A1E6515"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Practical prerequisites</w:t>
      </w:r>
    </w:p>
    <w:p w14:paraId="4B1889A8" w14:textId="77777777" w:rsidR="00FA0BB6" w:rsidRPr="005D2775" w:rsidRDefault="00000000">
      <w:pPr>
        <w:spacing w:after="100"/>
        <w:ind w:left="360"/>
        <w:rPr>
          <w:color w:val="000000" w:themeColor="text1"/>
          <w:sz w:val="24"/>
          <w:szCs w:val="24"/>
        </w:rPr>
      </w:pPr>
      <w:r w:rsidRPr="005D2775">
        <w:rPr>
          <w:color w:val="000000" w:themeColor="text1"/>
          <w:sz w:val="24"/>
          <w:szCs w:val="24"/>
        </w:rPr>
        <w:t xml:space="preserve">•  Gene ID </w:t>
      </w:r>
      <w:proofErr w:type="spellStart"/>
      <w:r w:rsidRPr="005D2775">
        <w:rPr>
          <w:color w:val="000000" w:themeColor="text1"/>
          <w:sz w:val="24"/>
          <w:szCs w:val="24"/>
        </w:rPr>
        <w:t>harmonisation</w:t>
      </w:r>
      <w:proofErr w:type="spellEnd"/>
      <w:r w:rsidRPr="005D2775">
        <w:rPr>
          <w:color w:val="000000" w:themeColor="text1"/>
          <w:sz w:val="24"/>
          <w:szCs w:val="24"/>
        </w:rPr>
        <w:t xml:space="preserve">: confirm all four datasets can be mapped to the same </w:t>
      </w:r>
      <w:proofErr w:type="spellStart"/>
      <w:r w:rsidRPr="005D2775">
        <w:rPr>
          <w:color w:val="000000" w:themeColor="text1"/>
          <w:sz w:val="24"/>
          <w:szCs w:val="24"/>
        </w:rPr>
        <w:t>Ensembl</w:t>
      </w:r>
      <w:proofErr w:type="spellEnd"/>
      <w:r w:rsidRPr="005D2775">
        <w:rPr>
          <w:color w:val="000000" w:themeColor="text1"/>
          <w:sz w:val="24"/>
          <w:szCs w:val="24"/>
        </w:rPr>
        <w:t>/HGNC identifiers used in your primary pipeline before any comparison is meaningful.</w:t>
      </w:r>
    </w:p>
    <w:p w14:paraId="0765C043" w14:textId="77777777" w:rsidR="00FA0BB6" w:rsidRPr="005D2775" w:rsidRDefault="00000000">
      <w:pPr>
        <w:spacing w:after="100"/>
        <w:ind w:left="360"/>
        <w:rPr>
          <w:color w:val="000000" w:themeColor="text1"/>
          <w:sz w:val="24"/>
          <w:szCs w:val="24"/>
        </w:rPr>
      </w:pPr>
      <w:r w:rsidRPr="005D2775">
        <w:rPr>
          <w:color w:val="000000" w:themeColor="text1"/>
          <w:sz w:val="24"/>
          <w:szCs w:val="24"/>
        </w:rPr>
        <w:t xml:space="preserve">•  </w:t>
      </w:r>
      <w:proofErr w:type="spellStart"/>
      <w:r w:rsidRPr="005D2775">
        <w:rPr>
          <w:color w:val="000000" w:themeColor="text1"/>
          <w:sz w:val="24"/>
          <w:szCs w:val="24"/>
        </w:rPr>
        <w:t>Normalisation</w:t>
      </w:r>
      <w:proofErr w:type="spellEnd"/>
      <w:r w:rsidRPr="005D2775">
        <w:rPr>
          <w:color w:val="000000" w:themeColor="text1"/>
          <w:sz w:val="24"/>
          <w:szCs w:val="24"/>
        </w:rPr>
        <w:t xml:space="preserve"> consistency: one dataset is described as already DESeq2-normalised in Excel format — you'll need to either work from that dataset's own </w:t>
      </w:r>
      <w:proofErr w:type="spellStart"/>
      <w:r w:rsidRPr="005D2775">
        <w:rPr>
          <w:color w:val="000000" w:themeColor="text1"/>
          <w:sz w:val="24"/>
          <w:szCs w:val="24"/>
        </w:rPr>
        <w:t>normalisation</w:t>
      </w:r>
      <w:proofErr w:type="spellEnd"/>
      <w:r w:rsidRPr="005D2775">
        <w:rPr>
          <w:color w:val="000000" w:themeColor="text1"/>
          <w:sz w:val="24"/>
          <w:szCs w:val="24"/>
        </w:rPr>
        <w:t xml:space="preserve"> or, if raw counts are obtainable, re-</w:t>
      </w:r>
      <w:proofErr w:type="spellStart"/>
      <w:r w:rsidRPr="005D2775">
        <w:rPr>
          <w:color w:val="000000" w:themeColor="text1"/>
          <w:sz w:val="24"/>
          <w:szCs w:val="24"/>
        </w:rPr>
        <w:t>normalise</w:t>
      </w:r>
      <w:proofErr w:type="spellEnd"/>
      <w:r w:rsidRPr="005D2775">
        <w:rPr>
          <w:color w:val="000000" w:themeColor="text1"/>
          <w:sz w:val="24"/>
          <w:szCs w:val="24"/>
        </w:rPr>
        <w:t xml:space="preserve"> everything through your own pipeline for a fair comparison.</w:t>
      </w:r>
    </w:p>
    <w:p w14:paraId="658D6FBA" w14:textId="77777777" w:rsidR="00FA0BB6" w:rsidRPr="005D2775" w:rsidRDefault="00000000">
      <w:pPr>
        <w:spacing w:after="100"/>
        <w:ind w:left="360"/>
        <w:rPr>
          <w:color w:val="000000" w:themeColor="text1"/>
          <w:sz w:val="24"/>
          <w:szCs w:val="24"/>
        </w:rPr>
      </w:pPr>
      <w:r w:rsidRPr="005D2775">
        <w:rPr>
          <w:color w:val="000000" w:themeColor="text1"/>
          <w:sz w:val="24"/>
          <w:szCs w:val="24"/>
        </w:rPr>
        <w:t xml:space="preserve">•  Batch/platform effects: if combining datasets directly (rather than just comparing effect directions), correct for platform/study batch effects (e.g. </w:t>
      </w:r>
      <w:proofErr w:type="spellStart"/>
      <w:proofErr w:type="gramStart"/>
      <w:r w:rsidRPr="005D2775">
        <w:rPr>
          <w:color w:val="000000" w:themeColor="text1"/>
          <w:sz w:val="24"/>
          <w:szCs w:val="24"/>
        </w:rPr>
        <w:t>sva</w:t>
      </w:r>
      <w:proofErr w:type="spellEnd"/>
      <w:r w:rsidRPr="005D2775">
        <w:rPr>
          <w:color w:val="000000" w:themeColor="text1"/>
          <w:sz w:val="24"/>
          <w:szCs w:val="24"/>
        </w:rPr>
        <w:t>::</w:t>
      </w:r>
      <w:proofErr w:type="spellStart"/>
      <w:proofErr w:type="gramEnd"/>
      <w:r w:rsidRPr="005D2775">
        <w:rPr>
          <w:color w:val="000000" w:themeColor="text1"/>
          <w:sz w:val="24"/>
          <w:szCs w:val="24"/>
        </w:rPr>
        <w:t>ComBat</w:t>
      </w:r>
      <w:proofErr w:type="spellEnd"/>
      <w:r w:rsidRPr="005D2775">
        <w:rPr>
          <w:color w:val="000000" w:themeColor="text1"/>
          <w:sz w:val="24"/>
          <w:szCs w:val="24"/>
        </w:rPr>
        <w:t>) before combining expression matrices — comparing effect sizes via meta-analysis (Stage 2) sidesteps this requirement and is the lower-risk option under time pressure.</w:t>
      </w:r>
    </w:p>
    <w:p w14:paraId="7E0424E8" w14:textId="77777777" w:rsidR="00FA0BB6" w:rsidRPr="005D2775" w:rsidRDefault="00000000">
      <w:pPr>
        <w:spacing w:after="100"/>
        <w:ind w:left="360"/>
        <w:rPr>
          <w:color w:val="000000" w:themeColor="text1"/>
          <w:sz w:val="24"/>
          <w:szCs w:val="24"/>
        </w:rPr>
      </w:pPr>
      <w:r w:rsidRPr="005D2775">
        <w:rPr>
          <w:color w:val="000000" w:themeColor="text1"/>
          <w:sz w:val="24"/>
          <w:szCs w:val="24"/>
        </w:rPr>
        <w:t>•  Power check for the smallest cohort: the 20 T2D + 10 ND (n=30) dataset has limited power for its own independent DE testing — treat it as most useful for classifier validation (Stage 3) and qualitative direction-of-effect checks (Stage 1), not for drawing strong conclusions from its own significance testing alone.</w:t>
      </w:r>
    </w:p>
    <w:p w14:paraId="0008DF88"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Suggested priority given the 14 September deadline</w:t>
      </w:r>
    </w:p>
    <w:p w14:paraId="6F7412A2" w14:textId="77777777" w:rsidR="00FA0BB6" w:rsidRPr="005D2775" w:rsidRDefault="00000000">
      <w:pPr>
        <w:spacing w:after="140"/>
        <w:ind w:left="360" w:hanging="360"/>
        <w:rPr>
          <w:color w:val="000000" w:themeColor="text1"/>
          <w:sz w:val="24"/>
          <w:szCs w:val="24"/>
        </w:rPr>
      </w:pPr>
      <w:r w:rsidRPr="005D2775">
        <w:rPr>
          <w:b/>
          <w:bCs/>
          <w:color w:val="000000" w:themeColor="text1"/>
          <w:sz w:val="24"/>
          <w:szCs w:val="24"/>
        </w:rPr>
        <w:t>1. Stage 1 + Stage 2</w:t>
      </w:r>
      <w:r w:rsidRPr="005D2775">
        <w:rPr>
          <w:color w:val="000000" w:themeColor="text1"/>
          <w:sz w:val="24"/>
          <w:szCs w:val="24"/>
        </w:rPr>
        <w:t xml:space="preserve"> — achievable within days once accessions are in hand; gives a genuine, reportable replication result for the dissertation itself.</w:t>
      </w:r>
    </w:p>
    <w:p w14:paraId="52FBD3D4" w14:textId="77777777" w:rsidR="00FA0BB6" w:rsidRPr="005D2775" w:rsidRDefault="00000000">
      <w:pPr>
        <w:spacing w:after="140"/>
        <w:ind w:left="360" w:hanging="360"/>
        <w:rPr>
          <w:color w:val="000000" w:themeColor="text1"/>
          <w:sz w:val="24"/>
          <w:szCs w:val="24"/>
        </w:rPr>
      </w:pPr>
      <w:r w:rsidRPr="005D2775">
        <w:rPr>
          <w:b/>
          <w:bCs/>
          <w:color w:val="000000" w:themeColor="text1"/>
          <w:sz w:val="24"/>
          <w:szCs w:val="24"/>
        </w:rPr>
        <w:t>2. Stage 3</w:t>
      </w:r>
      <w:r w:rsidRPr="005D2775">
        <w:rPr>
          <w:color w:val="000000" w:themeColor="text1"/>
          <w:sz w:val="24"/>
          <w:szCs w:val="24"/>
        </w:rPr>
        <w:t xml:space="preserve"> — worth attempting if time allows before submission — a working classifier with external AUC is a strong result, but is more time-intensive (data </w:t>
      </w:r>
      <w:proofErr w:type="spellStart"/>
      <w:r w:rsidRPr="005D2775">
        <w:rPr>
          <w:color w:val="000000" w:themeColor="text1"/>
          <w:sz w:val="24"/>
          <w:szCs w:val="24"/>
        </w:rPr>
        <w:t>harmonisation</w:t>
      </w:r>
      <w:proofErr w:type="spellEnd"/>
      <w:r w:rsidRPr="005D2775">
        <w:rPr>
          <w:color w:val="000000" w:themeColor="text1"/>
          <w:sz w:val="24"/>
          <w:szCs w:val="24"/>
        </w:rPr>
        <w:t>, model tuning) and could reasonably be scoped as follow-up work for the publication rather than a hard dissertation requirement.</w:t>
      </w:r>
    </w:p>
    <w:p w14:paraId="21FA40C3" w14:textId="77777777" w:rsidR="00FA0BB6" w:rsidRPr="005D2775" w:rsidRDefault="00000000">
      <w:pPr>
        <w:spacing w:after="140"/>
        <w:ind w:left="360" w:hanging="360"/>
        <w:rPr>
          <w:color w:val="000000" w:themeColor="text1"/>
          <w:sz w:val="24"/>
          <w:szCs w:val="24"/>
        </w:rPr>
      </w:pPr>
      <w:r w:rsidRPr="005D2775">
        <w:rPr>
          <w:b/>
          <w:bCs/>
          <w:color w:val="000000" w:themeColor="text1"/>
          <w:sz w:val="24"/>
          <w:szCs w:val="24"/>
        </w:rPr>
        <w:t>3. Stage 4 and Stage 5</w:t>
      </w:r>
      <w:r w:rsidRPr="005D2775">
        <w:rPr>
          <w:color w:val="000000" w:themeColor="text1"/>
          <w:sz w:val="24"/>
          <w:szCs w:val="24"/>
        </w:rPr>
        <w:t xml:space="preserve"> — realistically post-submission / publication-track work given the remaining timeline — flag these explicitly to your supervisor as "planned but not completed by hand-in" rather than attempting to rush them.</w:t>
      </w:r>
    </w:p>
    <w:p w14:paraId="18933D07" w14:textId="77777777" w:rsidR="00FA0BB6" w:rsidRPr="005D2775" w:rsidRDefault="00FA0BB6">
      <w:pPr>
        <w:pageBreakBefore/>
        <w:rPr>
          <w:color w:val="000000" w:themeColor="text1"/>
          <w:sz w:val="24"/>
          <w:szCs w:val="24"/>
        </w:rPr>
      </w:pPr>
    </w:p>
    <w:p w14:paraId="6398F442" w14:textId="77777777" w:rsidR="00FA0BB6" w:rsidRPr="005D2775" w:rsidRDefault="00000000">
      <w:pPr>
        <w:pStyle w:val="Heading1"/>
        <w:spacing w:before="400" w:after="200"/>
        <w:rPr>
          <w:color w:val="000000" w:themeColor="text1"/>
          <w:sz w:val="24"/>
          <w:szCs w:val="24"/>
        </w:rPr>
      </w:pPr>
      <w:r w:rsidRPr="005D2775">
        <w:rPr>
          <w:color w:val="000000" w:themeColor="text1"/>
          <w:sz w:val="24"/>
          <w:szCs w:val="24"/>
        </w:rPr>
        <w:t>Part II — Hub Gene Relevance Atlas</w:t>
      </w:r>
    </w:p>
    <w:p w14:paraId="7DDF6316" w14:textId="77777777" w:rsidR="00FA0BB6" w:rsidRPr="005D2775" w:rsidRDefault="00000000">
      <w:pPr>
        <w:spacing w:after="160"/>
        <w:jc w:val="both"/>
        <w:rPr>
          <w:color w:val="000000" w:themeColor="text1"/>
          <w:sz w:val="24"/>
          <w:szCs w:val="24"/>
        </w:rPr>
      </w:pPr>
      <w:r w:rsidRPr="005D2775">
        <w:rPr>
          <w:color w:val="000000" w:themeColor="text1"/>
          <w:sz w:val="24"/>
          <w:szCs w:val="24"/>
        </w:rPr>
        <w:t xml:space="preserve">Every gene below is a real, computed hub gene from Table 3.5a (top 5 per focus module, ranked by </w:t>
      </w:r>
      <w:proofErr w:type="spellStart"/>
      <w:r w:rsidRPr="005D2775">
        <w:rPr>
          <w:color w:val="000000" w:themeColor="text1"/>
          <w:sz w:val="24"/>
          <w:szCs w:val="24"/>
        </w:rPr>
        <w:t>hub_score_all_genes</w:t>
      </w:r>
      <w:proofErr w:type="spellEnd"/>
      <w:r w:rsidRPr="005D2775">
        <w:rPr>
          <w:color w:val="000000" w:themeColor="text1"/>
          <w:sz w:val="24"/>
          <w:szCs w:val="24"/>
        </w:rPr>
        <w:t xml:space="preserve">). Function and disease-relevance summaries are drawn from published literature located via web search — sources are not individually cited here for </w:t>
      </w:r>
      <w:proofErr w:type="gramStart"/>
      <w:r w:rsidRPr="005D2775">
        <w:rPr>
          <w:color w:val="000000" w:themeColor="text1"/>
          <w:sz w:val="24"/>
          <w:szCs w:val="24"/>
        </w:rPr>
        <w:t>brevity</w:t>
      </w:r>
      <w:proofErr w:type="gramEnd"/>
      <w:r w:rsidRPr="005D2775">
        <w:rPr>
          <w:color w:val="000000" w:themeColor="text1"/>
          <w:sz w:val="24"/>
          <w:szCs w:val="24"/>
        </w:rPr>
        <w:t xml:space="preserve"> but the underlying search queries and key papers are available on request. Evidence strength reflects how directly the literature connects this specific gene to pancreatic islets, insulin secretion, or diabetes — not how interesting or statistically strong the hub finding itself is.</w:t>
      </w:r>
    </w:p>
    <w:p w14:paraId="7DE93E65"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Brown module</w:t>
      </w:r>
    </w:p>
    <w:p w14:paraId="780BAF2F"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DKK</w:t>
      </w:r>
      <w:proofErr w:type="gramStart"/>
      <w:r w:rsidRPr="005D2775">
        <w:rPr>
          <w:b/>
          <w:bCs/>
          <w:color w:val="000000" w:themeColor="text1"/>
          <w:sz w:val="24"/>
          <w:szCs w:val="24"/>
        </w:rPr>
        <w:t>3</w:t>
      </w:r>
      <w:r w:rsidRPr="005D2775">
        <w:rPr>
          <w:i/>
          <w:iCs/>
          <w:color w:val="000000" w:themeColor="text1"/>
          <w:sz w:val="24"/>
          <w:szCs w:val="24"/>
        </w:rPr>
        <w:t xml:space="preserve">  (</w:t>
      </w:r>
      <w:proofErr w:type="gramEnd"/>
      <w:r w:rsidRPr="005D2775">
        <w:rPr>
          <w:i/>
          <w:iCs/>
          <w:color w:val="000000" w:themeColor="text1"/>
          <w:sz w:val="24"/>
          <w:szCs w:val="24"/>
        </w:rPr>
        <w:t>Dickkopf-3)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3A97029D"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734CA012"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brown</w:t>
            </w:r>
          </w:p>
        </w:tc>
        <w:tc>
          <w:tcPr>
            <w:tcW w:w="2350" w:type="dxa"/>
            <w:shd w:val="clear" w:color="auto" w:fill="F2F2F2"/>
            <w:tcMar>
              <w:top w:w="60" w:type="dxa"/>
              <w:left w:w="100" w:type="dxa"/>
              <w:bottom w:w="60" w:type="dxa"/>
              <w:right w:w="100" w:type="dxa"/>
            </w:tcMar>
          </w:tcPr>
          <w:p w14:paraId="5DA5D86F"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3E6D0AF1"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0.697</w:t>
            </w:r>
          </w:p>
        </w:tc>
        <w:tc>
          <w:tcPr>
            <w:tcW w:w="2350" w:type="dxa"/>
            <w:shd w:val="clear" w:color="auto" w:fill="F2F2F2"/>
            <w:tcMar>
              <w:top w:w="60" w:type="dxa"/>
              <w:left w:w="100" w:type="dxa"/>
              <w:bottom w:w="60" w:type="dxa"/>
              <w:right w:w="100" w:type="dxa"/>
            </w:tcMar>
          </w:tcPr>
          <w:p w14:paraId="7849999D"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+1.87 (up in T2D)</w:t>
            </w:r>
          </w:p>
        </w:tc>
      </w:tr>
    </w:tbl>
    <w:p w14:paraId="4E4C0E23"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Secreted </w:t>
      </w:r>
      <w:proofErr w:type="spellStart"/>
      <w:r w:rsidRPr="005D2775">
        <w:rPr>
          <w:color w:val="000000" w:themeColor="text1"/>
          <w:sz w:val="24"/>
          <w:szCs w:val="24"/>
        </w:rPr>
        <w:t>Wnt</w:t>
      </w:r>
      <w:proofErr w:type="spellEnd"/>
      <w:r w:rsidRPr="005D2775">
        <w:rPr>
          <w:color w:val="000000" w:themeColor="text1"/>
          <w:sz w:val="24"/>
          <w:szCs w:val="24"/>
        </w:rPr>
        <w:t xml:space="preserve">-pathway modulator; regulates the switch between β-catenin-dependent and -independent </w:t>
      </w:r>
      <w:proofErr w:type="spellStart"/>
      <w:r w:rsidRPr="005D2775">
        <w:rPr>
          <w:color w:val="000000" w:themeColor="text1"/>
          <w:sz w:val="24"/>
          <w:szCs w:val="24"/>
        </w:rPr>
        <w:t>Wnt</w:t>
      </w:r>
      <w:proofErr w:type="spellEnd"/>
      <w:r w:rsidRPr="005D2775">
        <w:rPr>
          <w:color w:val="000000" w:themeColor="text1"/>
          <w:sz w:val="24"/>
          <w:szCs w:val="24"/>
        </w:rPr>
        <w:t xml:space="preserve"> </w:t>
      </w:r>
      <w:proofErr w:type="spellStart"/>
      <w:r w:rsidRPr="005D2775">
        <w:rPr>
          <w:color w:val="000000" w:themeColor="text1"/>
          <w:sz w:val="24"/>
          <w:szCs w:val="24"/>
        </w:rPr>
        <w:t>signalling</w:t>
      </w:r>
      <w:proofErr w:type="spellEnd"/>
      <w:r w:rsidRPr="005D2775">
        <w:rPr>
          <w:color w:val="000000" w:themeColor="text1"/>
          <w:sz w:val="24"/>
          <w:szCs w:val="24"/>
        </w:rPr>
        <w:t>.</w:t>
      </w:r>
    </w:p>
    <w:p w14:paraId="56C72B08"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Directly expressed in adult human pancreatic islets at higher levels than in exocrine/ductal tissue, with a specific role in β-catenin-independent </w:t>
      </w:r>
      <w:proofErr w:type="spellStart"/>
      <w:r w:rsidRPr="005D2775">
        <w:rPr>
          <w:color w:val="000000" w:themeColor="text1"/>
          <w:sz w:val="24"/>
          <w:szCs w:val="24"/>
        </w:rPr>
        <w:t>Wnt</w:t>
      </w:r>
      <w:proofErr w:type="spellEnd"/>
      <w:r w:rsidRPr="005D2775">
        <w:rPr>
          <w:color w:val="000000" w:themeColor="text1"/>
          <w:sz w:val="24"/>
          <w:szCs w:val="24"/>
        </w:rPr>
        <w:t xml:space="preserve"> </w:t>
      </w:r>
      <w:proofErr w:type="spellStart"/>
      <w:r w:rsidRPr="005D2775">
        <w:rPr>
          <w:color w:val="000000" w:themeColor="text1"/>
          <w:sz w:val="24"/>
          <w:szCs w:val="24"/>
        </w:rPr>
        <w:t>signalling</w:t>
      </w:r>
      <w:proofErr w:type="spellEnd"/>
      <w:r w:rsidRPr="005D2775">
        <w:rPr>
          <w:color w:val="000000" w:themeColor="text1"/>
          <w:sz w:val="24"/>
          <w:szCs w:val="24"/>
        </w:rPr>
        <w:t xml:space="preserve"> relevant to endocrine cell function; separately implicated in diabetic kidney disease progression.</w:t>
      </w:r>
    </w:p>
    <w:p w14:paraId="31CAB556"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Strong</w:t>
      </w:r>
    </w:p>
    <w:p w14:paraId="489B7F81"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PLA2G2</w:t>
      </w:r>
      <w:proofErr w:type="gramStart"/>
      <w:r w:rsidRPr="005D2775">
        <w:rPr>
          <w:b/>
          <w:bCs/>
          <w:color w:val="000000" w:themeColor="text1"/>
          <w:sz w:val="24"/>
          <w:szCs w:val="24"/>
        </w:rPr>
        <w:t>A</w:t>
      </w:r>
      <w:r w:rsidRPr="005D2775">
        <w:rPr>
          <w:i/>
          <w:iCs/>
          <w:color w:val="000000" w:themeColor="text1"/>
          <w:sz w:val="24"/>
          <w:szCs w:val="24"/>
        </w:rPr>
        <w:t xml:space="preserve">  (</w:t>
      </w:r>
      <w:proofErr w:type="gramEnd"/>
      <w:r w:rsidRPr="005D2775">
        <w:rPr>
          <w:i/>
          <w:iCs/>
          <w:color w:val="000000" w:themeColor="text1"/>
          <w:sz w:val="24"/>
          <w:szCs w:val="24"/>
        </w:rPr>
        <w:t>Secretory phospholipase A2 group IIA)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2CC411AB"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10775AD9"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brown</w:t>
            </w:r>
          </w:p>
        </w:tc>
        <w:tc>
          <w:tcPr>
            <w:tcW w:w="2350" w:type="dxa"/>
            <w:shd w:val="clear" w:color="auto" w:fill="F2F2F2"/>
            <w:tcMar>
              <w:top w:w="60" w:type="dxa"/>
              <w:left w:w="100" w:type="dxa"/>
              <w:bottom w:w="60" w:type="dxa"/>
              <w:right w:w="100" w:type="dxa"/>
            </w:tcMar>
          </w:tcPr>
          <w:p w14:paraId="4DE4E849"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61B00DDC"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0.561</w:t>
            </w:r>
          </w:p>
        </w:tc>
        <w:tc>
          <w:tcPr>
            <w:tcW w:w="2350" w:type="dxa"/>
            <w:shd w:val="clear" w:color="auto" w:fill="F2F2F2"/>
            <w:tcMar>
              <w:top w:w="60" w:type="dxa"/>
              <w:left w:w="100" w:type="dxa"/>
              <w:bottom w:w="60" w:type="dxa"/>
              <w:right w:w="100" w:type="dxa"/>
            </w:tcMar>
          </w:tcPr>
          <w:p w14:paraId="3A10ACDB"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+4.49 (up in T2D)</w:t>
            </w:r>
          </w:p>
        </w:tc>
      </w:tr>
    </w:tbl>
    <w:p w14:paraId="78E6AB3A"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Secretory phospholipase that hydrolyses membrane phospholipids to generate free fatty acids and </w:t>
      </w:r>
      <w:proofErr w:type="spellStart"/>
      <w:r w:rsidRPr="005D2775">
        <w:rPr>
          <w:color w:val="000000" w:themeColor="text1"/>
          <w:sz w:val="24"/>
          <w:szCs w:val="24"/>
        </w:rPr>
        <w:t>lysophospholipids</w:t>
      </w:r>
      <w:proofErr w:type="spellEnd"/>
      <w:r w:rsidRPr="005D2775">
        <w:rPr>
          <w:color w:val="000000" w:themeColor="text1"/>
          <w:sz w:val="24"/>
          <w:szCs w:val="24"/>
        </w:rPr>
        <w:t>; induced by inflammatory cytokines (IL-1, IL-6, TNF).</w:t>
      </w:r>
    </w:p>
    <w:p w14:paraId="4443D5AB"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Overexpression improves glucose tolerance and insulin sensitivity in animal </w:t>
      </w:r>
      <w:proofErr w:type="gramStart"/>
      <w:r w:rsidRPr="005D2775">
        <w:rPr>
          <w:color w:val="000000" w:themeColor="text1"/>
          <w:sz w:val="24"/>
          <w:szCs w:val="24"/>
        </w:rPr>
        <w:t>models, but</w:t>
      </w:r>
      <w:proofErr w:type="gramEnd"/>
      <w:r w:rsidRPr="005D2775">
        <w:rPr>
          <w:color w:val="000000" w:themeColor="text1"/>
          <w:sz w:val="24"/>
          <w:szCs w:val="24"/>
        </w:rPr>
        <w:t xml:space="preserve"> is also cytokine-inducible and pro-inflammatory — plausible dual role in metabolic adaptation and inflammatory islet stress.</w:t>
      </w:r>
    </w:p>
    <w:p w14:paraId="7968D5DD"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Strong</w:t>
      </w:r>
    </w:p>
    <w:p w14:paraId="45E169D5"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IRF</w:t>
      </w:r>
      <w:proofErr w:type="gramStart"/>
      <w:r w:rsidRPr="005D2775">
        <w:rPr>
          <w:b/>
          <w:bCs/>
          <w:color w:val="000000" w:themeColor="text1"/>
          <w:sz w:val="24"/>
          <w:szCs w:val="24"/>
        </w:rPr>
        <w:t>8</w:t>
      </w:r>
      <w:r w:rsidRPr="005D2775">
        <w:rPr>
          <w:i/>
          <w:iCs/>
          <w:color w:val="000000" w:themeColor="text1"/>
          <w:sz w:val="24"/>
          <w:szCs w:val="24"/>
        </w:rPr>
        <w:t xml:space="preserve">  (</w:t>
      </w:r>
      <w:proofErr w:type="gramEnd"/>
      <w:r w:rsidRPr="005D2775">
        <w:rPr>
          <w:i/>
          <w:iCs/>
          <w:color w:val="000000" w:themeColor="text1"/>
          <w:sz w:val="24"/>
          <w:szCs w:val="24"/>
        </w:rPr>
        <w:t>Interferon regulatory factor 8)</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3B11C270"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73A5F59B"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brown</w:t>
            </w:r>
          </w:p>
        </w:tc>
        <w:tc>
          <w:tcPr>
            <w:tcW w:w="2350" w:type="dxa"/>
            <w:shd w:val="clear" w:color="auto" w:fill="F2F2F2"/>
            <w:tcMar>
              <w:top w:w="60" w:type="dxa"/>
              <w:left w:w="100" w:type="dxa"/>
              <w:bottom w:w="60" w:type="dxa"/>
              <w:right w:w="100" w:type="dxa"/>
            </w:tcMar>
          </w:tcPr>
          <w:p w14:paraId="40CC245C"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729BAA5F"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0.528</w:t>
            </w:r>
          </w:p>
        </w:tc>
        <w:tc>
          <w:tcPr>
            <w:tcW w:w="2350" w:type="dxa"/>
            <w:shd w:val="clear" w:color="auto" w:fill="F2F2F2"/>
            <w:tcMar>
              <w:top w:w="60" w:type="dxa"/>
              <w:left w:w="100" w:type="dxa"/>
              <w:bottom w:w="60" w:type="dxa"/>
              <w:right w:w="100" w:type="dxa"/>
            </w:tcMar>
          </w:tcPr>
          <w:p w14:paraId="58E3ED41"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+1.95 (up in T2D)</w:t>
            </w:r>
          </w:p>
        </w:tc>
      </w:tr>
    </w:tbl>
    <w:p w14:paraId="335D04C6"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Transcription factor controlling macrophage and dendritic cell lineage specification and differentiation.</w:t>
      </w:r>
    </w:p>
    <w:p w14:paraId="128D01B7"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No islet-specific literature found directly linking IRF8 to β-cell or diabetes biology; relevance is inferred via its central role in macrophage differentiation, and islet-resident macrophages are known to be important for β-cell homeostasis — this connection is plausible but not yet directly demonstrated for IRF8 itself.</w:t>
      </w:r>
    </w:p>
    <w:p w14:paraId="46877E88"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570DF1F5" w14:textId="77777777" w:rsidR="00FA0BB6" w:rsidRPr="005D2775" w:rsidRDefault="00000000">
      <w:pPr>
        <w:spacing w:before="260" w:after="80"/>
        <w:rPr>
          <w:color w:val="000000" w:themeColor="text1"/>
          <w:sz w:val="24"/>
          <w:szCs w:val="24"/>
        </w:rPr>
      </w:pPr>
      <w:r w:rsidRPr="005D2775">
        <w:rPr>
          <w:b/>
          <w:bCs/>
          <w:color w:val="000000" w:themeColor="text1"/>
          <w:sz w:val="24"/>
          <w:szCs w:val="24"/>
        </w:rPr>
        <w:lastRenderedPageBreak/>
        <w:t>COL6A</w:t>
      </w:r>
      <w:proofErr w:type="gramStart"/>
      <w:r w:rsidRPr="005D2775">
        <w:rPr>
          <w:b/>
          <w:bCs/>
          <w:color w:val="000000" w:themeColor="text1"/>
          <w:sz w:val="24"/>
          <w:szCs w:val="24"/>
        </w:rPr>
        <w:t>1</w:t>
      </w:r>
      <w:r w:rsidRPr="005D2775">
        <w:rPr>
          <w:i/>
          <w:iCs/>
          <w:color w:val="000000" w:themeColor="text1"/>
          <w:sz w:val="24"/>
          <w:szCs w:val="24"/>
        </w:rPr>
        <w:t xml:space="preserve">  (</w:t>
      </w:r>
      <w:proofErr w:type="gramEnd"/>
      <w:r w:rsidRPr="005D2775">
        <w:rPr>
          <w:i/>
          <w:iCs/>
          <w:color w:val="000000" w:themeColor="text1"/>
          <w:sz w:val="24"/>
          <w:szCs w:val="24"/>
        </w:rPr>
        <w:t>Collagen type VI alpha 1 chain)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64920F6A"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4D0839F1"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brown</w:t>
            </w:r>
          </w:p>
        </w:tc>
        <w:tc>
          <w:tcPr>
            <w:tcW w:w="2350" w:type="dxa"/>
            <w:shd w:val="clear" w:color="auto" w:fill="F2F2F2"/>
            <w:tcMar>
              <w:top w:w="60" w:type="dxa"/>
              <w:left w:w="100" w:type="dxa"/>
              <w:bottom w:w="60" w:type="dxa"/>
              <w:right w:w="100" w:type="dxa"/>
            </w:tcMar>
          </w:tcPr>
          <w:p w14:paraId="4FA3A8A5"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54899077"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0.514</w:t>
            </w:r>
          </w:p>
        </w:tc>
        <w:tc>
          <w:tcPr>
            <w:tcW w:w="2350" w:type="dxa"/>
            <w:shd w:val="clear" w:color="auto" w:fill="F2F2F2"/>
            <w:tcMar>
              <w:top w:w="60" w:type="dxa"/>
              <w:left w:w="100" w:type="dxa"/>
              <w:bottom w:w="60" w:type="dxa"/>
              <w:right w:w="100" w:type="dxa"/>
            </w:tcMar>
          </w:tcPr>
          <w:p w14:paraId="3C780CDB"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+1.01 (up in T2D)</w:t>
            </w:r>
          </w:p>
        </w:tc>
      </w:tr>
    </w:tbl>
    <w:p w14:paraId="526637E3"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Encodes part of collagen VI, an extracellular matrix protein forming a </w:t>
      </w:r>
      <w:proofErr w:type="spellStart"/>
      <w:r w:rsidRPr="005D2775">
        <w:rPr>
          <w:color w:val="000000" w:themeColor="text1"/>
          <w:sz w:val="24"/>
          <w:szCs w:val="24"/>
        </w:rPr>
        <w:t>microfilamentous</w:t>
      </w:r>
      <w:proofErr w:type="spellEnd"/>
      <w:r w:rsidRPr="005D2775">
        <w:rPr>
          <w:color w:val="000000" w:themeColor="text1"/>
          <w:sz w:val="24"/>
          <w:szCs w:val="24"/>
        </w:rPr>
        <w:t xml:space="preserve"> network in connective tissue and adipose tissue.</w:t>
      </w:r>
    </w:p>
    <w:p w14:paraId="367AEC43"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COL6A1 deficiency improves insulin sensitivity and glucose metabolism in adipose tissue models, and collagen VI is upregulated in dysfunctional adipose tissue; anti-diabetic treatment suppresses its expression — a fibrosis/extracellular-matrix axis relevant to metabolic tissue dysfunction, though most direct evidence is from adipose rather than islet tissue.</w:t>
      </w:r>
    </w:p>
    <w:p w14:paraId="24C6964A"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71806773" w14:textId="77777777" w:rsidR="00FA0BB6" w:rsidRPr="005D2775" w:rsidRDefault="00000000">
      <w:pPr>
        <w:spacing w:before="260" w:after="80"/>
        <w:rPr>
          <w:color w:val="000000" w:themeColor="text1"/>
          <w:sz w:val="24"/>
          <w:szCs w:val="24"/>
        </w:rPr>
      </w:pPr>
      <w:proofErr w:type="gramStart"/>
      <w:r w:rsidRPr="005D2775">
        <w:rPr>
          <w:b/>
          <w:bCs/>
          <w:color w:val="000000" w:themeColor="text1"/>
          <w:sz w:val="24"/>
          <w:szCs w:val="24"/>
        </w:rPr>
        <w:t>MYOF</w:t>
      </w:r>
      <w:r w:rsidRPr="005D2775">
        <w:rPr>
          <w:i/>
          <w:iCs/>
          <w:color w:val="000000" w:themeColor="text1"/>
          <w:sz w:val="24"/>
          <w:szCs w:val="24"/>
        </w:rPr>
        <w:t xml:space="preserve">  (</w:t>
      </w:r>
      <w:proofErr w:type="gramEnd"/>
      <w:r w:rsidRPr="005D2775">
        <w:rPr>
          <w:i/>
          <w:iCs/>
          <w:color w:val="000000" w:themeColor="text1"/>
          <w:sz w:val="24"/>
          <w:szCs w:val="24"/>
        </w:rPr>
        <w:t>Myoferlin)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11DD488E"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660DAD6C"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brown</w:t>
            </w:r>
          </w:p>
        </w:tc>
        <w:tc>
          <w:tcPr>
            <w:tcW w:w="2350" w:type="dxa"/>
            <w:shd w:val="clear" w:color="auto" w:fill="F2F2F2"/>
            <w:tcMar>
              <w:top w:w="60" w:type="dxa"/>
              <w:left w:w="100" w:type="dxa"/>
              <w:bottom w:w="60" w:type="dxa"/>
              <w:right w:w="100" w:type="dxa"/>
            </w:tcMar>
          </w:tcPr>
          <w:p w14:paraId="35C2F1CF"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12C3696B"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0.503</w:t>
            </w:r>
          </w:p>
        </w:tc>
        <w:tc>
          <w:tcPr>
            <w:tcW w:w="2350" w:type="dxa"/>
            <w:shd w:val="clear" w:color="auto" w:fill="F2F2F2"/>
            <w:tcMar>
              <w:top w:w="60" w:type="dxa"/>
              <w:left w:w="100" w:type="dxa"/>
              <w:bottom w:w="60" w:type="dxa"/>
              <w:right w:w="100" w:type="dxa"/>
            </w:tcMar>
          </w:tcPr>
          <w:p w14:paraId="6DAFF1D4"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+1.28 (up in T2D)</w:t>
            </w:r>
          </w:p>
        </w:tc>
      </w:tr>
    </w:tbl>
    <w:p w14:paraId="713530D9"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Membrane-repair and vesicle-trafficking protein of the </w:t>
      </w:r>
      <w:proofErr w:type="spellStart"/>
      <w:r w:rsidRPr="005D2775">
        <w:rPr>
          <w:color w:val="000000" w:themeColor="text1"/>
          <w:sz w:val="24"/>
          <w:szCs w:val="24"/>
        </w:rPr>
        <w:t>ferlin</w:t>
      </w:r>
      <w:proofErr w:type="spellEnd"/>
      <w:r w:rsidRPr="005D2775">
        <w:rPr>
          <w:color w:val="000000" w:themeColor="text1"/>
          <w:sz w:val="24"/>
          <w:szCs w:val="24"/>
        </w:rPr>
        <w:t xml:space="preserve"> family; highly expressed in muscle, endocrine, and gastrointestinal tissue.</w:t>
      </w:r>
    </w:p>
    <w:p w14:paraId="209FD6B1"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A specific role in glucose metabolism regulation has been proposed, particularly in adipose tissue, but the mechanism remains under-</w:t>
      </w:r>
      <w:proofErr w:type="spellStart"/>
      <w:r w:rsidRPr="005D2775">
        <w:rPr>
          <w:color w:val="000000" w:themeColor="text1"/>
          <w:sz w:val="24"/>
          <w:szCs w:val="24"/>
        </w:rPr>
        <w:t>characterised</w:t>
      </w:r>
      <w:proofErr w:type="spellEnd"/>
      <w:r w:rsidRPr="005D2775">
        <w:rPr>
          <w:color w:val="000000" w:themeColor="text1"/>
          <w:sz w:val="24"/>
          <w:szCs w:val="24"/>
        </w:rPr>
        <w:t>; no direct islet/β-cell literature was found.</w:t>
      </w:r>
    </w:p>
    <w:p w14:paraId="2EFC0078"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14AACFF7"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Yellow module</w:t>
      </w:r>
    </w:p>
    <w:p w14:paraId="77F8FE6F"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ENSG00000235020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3BAC44D0"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2645E202"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yellow</w:t>
            </w:r>
          </w:p>
        </w:tc>
        <w:tc>
          <w:tcPr>
            <w:tcW w:w="2350" w:type="dxa"/>
            <w:shd w:val="clear" w:color="auto" w:fill="F2F2F2"/>
            <w:tcMar>
              <w:top w:w="60" w:type="dxa"/>
              <w:left w:w="100" w:type="dxa"/>
              <w:bottom w:w="60" w:type="dxa"/>
              <w:right w:w="100" w:type="dxa"/>
            </w:tcMar>
          </w:tcPr>
          <w:p w14:paraId="61FC3FF7"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lncRNA</w:t>
            </w:r>
          </w:p>
        </w:tc>
        <w:tc>
          <w:tcPr>
            <w:tcW w:w="2350" w:type="dxa"/>
            <w:shd w:val="clear" w:color="auto" w:fill="F2F2F2"/>
            <w:tcMar>
              <w:top w:w="60" w:type="dxa"/>
              <w:left w:w="100" w:type="dxa"/>
              <w:bottom w:w="60" w:type="dxa"/>
              <w:right w:w="100" w:type="dxa"/>
            </w:tcMar>
          </w:tcPr>
          <w:p w14:paraId="252ECD62"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0.582</w:t>
            </w:r>
          </w:p>
        </w:tc>
        <w:tc>
          <w:tcPr>
            <w:tcW w:w="2350" w:type="dxa"/>
            <w:shd w:val="clear" w:color="auto" w:fill="F2F2F2"/>
            <w:tcMar>
              <w:top w:w="60" w:type="dxa"/>
              <w:left w:w="100" w:type="dxa"/>
              <w:bottom w:w="60" w:type="dxa"/>
              <w:right w:w="100" w:type="dxa"/>
            </w:tcMar>
          </w:tcPr>
          <w:p w14:paraId="0F89FC99"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+1.33 (up in T2D)</w:t>
            </w:r>
          </w:p>
        </w:tc>
      </w:tr>
    </w:tbl>
    <w:p w14:paraId="5AD8A120"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No HGNC gene symbol has been assigned; no published functional </w:t>
      </w:r>
      <w:proofErr w:type="spellStart"/>
      <w:r w:rsidRPr="005D2775">
        <w:rPr>
          <w:color w:val="000000" w:themeColor="text1"/>
          <w:sz w:val="24"/>
          <w:szCs w:val="24"/>
        </w:rPr>
        <w:t>characterisation</w:t>
      </w:r>
      <w:proofErr w:type="spellEnd"/>
      <w:r w:rsidRPr="005D2775">
        <w:rPr>
          <w:color w:val="000000" w:themeColor="text1"/>
          <w:sz w:val="24"/>
          <w:szCs w:val="24"/>
        </w:rPr>
        <w:t xml:space="preserve"> exists under this </w:t>
      </w:r>
      <w:proofErr w:type="spellStart"/>
      <w:r w:rsidRPr="005D2775">
        <w:rPr>
          <w:color w:val="000000" w:themeColor="text1"/>
          <w:sz w:val="24"/>
          <w:szCs w:val="24"/>
        </w:rPr>
        <w:t>Ensembl</w:t>
      </w:r>
      <w:proofErr w:type="spellEnd"/>
      <w:r w:rsidRPr="005D2775">
        <w:rPr>
          <w:color w:val="000000" w:themeColor="text1"/>
          <w:sz w:val="24"/>
          <w:szCs w:val="24"/>
        </w:rPr>
        <w:t xml:space="preserve"> ID.</w:t>
      </w:r>
    </w:p>
    <w:p w14:paraId="43AA1FFE"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Cannot be assessed from existing literature — this is an </w:t>
      </w:r>
      <w:proofErr w:type="spellStart"/>
      <w:r w:rsidRPr="005D2775">
        <w:rPr>
          <w:color w:val="000000" w:themeColor="text1"/>
          <w:sz w:val="24"/>
          <w:szCs w:val="24"/>
        </w:rPr>
        <w:t>uncharacterised</w:t>
      </w:r>
      <w:proofErr w:type="spellEnd"/>
      <w:r w:rsidRPr="005D2775">
        <w:rPr>
          <w:color w:val="000000" w:themeColor="text1"/>
          <w:sz w:val="24"/>
          <w:szCs w:val="24"/>
        </w:rPr>
        <w:t xml:space="preserve"> lncRNA. Its status as the top-ranked hub gene in the yellow module (by both DE prioritisation and network connectivity) makes it a genuinely novel candidate, but also one requiring wet-lab or in-silico functional prediction work before any biological claim can be made.</w:t>
      </w:r>
    </w:p>
    <w:p w14:paraId="709A252B"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proofErr w:type="spellStart"/>
      <w:r w:rsidRPr="005D2775">
        <w:rPr>
          <w:color w:val="000000" w:themeColor="text1"/>
          <w:sz w:val="24"/>
          <w:szCs w:val="24"/>
        </w:rPr>
        <w:t>Uncharacterised</w:t>
      </w:r>
      <w:proofErr w:type="spellEnd"/>
    </w:p>
    <w:p w14:paraId="6490D0EA"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ENSG00000256085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05026FB6"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22AB893C"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yellow</w:t>
            </w:r>
          </w:p>
        </w:tc>
        <w:tc>
          <w:tcPr>
            <w:tcW w:w="2350" w:type="dxa"/>
            <w:shd w:val="clear" w:color="auto" w:fill="F2F2F2"/>
            <w:tcMar>
              <w:top w:w="60" w:type="dxa"/>
              <w:left w:w="100" w:type="dxa"/>
              <w:bottom w:w="60" w:type="dxa"/>
              <w:right w:w="100" w:type="dxa"/>
            </w:tcMar>
          </w:tcPr>
          <w:p w14:paraId="29BC8FAD"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lncRNA</w:t>
            </w:r>
          </w:p>
        </w:tc>
        <w:tc>
          <w:tcPr>
            <w:tcW w:w="2350" w:type="dxa"/>
            <w:shd w:val="clear" w:color="auto" w:fill="F2F2F2"/>
            <w:tcMar>
              <w:top w:w="60" w:type="dxa"/>
              <w:left w:w="100" w:type="dxa"/>
              <w:bottom w:w="60" w:type="dxa"/>
              <w:right w:w="100" w:type="dxa"/>
            </w:tcMar>
          </w:tcPr>
          <w:p w14:paraId="41E0A143"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0.504</w:t>
            </w:r>
          </w:p>
        </w:tc>
        <w:tc>
          <w:tcPr>
            <w:tcW w:w="2350" w:type="dxa"/>
            <w:shd w:val="clear" w:color="auto" w:fill="F2F2F2"/>
            <w:tcMar>
              <w:top w:w="60" w:type="dxa"/>
              <w:left w:w="100" w:type="dxa"/>
              <w:bottom w:w="60" w:type="dxa"/>
              <w:right w:w="100" w:type="dxa"/>
            </w:tcMar>
          </w:tcPr>
          <w:p w14:paraId="619750C5"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+1.25 (up in T2D)</w:t>
            </w:r>
          </w:p>
        </w:tc>
      </w:tr>
    </w:tbl>
    <w:p w14:paraId="498439EF"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No HGNC gene symbol assigned; no published functional literature found.</w:t>
      </w:r>
    </w:p>
    <w:p w14:paraId="70AF7517"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As above — a novel candidate with no existing </w:t>
      </w:r>
      <w:proofErr w:type="spellStart"/>
      <w:r w:rsidRPr="005D2775">
        <w:rPr>
          <w:color w:val="000000" w:themeColor="text1"/>
          <w:sz w:val="24"/>
          <w:szCs w:val="24"/>
        </w:rPr>
        <w:t>characterisation</w:t>
      </w:r>
      <w:proofErr w:type="spellEnd"/>
      <w:r w:rsidRPr="005D2775">
        <w:rPr>
          <w:color w:val="000000" w:themeColor="text1"/>
          <w:sz w:val="24"/>
          <w:szCs w:val="24"/>
        </w:rPr>
        <w:t xml:space="preserve">. Appears independently in both the hub gene table and the </w:t>
      </w:r>
      <w:proofErr w:type="gramStart"/>
      <w:r w:rsidRPr="005D2775">
        <w:rPr>
          <w:color w:val="000000" w:themeColor="text1"/>
          <w:sz w:val="24"/>
          <w:szCs w:val="24"/>
        </w:rPr>
        <w:t>top-20</w:t>
      </w:r>
      <w:proofErr w:type="gramEnd"/>
      <w:r w:rsidRPr="005D2775">
        <w:rPr>
          <w:color w:val="000000" w:themeColor="text1"/>
          <w:sz w:val="24"/>
          <w:szCs w:val="24"/>
        </w:rPr>
        <w:t xml:space="preserve"> DE-</w:t>
      </w:r>
      <w:proofErr w:type="spellStart"/>
      <w:r w:rsidRPr="005D2775">
        <w:rPr>
          <w:color w:val="000000" w:themeColor="text1"/>
          <w:sz w:val="24"/>
          <w:szCs w:val="24"/>
        </w:rPr>
        <w:t>prioritised</w:t>
      </w:r>
      <w:proofErr w:type="spellEnd"/>
      <w:r w:rsidRPr="005D2775">
        <w:rPr>
          <w:color w:val="000000" w:themeColor="text1"/>
          <w:sz w:val="24"/>
          <w:szCs w:val="24"/>
        </w:rPr>
        <w:t xml:space="preserve"> lncRNA list, which strengthens the case for it being a genuine (if unstudied) signal rather than noise.</w:t>
      </w:r>
    </w:p>
    <w:p w14:paraId="162BE972"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proofErr w:type="spellStart"/>
      <w:r w:rsidRPr="005D2775">
        <w:rPr>
          <w:color w:val="000000" w:themeColor="text1"/>
          <w:sz w:val="24"/>
          <w:szCs w:val="24"/>
        </w:rPr>
        <w:t>Uncharacterised</w:t>
      </w:r>
      <w:proofErr w:type="spellEnd"/>
    </w:p>
    <w:p w14:paraId="2DA77815" w14:textId="77777777" w:rsidR="00FA0BB6" w:rsidRPr="005D2775" w:rsidRDefault="00000000">
      <w:pPr>
        <w:spacing w:before="260" w:after="80"/>
        <w:rPr>
          <w:color w:val="000000" w:themeColor="text1"/>
          <w:sz w:val="24"/>
          <w:szCs w:val="24"/>
        </w:rPr>
      </w:pPr>
      <w:r w:rsidRPr="005D2775">
        <w:rPr>
          <w:b/>
          <w:bCs/>
          <w:color w:val="000000" w:themeColor="text1"/>
          <w:sz w:val="24"/>
          <w:szCs w:val="24"/>
        </w:rPr>
        <w:lastRenderedPageBreak/>
        <w:t>H1-10-AS</w:t>
      </w:r>
      <w:proofErr w:type="gramStart"/>
      <w:r w:rsidRPr="005D2775">
        <w:rPr>
          <w:b/>
          <w:bCs/>
          <w:color w:val="000000" w:themeColor="text1"/>
          <w:sz w:val="24"/>
          <w:szCs w:val="24"/>
        </w:rPr>
        <w:t>1</w:t>
      </w:r>
      <w:r w:rsidRPr="005D2775">
        <w:rPr>
          <w:i/>
          <w:iCs/>
          <w:color w:val="000000" w:themeColor="text1"/>
          <w:sz w:val="24"/>
          <w:szCs w:val="24"/>
        </w:rPr>
        <w:t xml:space="preserve">  (</w:t>
      </w:r>
      <w:proofErr w:type="gramEnd"/>
      <w:r w:rsidRPr="005D2775">
        <w:rPr>
          <w:i/>
          <w:iCs/>
          <w:color w:val="000000" w:themeColor="text1"/>
          <w:sz w:val="24"/>
          <w:szCs w:val="24"/>
        </w:rPr>
        <w:t>Antisense to H1-10 (histone H1.10 / H1F0/H1FOO family))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215BAC5C"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0CB683EA"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yellow</w:t>
            </w:r>
          </w:p>
        </w:tc>
        <w:tc>
          <w:tcPr>
            <w:tcW w:w="2350" w:type="dxa"/>
            <w:shd w:val="clear" w:color="auto" w:fill="F2F2F2"/>
            <w:tcMar>
              <w:top w:w="60" w:type="dxa"/>
              <w:left w:w="100" w:type="dxa"/>
              <w:bottom w:w="60" w:type="dxa"/>
              <w:right w:w="100" w:type="dxa"/>
            </w:tcMar>
          </w:tcPr>
          <w:p w14:paraId="50EF6A05"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lncRNA</w:t>
            </w:r>
          </w:p>
        </w:tc>
        <w:tc>
          <w:tcPr>
            <w:tcW w:w="2350" w:type="dxa"/>
            <w:shd w:val="clear" w:color="auto" w:fill="F2F2F2"/>
            <w:tcMar>
              <w:top w:w="60" w:type="dxa"/>
              <w:left w:w="100" w:type="dxa"/>
              <w:bottom w:w="60" w:type="dxa"/>
              <w:right w:w="100" w:type="dxa"/>
            </w:tcMar>
          </w:tcPr>
          <w:p w14:paraId="0BC31CA2"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0.498</w:t>
            </w:r>
          </w:p>
        </w:tc>
        <w:tc>
          <w:tcPr>
            <w:tcW w:w="2350" w:type="dxa"/>
            <w:shd w:val="clear" w:color="auto" w:fill="F2F2F2"/>
            <w:tcMar>
              <w:top w:w="60" w:type="dxa"/>
              <w:left w:w="100" w:type="dxa"/>
              <w:bottom w:w="60" w:type="dxa"/>
              <w:right w:w="100" w:type="dxa"/>
            </w:tcMar>
          </w:tcPr>
          <w:p w14:paraId="572E2C05"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+1.15 (up in T2D)</w:t>
            </w:r>
          </w:p>
        </w:tc>
      </w:tr>
    </w:tbl>
    <w:p w14:paraId="54F01884"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Antisense lncRNA overlapping the H1-10 linker histone gene locus. H1 linker histones (the sense-strand gene family) regulate chromatin condensation and are best </w:t>
      </w:r>
      <w:proofErr w:type="spellStart"/>
      <w:r w:rsidRPr="005D2775">
        <w:rPr>
          <w:color w:val="000000" w:themeColor="text1"/>
          <w:sz w:val="24"/>
          <w:szCs w:val="24"/>
        </w:rPr>
        <w:t>characterised</w:t>
      </w:r>
      <w:proofErr w:type="spellEnd"/>
      <w:r w:rsidRPr="005D2775">
        <w:rPr>
          <w:color w:val="000000" w:themeColor="text1"/>
          <w:sz w:val="24"/>
          <w:szCs w:val="24"/>
        </w:rPr>
        <w:t xml:space="preserve"> in oocyte/early embryonic chromatin </w:t>
      </w:r>
      <w:proofErr w:type="spellStart"/>
      <w:r w:rsidRPr="005D2775">
        <w:rPr>
          <w:color w:val="000000" w:themeColor="text1"/>
          <w:sz w:val="24"/>
          <w:szCs w:val="24"/>
        </w:rPr>
        <w:t>decondensation</w:t>
      </w:r>
      <w:proofErr w:type="spellEnd"/>
      <w:r w:rsidRPr="005D2775">
        <w:rPr>
          <w:color w:val="000000" w:themeColor="text1"/>
          <w:sz w:val="24"/>
          <w:szCs w:val="24"/>
        </w:rPr>
        <w:t xml:space="preserve"> (H1FOO specifically).</w:t>
      </w:r>
    </w:p>
    <w:p w14:paraId="19E96AA7"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No diabetes- or islet-specific literature exists for this antisense transcript specifically. Antisense lncRNAs frequently regulate their overlapping sense-strand gene in cis, so a plausible (untested) hypothesis is that H1-10-AS1 modulates chromatin accessibility at this locus in islets — this is speculative and would need direct testing.</w:t>
      </w:r>
    </w:p>
    <w:p w14:paraId="2AAD5552"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proofErr w:type="spellStart"/>
      <w:r w:rsidRPr="005D2775">
        <w:rPr>
          <w:color w:val="000000" w:themeColor="text1"/>
          <w:sz w:val="24"/>
          <w:szCs w:val="24"/>
        </w:rPr>
        <w:t>Uncharacterised</w:t>
      </w:r>
      <w:proofErr w:type="spellEnd"/>
    </w:p>
    <w:p w14:paraId="56AEFDA9"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SH3PXD2</w:t>
      </w:r>
      <w:proofErr w:type="gramStart"/>
      <w:r w:rsidRPr="005D2775">
        <w:rPr>
          <w:b/>
          <w:bCs/>
          <w:color w:val="000000" w:themeColor="text1"/>
          <w:sz w:val="24"/>
          <w:szCs w:val="24"/>
        </w:rPr>
        <w:t>A</w:t>
      </w:r>
      <w:r w:rsidRPr="005D2775">
        <w:rPr>
          <w:i/>
          <w:iCs/>
          <w:color w:val="000000" w:themeColor="text1"/>
          <w:sz w:val="24"/>
          <w:szCs w:val="24"/>
        </w:rPr>
        <w:t xml:space="preserve">  (</w:t>
      </w:r>
      <w:proofErr w:type="gramEnd"/>
      <w:r w:rsidRPr="005D2775">
        <w:rPr>
          <w:i/>
          <w:iCs/>
          <w:color w:val="000000" w:themeColor="text1"/>
          <w:sz w:val="24"/>
          <w:szCs w:val="24"/>
        </w:rPr>
        <w:t>TKS5)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5E112BE8"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12461231"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yellow</w:t>
            </w:r>
          </w:p>
        </w:tc>
        <w:tc>
          <w:tcPr>
            <w:tcW w:w="2350" w:type="dxa"/>
            <w:shd w:val="clear" w:color="auto" w:fill="F2F2F2"/>
            <w:tcMar>
              <w:top w:w="60" w:type="dxa"/>
              <w:left w:w="100" w:type="dxa"/>
              <w:bottom w:w="60" w:type="dxa"/>
              <w:right w:w="100" w:type="dxa"/>
            </w:tcMar>
          </w:tcPr>
          <w:p w14:paraId="25349474"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6D2FF7E3"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0.495</w:t>
            </w:r>
          </w:p>
        </w:tc>
        <w:tc>
          <w:tcPr>
            <w:tcW w:w="2350" w:type="dxa"/>
            <w:shd w:val="clear" w:color="auto" w:fill="F2F2F2"/>
            <w:tcMar>
              <w:top w:w="60" w:type="dxa"/>
              <w:left w:w="100" w:type="dxa"/>
              <w:bottom w:w="60" w:type="dxa"/>
              <w:right w:w="100" w:type="dxa"/>
            </w:tcMar>
          </w:tcPr>
          <w:p w14:paraId="64459FD2"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+0.51 (up in T2D)</w:t>
            </w:r>
          </w:p>
        </w:tc>
      </w:tr>
    </w:tbl>
    <w:p w14:paraId="53CE3D58"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Scaffold protein organising </w:t>
      </w:r>
      <w:proofErr w:type="spellStart"/>
      <w:r w:rsidRPr="005D2775">
        <w:rPr>
          <w:color w:val="000000" w:themeColor="text1"/>
          <w:sz w:val="24"/>
          <w:szCs w:val="24"/>
        </w:rPr>
        <w:t>invadopodia</w:t>
      </w:r>
      <w:proofErr w:type="spellEnd"/>
      <w:r w:rsidRPr="005D2775">
        <w:rPr>
          <w:color w:val="000000" w:themeColor="text1"/>
          <w:sz w:val="24"/>
          <w:szCs w:val="24"/>
        </w:rPr>
        <w:t>/</w:t>
      </w:r>
      <w:proofErr w:type="spellStart"/>
      <w:r w:rsidRPr="005D2775">
        <w:rPr>
          <w:color w:val="000000" w:themeColor="text1"/>
          <w:sz w:val="24"/>
          <w:szCs w:val="24"/>
        </w:rPr>
        <w:t>podosome</w:t>
      </w:r>
      <w:proofErr w:type="spellEnd"/>
      <w:r w:rsidRPr="005D2775">
        <w:rPr>
          <w:color w:val="000000" w:themeColor="text1"/>
          <w:sz w:val="24"/>
          <w:szCs w:val="24"/>
        </w:rPr>
        <w:t xml:space="preserve"> formation and reactive oxygen species generation; best studied in cancer cell invasion (e.g. prostate cancer) and amyloid-beta neurotoxicity.</w:t>
      </w:r>
    </w:p>
    <w:p w14:paraId="2A143F8C"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No diabetes or islet-specific literature was found. Its role in ROS generation is a plausible but currently untested link to oxidative-stress pathways relevant to β-cell dysfunction.</w:t>
      </w:r>
    </w:p>
    <w:p w14:paraId="65D6AAE2"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Weak / no direct evidence</w:t>
      </w:r>
    </w:p>
    <w:p w14:paraId="776695D0"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SHOC1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76C7AEB7"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358E341D"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yellow</w:t>
            </w:r>
          </w:p>
        </w:tc>
        <w:tc>
          <w:tcPr>
            <w:tcW w:w="2350" w:type="dxa"/>
            <w:shd w:val="clear" w:color="auto" w:fill="F2F2F2"/>
            <w:tcMar>
              <w:top w:w="60" w:type="dxa"/>
              <w:left w:w="100" w:type="dxa"/>
              <w:bottom w:w="60" w:type="dxa"/>
              <w:right w:w="100" w:type="dxa"/>
            </w:tcMar>
          </w:tcPr>
          <w:p w14:paraId="2B721793"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52FF307A"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0.488</w:t>
            </w:r>
          </w:p>
        </w:tc>
        <w:tc>
          <w:tcPr>
            <w:tcW w:w="2350" w:type="dxa"/>
            <w:shd w:val="clear" w:color="auto" w:fill="F2F2F2"/>
            <w:tcMar>
              <w:top w:w="60" w:type="dxa"/>
              <w:left w:w="100" w:type="dxa"/>
              <w:bottom w:w="60" w:type="dxa"/>
              <w:right w:w="100" w:type="dxa"/>
            </w:tcMar>
          </w:tcPr>
          <w:p w14:paraId="22F39C80"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+0.93 (up in T2D)</w:t>
            </w:r>
          </w:p>
        </w:tc>
      </w:tr>
    </w:tbl>
    <w:p w14:paraId="6586A8FA"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DNA-binding ATPase required for crossover recombination intermediate formation during meiosis; associated clinically with male infertility and spermatogenic failure.</w:t>
      </w:r>
    </w:p>
    <w:p w14:paraId="7A0D5A74"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No plausible mechanistic link to islet biology or glucose metabolism was found in the literature — its known function is specific to meiotic recombination in germ cells. Worth flagging for extra scrutiny: statistically a hub gene in this network, but with no obvious biological rationale for T2D relevance.</w:t>
      </w:r>
    </w:p>
    <w:p w14:paraId="6D5419F6"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Weak / no direct evidence</w:t>
      </w:r>
    </w:p>
    <w:p w14:paraId="4E74DC17"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Green module</w:t>
      </w:r>
    </w:p>
    <w:p w14:paraId="742C4395"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FRMD4A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4ADD0D7A"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6129942D"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green</w:t>
            </w:r>
          </w:p>
        </w:tc>
        <w:tc>
          <w:tcPr>
            <w:tcW w:w="2350" w:type="dxa"/>
            <w:shd w:val="clear" w:color="auto" w:fill="F2F2F2"/>
            <w:tcMar>
              <w:top w:w="60" w:type="dxa"/>
              <w:left w:w="100" w:type="dxa"/>
              <w:bottom w:w="60" w:type="dxa"/>
              <w:right w:w="100" w:type="dxa"/>
            </w:tcMar>
          </w:tcPr>
          <w:p w14:paraId="132675AA"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457CC323"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0.545</w:t>
            </w:r>
          </w:p>
        </w:tc>
        <w:tc>
          <w:tcPr>
            <w:tcW w:w="2350" w:type="dxa"/>
            <w:shd w:val="clear" w:color="auto" w:fill="F2F2F2"/>
            <w:tcMar>
              <w:top w:w="60" w:type="dxa"/>
              <w:left w:w="100" w:type="dxa"/>
              <w:bottom w:w="60" w:type="dxa"/>
              <w:right w:w="100" w:type="dxa"/>
            </w:tcMar>
          </w:tcPr>
          <w:p w14:paraId="5E570163"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+1.11 (up in T2D)</w:t>
            </w:r>
          </w:p>
        </w:tc>
      </w:tr>
    </w:tbl>
    <w:p w14:paraId="1D5AEB59"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FERM-domain protein connecting ARF6 to the Par polarity complex, regulating epithelial cell polarity and </w:t>
      </w:r>
      <w:proofErr w:type="spellStart"/>
      <w:r w:rsidRPr="005D2775">
        <w:rPr>
          <w:color w:val="000000" w:themeColor="text1"/>
          <w:sz w:val="24"/>
          <w:szCs w:val="24"/>
        </w:rPr>
        <w:t>adherens</w:t>
      </w:r>
      <w:proofErr w:type="spellEnd"/>
      <w:r w:rsidRPr="005D2775">
        <w:rPr>
          <w:color w:val="000000" w:themeColor="text1"/>
          <w:sz w:val="24"/>
          <w:szCs w:val="24"/>
        </w:rPr>
        <w:t xml:space="preserve"> junction </w:t>
      </w:r>
      <w:proofErr w:type="spellStart"/>
      <w:r w:rsidRPr="005D2775">
        <w:rPr>
          <w:color w:val="000000" w:themeColor="text1"/>
          <w:sz w:val="24"/>
          <w:szCs w:val="24"/>
        </w:rPr>
        <w:t>remodelling</w:t>
      </w:r>
      <w:proofErr w:type="spellEnd"/>
      <w:r w:rsidRPr="005D2775">
        <w:rPr>
          <w:color w:val="000000" w:themeColor="text1"/>
          <w:sz w:val="24"/>
          <w:szCs w:val="24"/>
        </w:rPr>
        <w:t>.</w:t>
      </w:r>
    </w:p>
    <w:p w14:paraId="440369A2"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No direct diabetes association found for FRMD4A itself (best-known disease associations are Alzheimer's disease and nicotine dependence). Its paralog FRMD4B is linked to insulin-receptor-responsive GRP1 </w:t>
      </w:r>
      <w:proofErr w:type="spellStart"/>
      <w:r w:rsidRPr="005D2775">
        <w:rPr>
          <w:color w:val="000000" w:themeColor="text1"/>
          <w:sz w:val="24"/>
          <w:szCs w:val="24"/>
        </w:rPr>
        <w:t>signalling</w:t>
      </w:r>
      <w:proofErr w:type="spellEnd"/>
      <w:r w:rsidRPr="005D2775">
        <w:rPr>
          <w:color w:val="000000" w:themeColor="text1"/>
          <w:sz w:val="24"/>
          <w:szCs w:val="24"/>
        </w:rPr>
        <w:t xml:space="preserve"> complexes, offering an indirect, unconfirmed rationale.</w:t>
      </w:r>
    </w:p>
    <w:p w14:paraId="51F83D73"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lastRenderedPageBreak/>
        <w:t xml:space="preserve">Evidence strength: </w:t>
      </w:r>
      <w:r w:rsidRPr="005D2775">
        <w:rPr>
          <w:color w:val="000000" w:themeColor="text1"/>
          <w:sz w:val="24"/>
          <w:szCs w:val="24"/>
        </w:rPr>
        <w:t>Weak / no direct evidence</w:t>
      </w:r>
    </w:p>
    <w:p w14:paraId="3B5A3733"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LYPLAL1-AS</w:t>
      </w:r>
      <w:proofErr w:type="gramStart"/>
      <w:r w:rsidRPr="005D2775">
        <w:rPr>
          <w:b/>
          <w:bCs/>
          <w:color w:val="000000" w:themeColor="text1"/>
          <w:sz w:val="24"/>
          <w:szCs w:val="24"/>
        </w:rPr>
        <w:t>1</w:t>
      </w:r>
      <w:r w:rsidRPr="005D2775">
        <w:rPr>
          <w:i/>
          <w:iCs/>
          <w:color w:val="000000" w:themeColor="text1"/>
          <w:sz w:val="24"/>
          <w:szCs w:val="24"/>
        </w:rPr>
        <w:t xml:space="preserve">  (</w:t>
      </w:r>
      <w:proofErr w:type="gramEnd"/>
      <w:r w:rsidRPr="005D2775">
        <w:rPr>
          <w:i/>
          <w:iCs/>
          <w:color w:val="000000" w:themeColor="text1"/>
          <w:sz w:val="24"/>
          <w:szCs w:val="24"/>
        </w:rPr>
        <w:t>Antisense to LYPLAL1)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43BC158A"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0F0471E0"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green</w:t>
            </w:r>
          </w:p>
        </w:tc>
        <w:tc>
          <w:tcPr>
            <w:tcW w:w="2350" w:type="dxa"/>
            <w:shd w:val="clear" w:color="auto" w:fill="F2F2F2"/>
            <w:tcMar>
              <w:top w:w="60" w:type="dxa"/>
              <w:left w:w="100" w:type="dxa"/>
              <w:bottom w:w="60" w:type="dxa"/>
              <w:right w:w="100" w:type="dxa"/>
            </w:tcMar>
          </w:tcPr>
          <w:p w14:paraId="389169C1"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lncRNA</w:t>
            </w:r>
          </w:p>
        </w:tc>
        <w:tc>
          <w:tcPr>
            <w:tcW w:w="2350" w:type="dxa"/>
            <w:shd w:val="clear" w:color="auto" w:fill="F2F2F2"/>
            <w:tcMar>
              <w:top w:w="60" w:type="dxa"/>
              <w:left w:w="100" w:type="dxa"/>
              <w:bottom w:w="60" w:type="dxa"/>
              <w:right w:w="100" w:type="dxa"/>
            </w:tcMar>
          </w:tcPr>
          <w:p w14:paraId="3D92E09D"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0.521</w:t>
            </w:r>
          </w:p>
        </w:tc>
        <w:tc>
          <w:tcPr>
            <w:tcW w:w="2350" w:type="dxa"/>
            <w:shd w:val="clear" w:color="auto" w:fill="F2F2F2"/>
            <w:tcMar>
              <w:top w:w="60" w:type="dxa"/>
              <w:left w:w="100" w:type="dxa"/>
              <w:bottom w:w="60" w:type="dxa"/>
              <w:right w:w="100" w:type="dxa"/>
            </w:tcMar>
          </w:tcPr>
          <w:p w14:paraId="46BFB629"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+2.05 (up in T2D)</w:t>
            </w:r>
          </w:p>
        </w:tc>
      </w:tr>
    </w:tbl>
    <w:p w14:paraId="21933663"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Antisense to LYPLAL1 (</w:t>
      </w:r>
      <w:proofErr w:type="spellStart"/>
      <w:r w:rsidRPr="005D2775">
        <w:rPr>
          <w:color w:val="000000" w:themeColor="text1"/>
          <w:sz w:val="24"/>
          <w:szCs w:val="24"/>
        </w:rPr>
        <w:t>lysophospholipase</w:t>
      </w:r>
      <w:proofErr w:type="spellEnd"/>
      <w:r w:rsidRPr="005D2775">
        <w:rPr>
          <w:color w:val="000000" w:themeColor="text1"/>
          <w:sz w:val="24"/>
          <w:szCs w:val="24"/>
        </w:rPr>
        <w:t>-like 1), a gene of unknown enzymatic substrate whose locus is a well-established GWAS hit for central obesity, waist-to-hip ratio, and fasting insulin/insulin resistance (particularly in a sex-specific manner).</w:t>
      </w:r>
    </w:p>
    <w:p w14:paraId="279A32FB"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Relevance is inherited by proximity: the sense-strand LYPLAL1 locus has strong, repeated GWAS association with fat distribution and insulin resistance, though LYPLAL1's own molecular function remains </w:t>
      </w:r>
      <w:proofErr w:type="gramStart"/>
      <w:r w:rsidRPr="005D2775">
        <w:rPr>
          <w:color w:val="000000" w:themeColor="text1"/>
          <w:sz w:val="24"/>
          <w:szCs w:val="24"/>
        </w:rPr>
        <w:t>unresolved</w:t>
      </w:r>
      <w:proofErr w:type="gramEnd"/>
      <w:r w:rsidRPr="005D2775">
        <w:rPr>
          <w:color w:val="000000" w:themeColor="text1"/>
          <w:sz w:val="24"/>
          <w:szCs w:val="24"/>
        </w:rPr>
        <w:t xml:space="preserve"> and this antisense transcript has not been separately </w:t>
      </w:r>
      <w:proofErr w:type="spellStart"/>
      <w:r w:rsidRPr="005D2775">
        <w:rPr>
          <w:color w:val="000000" w:themeColor="text1"/>
          <w:sz w:val="24"/>
          <w:szCs w:val="24"/>
        </w:rPr>
        <w:t>characterised</w:t>
      </w:r>
      <w:proofErr w:type="spellEnd"/>
      <w:r w:rsidRPr="005D2775">
        <w:rPr>
          <w:color w:val="000000" w:themeColor="text1"/>
          <w:sz w:val="24"/>
          <w:szCs w:val="24"/>
        </w:rPr>
        <w:t>.</w:t>
      </w:r>
    </w:p>
    <w:p w14:paraId="61A297CE"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35A6A4C2"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REG3</w:t>
      </w:r>
      <w:proofErr w:type="gramStart"/>
      <w:r w:rsidRPr="005D2775">
        <w:rPr>
          <w:b/>
          <w:bCs/>
          <w:color w:val="000000" w:themeColor="text1"/>
          <w:sz w:val="24"/>
          <w:szCs w:val="24"/>
        </w:rPr>
        <w:t>G</w:t>
      </w:r>
      <w:r w:rsidRPr="005D2775">
        <w:rPr>
          <w:i/>
          <w:iCs/>
          <w:color w:val="000000" w:themeColor="text1"/>
          <w:sz w:val="24"/>
          <w:szCs w:val="24"/>
        </w:rPr>
        <w:t xml:space="preserve">  (</w:t>
      </w:r>
      <w:proofErr w:type="gramEnd"/>
      <w:r w:rsidRPr="005D2775">
        <w:rPr>
          <w:i/>
          <w:iCs/>
          <w:color w:val="000000" w:themeColor="text1"/>
          <w:sz w:val="24"/>
          <w:szCs w:val="24"/>
        </w:rPr>
        <w:t>Regenerating family member 3 gamma)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24AF4ED6"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550B8808"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green</w:t>
            </w:r>
          </w:p>
        </w:tc>
        <w:tc>
          <w:tcPr>
            <w:tcW w:w="2350" w:type="dxa"/>
            <w:shd w:val="clear" w:color="auto" w:fill="F2F2F2"/>
            <w:tcMar>
              <w:top w:w="60" w:type="dxa"/>
              <w:left w:w="100" w:type="dxa"/>
              <w:bottom w:w="60" w:type="dxa"/>
              <w:right w:w="100" w:type="dxa"/>
            </w:tcMar>
          </w:tcPr>
          <w:p w14:paraId="366E87C7"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495BB436"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0.520</w:t>
            </w:r>
          </w:p>
        </w:tc>
        <w:tc>
          <w:tcPr>
            <w:tcW w:w="2350" w:type="dxa"/>
            <w:shd w:val="clear" w:color="auto" w:fill="F2F2F2"/>
            <w:tcMar>
              <w:top w:w="60" w:type="dxa"/>
              <w:left w:w="100" w:type="dxa"/>
              <w:bottom w:w="60" w:type="dxa"/>
              <w:right w:w="100" w:type="dxa"/>
            </w:tcMar>
          </w:tcPr>
          <w:p w14:paraId="5E1D4A11"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+2.90 (up in T2D)</w:t>
            </w:r>
          </w:p>
        </w:tc>
      </w:tr>
    </w:tbl>
    <w:p w14:paraId="7470275A"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Member of the Reg gene family, originally discovered via pancreatic islet regeneration studies; binds EXTL3 and </w:t>
      </w:r>
      <w:proofErr w:type="spellStart"/>
      <w:r w:rsidRPr="005D2775">
        <w:rPr>
          <w:color w:val="000000" w:themeColor="text1"/>
          <w:sz w:val="24"/>
          <w:szCs w:val="24"/>
        </w:rPr>
        <w:t>polymerises</w:t>
      </w:r>
      <w:proofErr w:type="spellEnd"/>
      <w:r w:rsidRPr="005D2775">
        <w:rPr>
          <w:color w:val="000000" w:themeColor="text1"/>
          <w:sz w:val="24"/>
          <w:szCs w:val="24"/>
        </w:rPr>
        <w:t xml:space="preserve"> heparan sulfate.</w:t>
      </w:r>
    </w:p>
    <w:p w14:paraId="0DA2B011"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Directly implicated in islet function: higher Reg3g is associated with maintained islet function in offspring of obese dams (sex-specific), and related Reg3 family members (Reg3α/β) protect β-cells against apoptosis and promote β-cell regeneration in direct experimental studies.</w:t>
      </w:r>
    </w:p>
    <w:p w14:paraId="35494622"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Strong</w:t>
      </w:r>
    </w:p>
    <w:p w14:paraId="5714448A"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ENSG00000259370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68C48DE4"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3F965932"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green</w:t>
            </w:r>
          </w:p>
        </w:tc>
        <w:tc>
          <w:tcPr>
            <w:tcW w:w="2350" w:type="dxa"/>
            <w:shd w:val="clear" w:color="auto" w:fill="F2F2F2"/>
            <w:tcMar>
              <w:top w:w="60" w:type="dxa"/>
              <w:left w:w="100" w:type="dxa"/>
              <w:bottom w:w="60" w:type="dxa"/>
              <w:right w:w="100" w:type="dxa"/>
            </w:tcMar>
          </w:tcPr>
          <w:p w14:paraId="05E89EB2"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lncRNA</w:t>
            </w:r>
          </w:p>
        </w:tc>
        <w:tc>
          <w:tcPr>
            <w:tcW w:w="2350" w:type="dxa"/>
            <w:shd w:val="clear" w:color="auto" w:fill="F2F2F2"/>
            <w:tcMar>
              <w:top w:w="60" w:type="dxa"/>
              <w:left w:w="100" w:type="dxa"/>
              <w:bottom w:w="60" w:type="dxa"/>
              <w:right w:w="100" w:type="dxa"/>
            </w:tcMar>
          </w:tcPr>
          <w:p w14:paraId="481CC9BC"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0.469</w:t>
            </w:r>
          </w:p>
        </w:tc>
        <w:tc>
          <w:tcPr>
            <w:tcW w:w="2350" w:type="dxa"/>
            <w:shd w:val="clear" w:color="auto" w:fill="F2F2F2"/>
            <w:tcMar>
              <w:top w:w="60" w:type="dxa"/>
              <w:left w:w="100" w:type="dxa"/>
              <w:bottom w:w="60" w:type="dxa"/>
              <w:right w:w="100" w:type="dxa"/>
            </w:tcMar>
          </w:tcPr>
          <w:p w14:paraId="13741E8C"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+2.93 (up in T2D)</w:t>
            </w:r>
          </w:p>
        </w:tc>
      </w:tr>
    </w:tbl>
    <w:p w14:paraId="57844409"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No HGNC gene symbol assigned; no published functional literature found.</w:t>
      </w:r>
    </w:p>
    <w:p w14:paraId="0832EFCE"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Cannot be assessed from existing literature. Notably has the largest fold-change (+2.93 log2FC) of any hub gene in this table alongside a strong hub score — makes it one of the most interesting </w:t>
      </w:r>
      <w:proofErr w:type="spellStart"/>
      <w:r w:rsidRPr="005D2775">
        <w:rPr>
          <w:color w:val="000000" w:themeColor="text1"/>
          <w:sz w:val="24"/>
          <w:szCs w:val="24"/>
        </w:rPr>
        <w:t>uncharacterised</w:t>
      </w:r>
      <w:proofErr w:type="spellEnd"/>
      <w:r w:rsidRPr="005D2775">
        <w:rPr>
          <w:color w:val="000000" w:themeColor="text1"/>
          <w:sz w:val="24"/>
          <w:szCs w:val="24"/>
        </w:rPr>
        <w:t xml:space="preserve"> candidates on this whole list.</w:t>
      </w:r>
    </w:p>
    <w:p w14:paraId="25265FD8"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proofErr w:type="spellStart"/>
      <w:r w:rsidRPr="005D2775">
        <w:rPr>
          <w:color w:val="000000" w:themeColor="text1"/>
          <w:sz w:val="24"/>
          <w:szCs w:val="24"/>
        </w:rPr>
        <w:t>Uncharacterised</w:t>
      </w:r>
      <w:proofErr w:type="spellEnd"/>
    </w:p>
    <w:p w14:paraId="4C37A92D"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REG1</w:t>
      </w:r>
      <w:proofErr w:type="gramStart"/>
      <w:r w:rsidRPr="005D2775">
        <w:rPr>
          <w:b/>
          <w:bCs/>
          <w:color w:val="000000" w:themeColor="text1"/>
          <w:sz w:val="24"/>
          <w:szCs w:val="24"/>
        </w:rPr>
        <w:t>B</w:t>
      </w:r>
      <w:r w:rsidRPr="005D2775">
        <w:rPr>
          <w:i/>
          <w:iCs/>
          <w:color w:val="000000" w:themeColor="text1"/>
          <w:sz w:val="24"/>
          <w:szCs w:val="24"/>
        </w:rPr>
        <w:t xml:space="preserve">  (</w:t>
      </w:r>
      <w:proofErr w:type="gramEnd"/>
      <w:r w:rsidRPr="005D2775">
        <w:rPr>
          <w:i/>
          <w:iCs/>
          <w:color w:val="000000" w:themeColor="text1"/>
          <w:sz w:val="24"/>
          <w:szCs w:val="24"/>
        </w:rPr>
        <w:t>Regenerating family member 1 beta)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488921C8"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0E61F6AC"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green</w:t>
            </w:r>
          </w:p>
        </w:tc>
        <w:tc>
          <w:tcPr>
            <w:tcW w:w="2350" w:type="dxa"/>
            <w:shd w:val="clear" w:color="auto" w:fill="F2F2F2"/>
            <w:tcMar>
              <w:top w:w="60" w:type="dxa"/>
              <w:left w:w="100" w:type="dxa"/>
              <w:bottom w:w="60" w:type="dxa"/>
              <w:right w:w="100" w:type="dxa"/>
            </w:tcMar>
          </w:tcPr>
          <w:p w14:paraId="5F40D75C"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5592CB13"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0.465</w:t>
            </w:r>
          </w:p>
        </w:tc>
        <w:tc>
          <w:tcPr>
            <w:tcW w:w="2350" w:type="dxa"/>
            <w:shd w:val="clear" w:color="auto" w:fill="F2F2F2"/>
            <w:tcMar>
              <w:top w:w="60" w:type="dxa"/>
              <w:left w:w="100" w:type="dxa"/>
              <w:bottom w:w="60" w:type="dxa"/>
              <w:right w:w="100" w:type="dxa"/>
            </w:tcMar>
          </w:tcPr>
          <w:p w14:paraId="7B856BE5"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+2.45 (up in T2D)</w:t>
            </w:r>
          </w:p>
        </w:tc>
      </w:tr>
    </w:tbl>
    <w:p w14:paraId="4FE1DD95"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Secreted pancreatic acinar cell protein, homolog of rat Reg2; trophic, antiapoptotic, anti-inflammatory, and antifibrogenic effects.</w:t>
      </w:r>
    </w:p>
    <w:p w14:paraId="26FE747F"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Directly induced in response to diabetes, pancreatitis, and high-fat diet, and during pancreatic regeneration; the closely related REG1A is specifically associated with islet regeneration and diabetogenesis, and REG1B is expected to act similarly given high sequence/functional similarity.</w:t>
      </w:r>
    </w:p>
    <w:p w14:paraId="0AC7FE09"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Strong</w:t>
      </w:r>
    </w:p>
    <w:p w14:paraId="35696734"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lastRenderedPageBreak/>
        <w:t>Red module</w:t>
      </w:r>
    </w:p>
    <w:p w14:paraId="27A8F7C1"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ARF</w:t>
      </w:r>
      <w:proofErr w:type="gramStart"/>
      <w:r w:rsidRPr="005D2775">
        <w:rPr>
          <w:b/>
          <w:bCs/>
          <w:color w:val="000000" w:themeColor="text1"/>
          <w:sz w:val="24"/>
          <w:szCs w:val="24"/>
        </w:rPr>
        <w:t>5</w:t>
      </w:r>
      <w:r w:rsidRPr="005D2775">
        <w:rPr>
          <w:i/>
          <w:iCs/>
          <w:color w:val="000000" w:themeColor="text1"/>
          <w:sz w:val="24"/>
          <w:szCs w:val="24"/>
        </w:rPr>
        <w:t xml:space="preserve">  (</w:t>
      </w:r>
      <w:proofErr w:type="gramEnd"/>
      <w:r w:rsidRPr="005D2775">
        <w:rPr>
          <w:i/>
          <w:iCs/>
          <w:color w:val="000000" w:themeColor="text1"/>
          <w:sz w:val="24"/>
          <w:szCs w:val="24"/>
        </w:rPr>
        <w:t>ADP-ribosylation factor 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68B33710"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183573FE"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red</w:t>
            </w:r>
          </w:p>
        </w:tc>
        <w:tc>
          <w:tcPr>
            <w:tcW w:w="2350" w:type="dxa"/>
            <w:shd w:val="clear" w:color="auto" w:fill="F2F2F2"/>
            <w:tcMar>
              <w:top w:w="60" w:type="dxa"/>
              <w:left w:w="100" w:type="dxa"/>
              <w:bottom w:w="60" w:type="dxa"/>
              <w:right w:w="100" w:type="dxa"/>
            </w:tcMar>
          </w:tcPr>
          <w:p w14:paraId="55AF98AF"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4C81615E"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0.464</w:t>
            </w:r>
          </w:p>
        </w:tc>
        <w:tc>
          <w:tcPr>
            <w:tcW w:w="2350" w:type="dxa"/>
            <w:shd w:val="clear" w:color="auto" w:fill="F2F2F2"/>
            <w:tcMar>
              <w:top w:w="60" w:type="dxa"/>
              <w:left w:w="100" w:type="dxa"/>
              <w:bottom w:w="60" w:type="dxa"/>
              <w:right w:w="100" w:type="dxa"/>
            </w:tcMar>
          </w:tcPr>
          <w:p w14:paraId="1A812D4A"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-0.53 (down in T2D)</w:t>
            </w:r>
          </w:p>
        </w:tc>
      </w:tr>
    </w:tbl>
    <w:p w14:paraId="3E545015"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Small GTPase in the ARF family involved in vesicle trafficking and membrane dynamics.</w:t>
      </w:r>
    </w:p>
    <w:p w14:paraId="4391055A"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ARF5 itself appears in pathway annotations for insulin/non-insulin-dependent diabetes mellitus, but the direct experimental literature is much stronger for the paralog ARF6, which is a demonstrated master regulator of glucose-stimulated insulin secretion in β-cells and whose hyperactivation drives β-cell lesions in T2D progression. ARF5-specific islet data is limited.</w:t>
      </w:r>
    </w:p>
    <w:p w14:paraId="2D8731BA"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368B72DB"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ARHGEF</w:t>
      </w:r>
      <w:proofErr w:type="gramStart"/>
      <w:r w:rsidRPr="005D2775">
        <w:rPr>
          <w:b/>
          <w:bCs/>
          <w:color w:val="000000" w:themeColor="text1"/>
          <w:sz w:val="24"/>
          <w:szCs w:val="24"/>
        </w:rPr>
        <w:t>9</w:t>
      </w:r>
      <w:r w:rsidRPr="005D2775">
        <w:rPr>
          <w:i/>
          <w:iCs/>
          <w:color w:val="000000" w:themeColor="text1"/>
          <w:sz w:val="24"/>
          <w:szCs w:val="24"/>
        </w:rPr>
        <w:t xml:space="preserve">  (</w:t>
      </w:r>
      <w:proofErr w:type="gramEnd"/>
      <w:r w:rsidRPr="005D2775">
        <w:rPr>
          <w:i/>
          <w:iCs/>
          <w:color w:val="000000" w:themeColor="text1"/>
          <w:sz w:val="24"/>
          <w:szCs w:val="24"/>
        </w:rPr>
        <w:t>Collybistin)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075849A2"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1EC1FD93"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red</w:t>
            </w:r>
          </w:p>
        </w:tc>
        <w:tc>
          <w:tcPr>
            <w:tcW w:w="2350" w:type="dxa"/>
            <w:shd w:val="clear" w:color="auto" w:fill="F2F2F2"/>
            <w:tcMar>
              <w:top w:w="60" w:type="dxa"/>
              <w:left w:w="100" w:type="dxa"/>
              <w:bottom w:w="60" w:type="dxa"/>
              <w:right w:w="100" w:type="dxa"/>
            </w:tcMar>
          </w:tcPr>
          <w:p w14:paraId="1329A4DB"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3FA61EBB"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0.421</w:t>
            </w:r>
          </w:p>
        </w:tc>
        <w:tc>
          <w:tcPr>
            <w:tcW w:w="2350" w:type="dxa"/>
            <w:shd w:val="clear" w:color="auto" w:fill="F2F2F2"/>
            <w:tcMar>
              <w:top w:w="60" w:type="dxa"/>
              <w:left w:w="100" w:type="dxa"/>
              <w:bottom w:w="60" w:type="dxa"/>
              <w:right w:w="100" w:type="dxa"/>
            </w:tcMar>
          </w:tcPr>
          <w:p w14:paraId="62F5B61C"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-0.35 (down in T2D)</w:t>
            </w:r>
          </w:p>
        </w:tc>
      </w:tr>
    </w:tbl>
    <w:p w14:paraId="610D902F"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Guanine nucleotide exchange factor for CDC42; anchors GABA-A receptors at inhibitory synapses in the brain, primarily </w:t>
      </w:r>
      <w:proofErr w:type="spellStart"/>
      <w:r w:rsidRPr="005D2775">
        <w:rPr>
          <w:color w:val="000000" w:themeColor="text1"/>
          <w:sz w:val="24"/>
          <w:szCs w:val="24"/>
        </w:rPr>
        <w:t>characterised</w:t>
      </w:r>
      <w:proofErr w:type="spellEnd"/>
      <w:r w:rsidRPr="005D2775">
        <w:rPr>
          <w:color w:val="000000" w:themeColor="text1"/>
          <w:sz w:val="24"/>
          <w:szCs w:val="24"/>
        </w:rPr>
        <w:t xml:space="preserve"> in neuronal contexts.</w:t>
      </w:r>
    </w:p>
    <w:p w14:paraId="60614E16"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No diabetes or islet-specific literature found. Best-</w:t>
      </w:r>
      <w:proofErr w:type="spellStart"/>
      <w:r w:rsidRPr="005D2775">
        <w:rPr>
          <w:color w:val="000000" w:themeColor="text1"/>
          <w:sz w:val="24"/>
          <w:szCs w:val="24"/>
        </w:rPr>
        <w:t>characterised</w:t>
      </w:r>
      <w:proofErr w:type="spellEnd"/>
      <w:r w:rsidRPr="005D2775">
        <w:rPr>
          <w:color w:val="000000" w:themeColor="text1"/>
          <w:sz w:val="24"/>
          <w:szCs w:val="24"/>
        </w:rPr>
        <w:t xml:space="preserve"> disease association is a rare X-linked epilepsy syndrome. No obvious mechanistic rationale for T2D relevance based on current literature.</w:t>
      </w:r>
    </w:p>
    <w:p w14:paraId="0FFD9B3B"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Weak / no direct evidence</w:t>
      </w:r>
    </w:p>
    <w:p w14:paraId="0F38D5DE"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GNPDA</w:t>
      </w:r>
      <w:proofErr w:type="gramStart"/>
      <w:r w:rsidRPr="005D2775">
        <w:rPr>
          <w:b/>
          <w:bCs/>
          <w:color w:val="000000" w:themeColor="text1"/>
          <w:sz w:val="24"/>
          <w:szCs w:val="24"/>
        </w:rPr>
        <w:t>1</w:t>
      </w:r>
      <w:r w:rsidRPr="005D2775">
        <w:rPr>
          <w:i/>
          <w:iCs/>
          <w:color w:val="000000" w:themeColor="text1"/>
          <w:sz w:val="24"/>
          <w:szCs w:val="24"/>
        </w:rPr>
        <w:t xml:space="preserve">  (</w:t>
      </w:r>
      <w:proofErr w:type="gramEnd"/>
      <w:r w:rsidRPr="005D2775">
        <w:rPr>
          <w:i/>
          <w:iCs/>
          <w:color w:val="000000" w:themeColor="text1"/>
          <w:sz w:val="24"/>
          <w:szCs w:val="24"/>
        </w:rPr>
        <w:t>Glucosamine-6-phosphate deaminase 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34D0B0C4"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1271584E"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red</w:t>
            </w:r>
          </w:p>
        </w:tc>
        <w:tc>
          <w:tcPr>
            <w:tcW w:w="2350" w:type="dxa"/>
            <w:shd w:val="clear" w:color="auto" w:fill="F2F2F2"/>
            <w:tcMar>
              <w:top w:w="60" w:type="dxa"/>
              <w:left w:w="100" w:type="dxa"/>
              <w:bottom w:w="60" w:type="dxa"/>
              <w:right w:w="100" w:type="dxa"/>
            </w:tcMar>
          </w:tcPr>
          <w:p w14:paraId="215553B9"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61799A33"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0.402</w:t>
            </w:r>
          </w:p>
        </w:tc>
        <w:tc>
          <w:tcPr>
            <w:tcW w:w="2350" w:type="dxa"/>
            <w:shd w:val="clear" w:color="auto" w:fill="F2F2F2"/>
            <w:tcMar>
              <w:top w:w="60" w:type="dxa"/>
              <w:left w:w="100" w:type="dxa"/>
              <w:bottom w:w="60" w:type="dxa"/>
              <w:right w:w="100" w:type="dxa"/>
            </w:tcMar>
          </w:tcPr>
          <w:p w14:paraId="111D86FF"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-0.48 (down in T2D)</w:t>
            </w:r>
          </w:p>
        </w:tc>
      </w:tr>
    </w:tbl>
    <w:p w14:paraId="451A17A9"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Enzyme in the hexosamine biosynthetic pathway (HBP), converting glucosamine-6-phosphate back to fructose-6-phosphate and ammonium.</w:t>
      </w:r>
    </w:p>
    <w:p w14:paraId="150A7AAD"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The hexosamine biosynthetic pathway itself is a well-established link between glucose flux and insulin resistance (via O-GlcNAcylation of </w:t>
      </w:r>
      <w:proofErr w:type="spellStart"/>
      <w:r w:rsidRPr="005D2775">
        <w:rPr>
          <w:color w:val="000000" w:themeColor="text1"/>
          <w:sz w:val="24"/>
          <w:szCs w:val="24"/>
        </w:rPr>
        <w:t>signalling</w:t>
      </w:r>
      <w:proofErr w:type="spellEnd"/>
      <w:r w:rsidRPr="005D2775">
        <w:rPr>
          <w:color w:val="000000" w:themeColor="text1"/>
          <w:sz w:val="24"/>
          <w:szCs w:val="24"/>
        </w:rPr>
        <w:t xml:space="preserve"> proteins); however, the direct diabetes literature identified in this search relates mainly to the paralog GNPDA2, not GNPDA1 specifically.</w:t>
      </w:r>
    </w:p>
    <w:p w14:paraId="4E10EEE0"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7AA8F1C5" w14:textId="77777777" w:rsidR="00FA0BB6" w:rsidRPr="005D2775" w:rsidRDefault="00000000">
      <w:pPr>
        <w:spacing w:before="260" w:after="80"/>
        <w:rPr>
          <w:color w:val="000000" w:themeColor="text1"/>
          <w:sz w:val="24"/>
          <w:szCs w:val="24"/>
        </w:rPr>
      </w:pPr>
      <w:proofErr w:type="gramStart"/>
      <w:r w:rsidRPr="005D2775">
        <w:rPr>
          <w:b/>
          <w:bCs/>
          <w:color w:val="000000" w:themeColor="text1"/>
          <w:sz w:val="24"/>
          <w:szCs w:val="24"/>
        </w:rPr>
        <w:t>WLS</w:t>
      </w:r>
      <w:r w:rsidRPr="005D2775">
        <w:rPr>
          <w:i/>
          <w:iCs/>
          <w:color w:val="000000" w:themeColor="text1"/>
          <w:sz w:val="24"/>
          <w:szCs w:val="24"/>
        </w:rPr>
        <w:t xml:space="preserve">  (</w:t>
      </w:r>
      <w:proofErr w:type="spellStart"/>
      <w:proofErr w:type="gramEnd"/>
      <w:r w:rsidRPr="005D2775">
        <w:rPr>
          <w:i/>
          <w:iCs/>
          <w:color w:val="000000" w:themeColor="text1"/>
          <w:sz w:val="24"/>
          <w:szCs w:val="24"/>
        </w:rPr>
        <w:t>Wntless</w:t>
      </w:r>
      <w:proofErr w:type="spellEnd"/>
      <w:r w:rsidRPr="005D2775">
        <w:rPr>
          <w:i/>
          <w:iCs/>
          <w:color w:val="000000" w:themeColor="text1"/>
          <w:sz w:val="24"/>
          <w:szCs w:val="24"/>
        </w:rPr>
        <w:t xml:space="preserve"> / </w:t>
      </w:r>
      <w:proofErr w:type="spellStart"/>
      <w:r w:rsidRPr="005D2775">
        <w:rPr>
          <w:i/>
          <w:iCs/>
          <w:color w:val="000000" w:themeColor="text1"/>
          <w:sz w:val="24"/>
          <w:szCs w:val="24"/>
        </w:rPr>
        <w:t>Wnt</w:t>
      </w:r>
      <w:proofErr w:type="spellEnd"/>
      <w:r w:rsidRPr="005D2775">
        <w:rPr>
          <w:i/>
          <w:iCs/>
          <w:color w:val="000000" w:themeColor="text1"/>
          <w:sz w:val="24"/>
          <w:szCs w:val="24"/>
        </w:rPr>
        <w:t xml:space="preserve"> ligand secretion mediator)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7F0EEB72"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3E501012"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red</w:t>
            </w:r>
          </w:p>
        </w:tc>
        <w:tc>
          <w:tcPr>
            <w:tcW w:w="2350" w:type="dxa"/>
            <w:shd w:val="clear" w:color="auto" w:fill="F2F2F2"/>
            <w:tcMar>
              <w:top w:w="60" w:type="dxa"/>
              <w:left w:w="100" w:type="dxa"/>
              <w:bottom w:w="60" w:type="dxa"/>
              <w:right w:w="100" w:type="dxa"/>
            </w:tcMar>
          </w:tcPr>
          <w:p w14:paraId="208565F9"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38A5B65B"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0.391</w:t>
            </w:r>
          </w:p>
        </w:tc>
        <w:tc>
          <w:tcPr>
            <w:tcW w:w="2350" w:type="dxa"/>
            <w:shd w:val="clear" w:color="auto" w:fill="F2F2F2"/>
            <w:tcMar>
              <w:top w:w="60" w:type="dxa"/>
              <w:left w:w="100" w:type="dxa"/>
              <w:bottom w:w="60" w:type="dxa"/>
              <w:right w:w="100" w:type="dxa"/>
            </w:tcMar>
          </w:tcPr>
          <w:p w14:paraId="4851A40A"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-0.39 (down in T2D)</w:t>
            </w:r>
          </w:p>
        </w:tc>
      </w:tr>
    </w:tbl>
    <w:p w14:paraId="7A6B701E"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Membrane trafficking protein required for the secretion of all </w:t>
      </w:r>
      <w:proofErr w:type="spellStart"/>
      <w:r w:rsidRPr="005D2775">
        <w:rPr>
          <w:color w:val="000000" w:themeColor="text1"/>
          <w:sz w:val="24"/>
          <w:szCs w:val="24"/>
        </w:rPr>
        <w:t>Wnt</w:t>
      </w:r>
      <w:proofErr w:type="spellEnd"/>
      <w:r w:rsidRPr="005D2775">
        <w:rPr>
          <w:color w:val="000000" w:themeColor="text1"/>
          <w:sz w:val="24"/>
          <w:szCs w:val="24"/>
        </w:rPr>
        <w:t xml:space="preserve"> ligands from </w:t>
      </w:r>
      <w:proofErr w:type="spellStart"/>
      <w:r w:rsidRPr="005D2775">
        <w:rPr>
          <w:color w:val="000000" w:themeColor="text1"/>
          <w:sz w:val="24"/>
          <w:szCs w:val="24"/>
        </w:rPr>
        <w:t>Wnt</w:t>
      </w:r>
      <w:proofErr w:type="spellEnd"/>
      <w:r w:rsidRPr="005D2775">
        <w:rPr>
          <w:color w:val="000000" w:themeColor="text1"/>
          <w:sz w:val="24"/>
          <w:szCs w:val="24"/>
        </w:rPr>
        <w:t>-producing cells.</w:t>
      </w:r>
    </w:p>
    <w:p w14:paraId="06B92AE9"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Directly relevant: adipose- and muscle-derived </w:t>
      </w:r>
      <w:proofErr w:type="spellStart"/>
      <w:r w:rsidRPr="005D2775">
        <w:rPr>
          <w:color w:val="000000" w:themeColor="text1"/>
          <w:sz w:val="24"/>
          <w:szCs w:val="24"/>
        </w:rPr>
        <w:t>Wnt</w:t>
      </w:r>
      <w:proofErr w:type="spellEnd"/>
      <w:r w:rsidRPr="005D2775">
        <w:rPr>
          <w:color w:val="000000" w:themeColor="text1"/>
          <w:sz w:val="24"/>
          <w:szCs w:val="24"/>
        </w:rPr>
        <w:t xml:space="preserve"> ligands (whose secretion absolutely requires WLS) signal to pancreatic β-cells during the development of insulin resistance, driving increased insulin secretion and β-cell proliferation in pre-diabetic states — a well-</w:t>
      </w:r>
      <w:proofErr w:type="spellStart"/>
      <w:r w:rsidRPr="005D2775">
        <w:rPr>
          <w:color w:val="000000" w:themeColor="text1"/>
          <w:sz w:val="24"/>
          <w:szCs w:val="24"/>
        </w:rPr>
        <w:t>characterised</w:t>
      </w:r>
      <w:proofErr w:type="spellEnd"/>
      <w:r w:rsidRPr="005D2775">
        <w:rPr>
          <w:color w:val="000000" w:themeColor="text1"/>
          <w:sz w:val="24"/>
          <w:szCs w:val="24"/>
        </w:rPr>
        <w:t xml:space="preserve"> inter-tissue </w:t>
      </w:r>
      <w:proofErr w:type="spellStart"/>
      <w:r w:rsidRPr="005D2775">
        <w:rPr>
          <w:color w:val="000000" w:themeColor="text1"/>
          <w:sz w:val="24"/>
          <w:szCs w:val="24"/>
        </w:rPr>
        <w:t>signalling</w:t>
      </w:r>
      <w:proofErr w:type="spellEnd"/>
      <w:r w:rsidRPr="005D2775">
        <w:rPr>
          <w:color w:val="000000" w:themeColor="text1"/>
          <w:sz w:val="24"/>
          <w:szCs w:val="24"/>
        </w:rPr>
        <w:t xml:space="preserve"> axis.</w:t>
      </w:r>
    </w:p>
    <w:p w14:paraId="08AFD170"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lastRenderedPageBreak/>
        <w:t xml:space="preserve">Evidence strength: </w:t>
      </w:r>
      <w:r w:rsidRPr="005D2775">
        <w:rPr>
          <w:color w:val="000000" w:themeColor="text1"/>
          <w:sz w:val="24"/>
          <w:szCs w:val="24"/>
        </w:rPr>
        <w:t>Strong</w:t>
      </w:r>
    </w:p>
    <w:p w14:paraId="5C027048"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PRMT</w:t>
      </w:r>
      <w:proofErr w:type="gramStart"/>
      <w:r w:rsidRPr="005D2775">
        <w:rPr>
          <w:b/>
          <w:bCs/>
          <w:color w:val="000000" w:themeColor="text1"/>
          <w:sz w:val="24"/>
          <w:szCs w:val="24"/>
        </w:rPr>
        <w:t>1</w:t>
      </w:r>
      <w:r w:rsidRPr="005D2775">
        <w:rPr>
          <w:i/>
          <w:iCs/>
          <w:color w:val="000000" w:themeColor="text1"/>
          <w:sz w:val="24"/>
          <w:szCs w:val="24"/>
        </w:rPr>
        <w:t xml:space="preserve">  (</w:t>
      </w:r>
      <w:proofErr w:type="gramEnd"/>
      <w:r w:rsidRPr="005D2775">
        <w:rPr>
          <w:i/>
          <w:iCs/>
          <w:color w:val="000000" w:themeColor="text1"/>
          <w:sz w:val="24"/>
          <w:szCs w:val="24"/>
        </w:rPr>
        <w:t>Protein arginine methyltransferase 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5350FD00"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649A55A4"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red</w:t>
            </w:r>
          </w:p>
        </w:tc>
        <w:tc>
          <w:tcPr>
            <w:tcW w:w="2350" w:type="dxa"/>
            <w:shd w:val="clear" w:color="auto" w:fill="F2F2F2"/>
            <w:tcMar>
              <w:top w:w="60" w:type="dxa"/>
              <w:left w:w="100" w:type="dxa"/>
              <w:bottom w:w="60" w:type="dxa"/>
              <w:right w:w="100" w:type="dxa"/>
            </w:tcMar>
          </w:tcPr>
          <w:p w14:paraId="0FD46C77"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6351DCAE"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0.389</w:t>
            </w:r>
          </w:p>
        </w:tc>
        <w:tc>
          <w:tcPr>
            <w:tcW w:w="2350" w:type="dxa"/>
            <w:shd w:val="clear" w:color="auto" w:fill="F2F2F2"/>
            <w:tcMar>
              <w:top w:w="60" w:type="dxa"/>
              <w:left w:w="100" w:type="dxa"/>
              <w:bottom w:w="60" w:type="dxa"/>
              <w:right w:w="100" w:type="dxa"/>
            </w:tcMar>
          </w:tcPr>
          <w:p w14:paraId="568BFC0A"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-0.34 (down in T2D)</w:t>
            </w:r>
          </w:p>
        </w:tc>
      </w:tr>
    </w:tbl>
    <w:p w14:paraId="6506BC05"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Histone-modifying enzyme; catalyses asymmetric </w:t>
      </w:r>
      <w:proofErr w:type="spellStart"/>
      <w:r w:rsidRPr="005D2775">
        <w:rPr>
          <w:color w:val="000000" w:themeColor="text1"/>
          <w:sz w:val="24"/>
          <w:szCs w:val="24"/>
        </w:rPr>
        <w:t>dimethylation</w:t>
      </w:r>
      <w:proofErr w:type="spellEnd"/>
      <w:r w:rsidRPr="005D2775">
        <w:rPr>
          <w:color w:val="000000" w:themeColor="text1"/>
          <w:sz w:val="24"/>
          <w:szCs w:val="24"/>
        </w:rPr>
        <w:t xml:space="preserve"> of histone H4 arginine 3 (H4R3me2a), regulating chromatin accessibility.</w:t>
      </w:r>
    </w:p>
    <w:p w14:paraId="4E67EF8C"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Directly required for maintaining mature β-cell identity — PRMT1 knockout in β-cells induces diabetes in animal models, and PRMT1 catalytic activity is reduced in the liver and pancreas of diabetic (Goto-</w:t>
      </w:r>
      <w:proofErr w:type="spellStart"/>
      <w:r w:rsidRPr="005D2775">
        <w:rPr>
          <w:color w:val="000000" w:themeColor="text1"/>
          <w:sz w:val="24"/>
          <w:szCs w:val="24"/>
        </w:rPr>
        <w:t>Kakizaki</w:t>
      </w:r>
      <w:proofErr w:type="spellEnd"/>
      <w:r w:rsidRPr="005D2775">
        <w:rPr>
          <w:color w:val="000000" w:themeColor="text1"/>
          <w:sz w:val="24"/>
          <w:szCs w:val="24"/>
        </w:rPr>
        <w:t>) rats. This gene being downregulated in your T2D vs ND comparison is directly consistent with the published mechanism of β-cell identity loss in diabetes.</w:t>
      </w:r>
    </w:p>
    <w:p w14:paraId="045D9EA3"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Strong</w:t>
      </w:r>
    </w:p>
    <w:p w14:paraId="169B7F5A" w14:textId="77777777" w:rsidR="00FA0BB6" w:rsidRPr="005D2775" w:rsidRDefault="00000000">
      <w:pPr>
        <w:pStyle w:val="Heading2"/>
        <w:spacing w:before="280" w:after="120"/>
        <w:rPr>
          <w:color w:val="000000" w:themeColor="text1"/>
          <w:sz w:val="24"/>
          <w:szCs w:val="24"/>
        </w:rPr>
      </w:pPr>
      <w:r w:rsidRPr="005D2775">
        <w:rPr>
          <w:color w:val="000000" w:themeColor="text1"/>
          <w:sz w:val="24"/>
          <w:szCs w:val="24"/>
        </w:rPr>
        <w:t>Black module</w:t>
      </w:r>
    </w:p>
    <w:p w14:paraId="667152A5" w14:textId="77777777" w:rsidR="00FA0BB6" w:rsidRPr="005D2775" w:rsidRDefault="00000000">
      <w:pPr>
        <w:spacing w:before="260" w:after="80"/>
        <w:rPr>
          <w:color w:val="000000" w:themeColor="text1"/>
          <w:sz w:val="24"/>
          <w:szCs w:val="24"/>
        </w:rPr>
      </w:pPr>
      <w:proofErr w:type="gramStart"/>
      <w:r w:rsidRPr="005D2775">
        <w:rPr>
          <w:b/>
          <w:bCs/>
          <w:color w:val="000000" w:themeColor="text1"/>
          <w:sz w:val="24"/>
          <w:szCs w:val="24"/>
        </w:rPr>
        <w:t>ACLY</w:t>
      </w:r>
      <w:r w:rsidRPr="005D2775">
        <w:rPr>
          <w:i/>
          <w:iCs/>
          <w:color w:val="000000" w:themeColor="text1"/>
          <w:sz w:val="24"/>
          <w:szCs w:val="24"/>
        </w:rPr>
        <w:t xml:space="preserve">  (</w:t>
      </w:r>
      <w:proofErr w:type="gramEnd"/>
      <w:r w:rsidRPr="005D2775">
        <w:rPr>
          <w:i/>
          <w:iCs/>
          <w:color w:val="000000" w:themeColor="text1"/>
          <w:sz w:val="24"/>
          <w:szCs w:val="24"/>
        </w:rPr>
        <w:t>ATP citrate lyase)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26767065"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247C7190"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black</w:t>
            </w:r>
          </w:p>
        </w:tc>
        <w:tc>
          <w:tcPr>
            <w:tcW w:w="2350" w:type="dxa"/>
            <w:shd w:val="clear" w:color="auto" w:fill="F2F2F2"/>
            <w:tcMar>
              <w:top w:w="60" w:type="dxa"/>
              <w:left w:w="100" w:type="dxa"/>
              <w:bottom w:w="60" w:type="dxa"/>
              <w:right w:w="100" w:type="dxa"/>
            </w:tcMar>
          </w:tcPr>
          <w:p w14:paraId="551D712F"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658C0A0A"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0.625</w:t>
            </w:r>
          </w:p>
        </w:tc>
        <w:tc>
          <w:tcPr>
            <w:tcW w:w="2350" w:type="dxa"/>
            <w:shd w:val="clear" w:color="auto" w:fill="F2F2F2"/>
            <w:tcMar>
              <w:top w:w="60" w:type="dxa"/>
              <w:left w:w="100" w:type="dxa"/>
              <w:bottom w:w="60" w:type="dxa"/>
              <w:right w:w="100" w:type="dxa"/>
            </w:tcMar>
          </w:tcPr>
          <w:p w14:paraId="486A0609"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-0.44 (down in T2D)</w:t>
            </w:r>
          </w:p>
        </w:tc>
      </w:tr>
    </w:tbl>
    <w:p w14:paraId="28C2A677"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Generates cytosolic acetyl-CoA from citrate, the key enzymatic link between glucose catabolism and de novo lipogenesis/histone acetylation.</w:t>
      </w:r>
    </w:p>
    <w:p w14:paraId="4E78D98E"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Central node in glucose-to-lipid metabolic flux and an mTORC2-AKT substrate; this pathway directly couples insulin/AKT </w:t>
      </w:r>
      <w:proofErr w:type="spellStart"/>
      <w:r w:rsidRPr="005D2775">
        <w:rPr>
          <w:color w:val="000000" w:themeColor="text1"/>
          <w:sz w:val="24"/>
          <w:szCs w:val="24"/>
        </w:rPr>
        <w:t>signalling</w:t>
      </w:r>
      <w:proofErr w:type="spellEnd"/>
      <w:r w:rsidRPr="005D2775">
        <w:rPr>
          <w:color w:val="000000" w:themeColor="text1"/>
          <w:sz w:val="24"/>
          <w:szCs w:val="24"/>
        </w:rPr>
        <w:t xml:space="preserve"> to </w:t>
      </w:r>
      <w:proofErr w:type="spellStart"/>
      <w:r w:rsidRPr="005D2775">
        <w:rPr>
          <w:color w:val="000000" w:themeColor="text1"/>
          <w:sz w:val="24"/>
          <w:szCs w:val="24"/>
        </w:rPr>
        <w:t>gluco</w:t>
      </w:r>
      <w:proofErr w:type="spellEnd"/>
      <w:r w:rsidRPr="005D2775">
        <w:rPr>
          <w:color w:val="000000" w:themeColor="text1"/>
          <w:sz w:val="24"/>
          <w:szCs w:val="24"/>
        </w:rPr>
        <w:t>-lipogenic gene expression, making ACLY mechanistically well-positioned to be relevant to islet metabolic dysfunction, though the search results were general-metabolism rather than islet-specific.</w:t>
      </w:r>
    </w:p>
    <w:p w14:paraId="0D3EEA84"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41B779D5"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ENO</w:t>
      </w:r>
      <w:proofErr w:type="gramStart"/>
      <w:r w:rsidRPr="005D2775">
        <w:rPr>
          <w:b/>
          <w:bCs/>
          <w:color w:val="000000" w:themeColor="text1"/>
          <w:sz w:val="24"/>
          <w:szCs w:val="24"/>
        </w:rPr>
        <w:t>1</w:t>
      </w:r>
      <w:r w:rsidRPr="005D2775">
        <w:rPr>
          <w:i/>
          <w:iCs/>
          <w:color w:val="000000" w:themeColor="text1"/>
          <w:sz w:val="24"/>
          <w:szCs w:val="24"/>
        </w:rPr>
        <w:t xml:space="preserve">  (</w:t>
      </w:r>
      <w:proofErr w:type="gramEnd"/>
      <w:r w:rsidRPr="005D2775">
        <w:rPr>
          <w:i/>
          <w:iCs/>
          <w:color w:val="000000" w:themeColor="text1"/>
          <w:sz w:val="24"/>
          <w:szCs w:val="24"/>
        </w:rPr>
        <w:t>Enolase 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0FEF5056"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36C9BCD7"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black</w:t>
            </w:r>
          </w:p>
        </w:tc>
        <w:tc>
          <w:tcPr>
            <w:tcW w:w="2350" w:type="dxa"/>
            <w:shd w:val="clear" w:color="auto" w:fill="F2F2F2"/>
            <w:tcMar>
              <w:top w:w="60" w:type="dxa"/>
              <w:left w:w="100" w:type="dxa"/>
              <w:bottom w:w="60" w:type="dxa"/>
              <w:right w:w="100" w:type="dxa"/>
            </w:tcMar>
          </w:tcPr>
          <w:p w14:paraId="745E637C"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641B9504"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0.537</w:t>
            </w:r>
          </w:p>
        </w:tc>
        <w:tc>
          <w:tcPr>
            <w:tcW w:w="2350" w:type="dxa"/>
            <w:shd w:val="clear" w:color="auto" w:fill="F2F2F2"/>
            <w:tcMar>
              <w:top w:w="60" w:type="dxa"/>
              <w:left w:w="100" w:type="dxa"/>
              <w:bottom w:w="60" w:type="dxa"/>
              <w:right w:w="100" w:type="dxa"/>
            </w:tcMar>
          </w:tcPr>
          <w:p w14:paraId="113095CB"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-0.34 (down in T2D)</w:t>
            </w:r>
          </w:p>
        </w:tc>
      </w:tr>
    </w:tbl>
    <w:p w14:paraId="6AE9A092"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Glycolytic enzyme converting 2-phosphoglycerate to phosphoenolpyruvate, directly affecting the ATP/ADP ratio that drives glucose-stimulated insulin secretion.</w:t>
      </w:r>
    </w:p>
    <w:p w14:paraId="1FC1FD1F"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Directly demonstrated in human islets: ENO1 co-</w:t>
      </w:r>
      <w:proofErr w:type="spellStart"/>
      <w:r w:rsidRPr="005D2775">
        <w:rPr>
          <w:color w:val="000000" w:themeColor="text1"/>
          <w:sz w:val="24"/>
          <w:szCs w:val="24"/>
        </w:rPr>
        <w:t>localises</w:t>
      </w:r>
      <w:proofErr w:type="spellEnd"/>
      <w:r w:rsidRPr="005D2775">
        <w:rPr>
          <w:color w:val="000000" w:themeColor="text1"/>
          <w:sz w:val="24"/>
          <w:szCs w:val="24"/>
        </w:rPr>
        <w:t xml:space="preserve"> with intracellular insulin in β-cells, and its silencing reduces both insulin secretion and content. ENO1 mRNA is significantly altered in T2D donor islets and correlates with HbA1c — one of the most directly and specifically evidenced genes in this entire table.</w:t>
      </w:r>
    </w:p>
    <w:p w14:paraId="7018604E"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Strong</w:t>
      </w:r>
    </w:p>
    <w:p w14:paraId="72338C90" w14:textId="77777777" w:rsidR="00FA0BB6" w:rsidRPr="005D2775" w:rsidRDefault="00000000">
      <w:pPr>
        <w:spacing w:before="260" w:after="80"/>
        <w:rPr>
          <w:color w:val="000000" w:themeColor="text1"/>
          <w:sz w:val="24"/>
          <w:szCs w:val="24"/>
        </w:rPr>
      </w:pPr>
      <w:proofErr w:type="gramStart"/>
      <w:r w:rsidRPr="005D2775">
        <w:rPr>
          <w:b/>
          <w:bCs/>
          <w:color w:val="000000" w:themeColor="text1"/>
          <w:sz w:val="24"/>
          <w:szCs w:val="24"/>
        </w:rPr>
        <w:t>RTCB</w:t>
      </w:r>
      <w:r w:rsidRPr="005D2775">
        <w:rPr>
          <w:i/>
          <w:iCs/>
          <w:color w:val="000000" w:themeColor="text1"/>
          <w:sz w:val="24"/>
          <w:szCs w:val="24"/>
        </w:rPr>
        <w:t xml:space="preserve">  (</w:t>
      </w:r>
      <w:proofErr w:type="gramEnd"/>
      <w:r w:rsidRPr="005D2775">
        <w:rPr>
          <w:i/>
          <w:iCs/>
          <w:color w:val="000000" w:themeColor="text1"/>
          <w:sz w:val="24"/>
          <w:szCs w:val="24"/>
        </w:rPr>
        <w:t>RNA 2',3'-cyclic phosphate and 5'-OH ligase)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506C41A9"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3EA476CF"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black</w:t>
            </w:r>
          </w:p>
        </w:tc>
        <w:tc>
          <w:tcPr>
            <w:tcW w:w="2350" w:type="dxa"/>
            <w:shd w:val="clear" w:color="auto" w:fill="F2F2F2"/>
            <w:tcMar>
              <w:top w:w="60" w:type="dxa"/>
              <w:left w:w="100" w:type="dxa"/>
              <w:bottom w:w="60" w:type="dxa"/>
              <w:right w:w="100" w:type="dxa"/>
            </w:tcMar>
          </w:tcPr>
          <w:p w14:paraId="466EBED6"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219BF734"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0.530</w:t>
            </w:r>
          </w:p>
        </w:tc>
        <w:tc>
          <w:tcPr>
            <w:tcW w:w="2350" w:type="dxa"/>
            <w:shd w:val="clear" w:color="auto" w:fill="F2F2F2"/>
            <w:tcMar>
              <w:top w:w="60" w:type="dxa"/>
              <w:left w:w="100" w:type="dxa"/>
              <w:bottom w:w="60" w:type="dxa"/>
              <w:right w:w="100" w:type="dxa"/>
            </w:tcMar>
          </w:tcPr>
          <w:p w14:paraId="77674919"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-0.42 (down in T2D)</w:t>
            </w:r>
          </w:p>
        </w:tc>
      </w:tr>
    </w:tbl>
    <w:p w14:paraId="641FDAB7"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RNA ligase required for XBP1 mRNA splicing during the IRE1α arm of the unfolded protein response (UPR) — an essential step in ER stress </w:t>
      </w:r>
      <w:proofErr w:type="spellStart"/>
      <w:r w:rsidRPr="005D2775">
        <w:rPr>
          <w:color w:val="000000" w:themeColor="text1"/>
          <w:sz w:val="24"/>
          <w:szCs w:val="24"/>
        </w:rPr>
        <w:t>signalling</w:t>
      </w:r>
      <w:proofErr w:type="spellEnd"/>
      <w:r w:rsidRPr="005D2775">
        <w:rPr>
          <w:color w:val="000000" w:themeColor="text1"/>
          <w:sz w:val="24"/>
          <w:szCs w:val="24"/>
        </w:rPr>
        <w:t>.</w:t>
      </w:r>
    </w:p>
    <w:p w14:paraId="35169505" w14:textId="77777777" w:rsidR="00FA0BB6" w:rsidRPr="005D2775" w:rsidRDefault="00000000">
      <w:pPr>
        <w:spacing w:after="60"/>
        <w:rPr>
          <w:color w:val="000000" w:themeColor="text1"/>
          <w:sz w:val="24"/>
          <w:szCs w:val="24"/>
        </w:rPr>
      </w:pPr>
      <w:r w:rsidRPr="005D2775">
        <w:rPr>
          <w:b/>
          <w:bCs/>
          <w:color w:val="000000" w:themeColor="text1"/>
          <w:sz w:val="24"/>
          <w:szCs w:val="24"/>
        </w:rPr>
        <w:lastRenderedPageBreak/>
        <w:t xml:space="preserve">T2D / islet relevance: </w:t>
      </w:r>
      <w:r w:rsidRPr="005D2775">
        <w:rPr>
          <w:color w:val="000000" w:themeColor="text1"/>
          <w:sz w:val="24"/>
          <w:szCs w:val="24"/>
        </w:rPr>
        <w:t>The UPR/ER stress pathway that RTCB enables is one of the most well-established mechanisms of β-cell dysfunction and failure in both type 1 and type 2 diabetes; no islet-specific RTCB paper was found directly, but the pathway-level rationale is strong.</w:t>
      </w:r>
    </w:p>
    <w:p w14:paraId="3E5FA1EE" w14:textId="77777777" w:rsidR="00FA0BB6" w:rsidRPr="005D2775" w:rsidRDefault="00000000">
      <w:pPr>
        <w:shd w:val="clear" w:color="auto" w:fill="FFF2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Moderate/plausible</w:t>
      </w:r>
    </w:p>
    <w:p w14:paraId="75D3FB61"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PPP1R1</w:t>
      </w:r>
      <w:proofErr w:type="gramStart"/>
      <w:r w:rsidRPr="005D2775">
        <w:rPr>
          <w:b/>
          <w:bCs/>
          <w:color w:val="000000" w:themeColor="text1"/>
          <w:sz w:val="24"/>
          <w:szCs w:val="24"/>
        </w:rPr>
        <w:t>A</w:t>
      </w:r>
      <w:r w:rsidRPr="005D2775">
        <w:rPr>
          <w:i/>
          <w:iCs/>
          <w:color w:val="000000" w:themeColor="text1"/>
          <w:sz w:val="24"/>
          <w:szCs w:val="24"/>
        </w:rPr>
        <w:t xml:space="preserve">  (</w:t>
      </w:r>
      <w:proofErr w:type="gramEnd"/>
      <w:r w:rsidRPr="005D2775">
        <w:rPr>
          <w:i/>
          <w:iCs/>
          <w:color w:val="000000" w:themeColor="text1"/>
          <w:sz w:val="24"/>
          <w:szCs w:val="24"/>
        </w:rPr>
        <w:t>Protein phosphatase 1 regulatory inhibitor subunit 1A)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3EA95FF6"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605FA2DC"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black</w:t>
            </w:r>
          </w:p>
        </w:tc>
        <w:tc>
          <w:tcPr>
            <w:tcW w:w="2350" w:type="dxa"/>
            <w:shd w:val="clear" w:color="auto" w:fill="F2F2F2"/>
            <w:tcMar>
              <w:top w:w="60" w:type="dxa"/>
              <w:left w:w="100" w:type="dxa"/>
              <w:bottom w:w="60" w:type="dxa"/>
              <w:right w:w="100" w:type="dxa"/>
            </w:tcMar>
          </w:tcPr>
          <w:p w14:paraId="4FF7BE0B"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6E4289F4"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0.503</w:t>
            </w:r>
          </w:p>
        </w:tc>
        <w:tc>
          <w:tcPr>
            <w:tcW w:w="2350" w:type="dxa"/>
            <w:shd w:val="clear" w:color="auto" w:fill="F2F2F2"/>
            <w:tcMar>
              <w:top w:w="60" w:type="dxa"/>
              <w:left w:w="100" w:type="dxa"/>
              <w:bottom w:w="60" w:type="dxa"/>
              <w:right w:w="100" w:type="dxa"/>
            </w:tcMar>
          </w:tcPr>
          <w:p w14:paraId="09B34D4E"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-0.99 (down in T2D)</w:t>
            </w:r>
          </w:p>
        </w:tc>
      </w:tr>
    </w:tbl>
    <w:p w14:paraId="02D323CF"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 xml:space="preserve">cAMP/PKA-responsive inhibitor of protein phosphatase 1; a </w:t>
      </w:r>
      <w:proofErr w:type="spellStart"/>
      <w:r w:rsidRPr="005D2775">
        <w:rPr>
          <w:color w:val="000000" w:themeColor="text1"/>
          <w:sz w:val="24"/>
          <w:szCs w:val="24"/>
        </w:rPr>
        <w:t>MafA</w:t>
      </w:r>
      <w:proofErr w:type="spellEnd"/>
      <w:r w:rsidRPr="005D2775">
        <w:rPr>
          <w:color w:val="000000" w:themeColor="text1"/>
          <w:sz w:val="24"/>
          <w:szCs w:val="24"/>
        </w:rPr>
        <w:t>-target gene in β-cells.</w:t>
      </w:r>
    </w:p>
    <w:p w14:paraId="79115B97"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 xml:space="preserve">Directly demonstrated in human pancreatic islets and INS-1 β-cells: PPP1R1A mRNA is reduced in type 2 diabetic islets, and its expression positively correlates with GLP1-mediated amplification of glucose-stimulated insulin secretion. Silencing impairs insulin secretion amplification and mitochondrial coupling efficiency — this is one of the most directly, recently, and specifically validated genes on the entire hub list, </w:t>
      </w:r>
      <w:proofErr w:type="gramStart"/>
      <w:r w:rsidRPr="005D2775">
        <w:rPr>
          <w:color w:val="000000" w:themeColor="text1"/>
          <w:sz w:val="24"/>
          <w:szCs w:val="24"/>
        </w:rPr>
        <w:t>and also</w:t>
      </w:r>
      <w:proofErr w:type="gramEnd"/>
      <w:r w:rsidRPr="005D2775">
        <w:rPr>
          <w:color w:val="000000" w:themeColor="text1"/>
          <w:sz w:val="24"/>
          <w:szCs w:val="24"/>
        </w:rPr>
        <w:t xml:space="preserve"> has the largest downregulation magnitude (-0.99 log2FC) among the black module hub genes.</w:t>
      </w:r>
    </w:p>
    <w:p w14:paraId="29F3B42F" w14:textId="77777777" w:rsidR="00FA0BB6" w:rsidRPr="005D2775" w:rsidRDefault="00000000">
      <w:pPr>
        <w:shd w:val="clear" w:color="auto" w:fill="D9EAD3"/>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Strong</w:t>
      </w:r>
    </w:p>
    <w:p w14:paraId="05543117" w14:textId="77777777" w:rsidR="00FA0BB6" w:rsidRPr="005D2775" w:rsidRDefault="00000000">
      <w:pPr>
        <w:spacing w:before="260" w:after="80"/>
        <w:rPr>
          <w:color w:val="000000" w:themeColor="text1"/>
          <w:sz w:val="24"/>
          <w:szCs w:val="24"/>
        </w:rPr>
      </w:pPr>
      <w:r w:rsidRPr="005D2775">
        <w:rPr>
          <w:b/>
          <w:bCs/>
          <w:color w:val="000000" w:themeColor="text1"/>
          <w:sz w:val="24"/>
          <w:szCs w:val="24"/>
        </w:rPr>
        <w:t>PSMC</w:t>
      </w:r>
      <w:proofErr w:type="gramStart"/>
      <w:r w:rsidRPr="005D2775">
        <w:rPr>
          <w:b/>
          <w:bCs/>
          <w:color w:val="000000" w:themeColor="text1"/>
          <w:sz w:val="24"/>
          <w:szCs w:val="24"/>
        </w:rPr>
        <w:t>5</w:t>
      </w:r>
      <w:r w:rsidRPr="005D2775">
        <w:rPr>
          <w:i/>
          <w:iCs/>
          <w:color w:val="000000" w:themeColor="text1"/>
          <w:sz w:val="24"/>
          <w:szCs w:val="24"/>
        </w:rPr>
        <w:t xml:space="preserve">  (</w:t>
      </w:r>
      <w:proofErr w:type="gramEnd"/>
      <w:r w:rsidRPr="005D2775">
        <w:rPr>
          <w:i/>
          <w:iCs/>
          <w:color w:val="000000" w:themeColor="text1"/>
          <w:sz w:val="24"/>
          <w:szCs w:val="24"/>
        </w:rPr>
        <w:t>Proteasome 26S subunit, ATPase 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50"/>
      </w:tblGrid>
      <w:tr w:rsidR="00FA0BB6" w:rsidRPr="005D2775" w14:paraId="3BF43164" w14:textId="77777777">
        <w:tblPrEx>
          <w:tblCellMar>
            <w:top w:w="0" w:type="dxa"/>
            <w:bottom w:w="0" w:type="dxa"/>
          </w:tblCellMar>
        </w:tblPrEx>
        <w:tc>
          <w:tcPr>
            <w:tcW w:w="2350" w:type="dxa"/>
            <w:shd w:val="clear" w:color="auto" w:fill="F2F2F2"/>
            <w:tcMar>
              <w:top w:w="60" w:type="dxa"/>
              <w:left w:w="100" w:type="dxa"/>
              <w:bottom w:w="60" w:type="dxa"/>
              <w:right w:w="100" w:type="dxa"/>
            </w:tcMar>
          </w:tcPr>
          <w:p w14:paraId="09EBF3CF" w14:textId="77777777" w:rsidR="00FA0BB6" w:rsidRPr="005D2775" w:rsidRDefault="00000000">
            <w:pPr>
              <w:rPr>
                <w:color w:val="000000" w:themeColor="text1"/>
                <w:sz w:val="24"/>
                <w:szCs w:val="24"/>
              </w:rPr>
            </w:pPr>
            <w:r w:rsidRPr="005D2775">
              <w:rPr>
                <w:b/>
                <w:bCs/>
                <w:color w:val="000000" w:themeColor="text1"/>
                <w:sz w:val="24"/>
                <w:szCs w:val="24"/>
              </w:rPr>
              <w:t xml:space="preserve">Module: </w:t>
            </w:r>
            <w:r w:rsidRPr="005D2775">
              <w:rPr>
                <w:color w:val="000000" w:themeColor="text1"/>
                <w:sz w:val="24"/>
                <w:szCs w:val="24"/>
              </w:rPr>
              <w:t>black</w:t>
            </w:r>
          </w:p>
        </w:tc>
        <w:tc>
          <w:tcPr>
            <w:tcW w:w="2350" w:type="dxa"/>
            <w:shd w:val="clear" w:color="auto" w:fill="F2F2F2"/>
            <w:tcMar>
              <w:top w:w="60" w:type="dxa"/>
              <w:left w:w="100" w:type="dxa"/>
              <w:bottom w:w="60" w:type="dxa"/>
              <w:right w:w="100" w:type="dxa"/>
            </w:tcMar>
          </w:tcPr>
          <w:p w14:paraId="3BF5055F" w14:textId="77777777" w:rsidR="00FA0BB6" w:rsidRPr="005D2775" w:rsidRDefault="00000000">
            <w:pPr>
              <w:rPr>
                <w:color w:val="000000" w:themeColor="text1"/>
                <w:sz w:val="24"/>
                <w:szCs w:val="24"/>
              </w:rPr>
            </w:pPr>
            <w:r w:rsidRPr="005D2775">
              <w:rPr>
                <w:b/>
                <w:bCs/>
                <w:color w:val="000000" w:themeColor="text1"/>
                <w:sz w:val="24"/>
                <w:szCs w:val="24"/>
              </w:rPr>
              <w:t xml:space="preserve">Biotype: </w:t>
            </w:r>
            <w:r w:rsidRPr="005D2775">
              <w:rPr>
                <w:color w:val="000000" w:themeColor="text1"/>
                <w:sz w:val="24"/>
                <w:szCs w:val="24"/>
              </w:rPr>
              <w:t>protein-coding</w:t>
            </w:r>
          </w:p>
        </w:tc>
        <w:tc>
          <w:tcPr>
            <w:tcW w:w="2350" w:type="dxa"/>
            <w:shd w:val="clear" w:color="auto" w:fill="F2F2F2"/>
            <w:tcMar>
              <w:top w:w="60" w:type="dxa"/>
              <w:left w:w="100" w:type="dxa"/>
              <w:bottom w:w="60" w:type="dxa"/>
              <w:right w:w="100" w:type="dxa"/>
            </w:tcMar>
          </w:tcPr>
          <w:p w14:paraId="41DBD7B1" w14:textId="77777777" w:rsidR="00FA0BB6" w:rsidRPr="005D2775" w:rsidRDefault="00000000">
            <w:pPr>
              <w:rPr>
                <w:color w:val="000000" w:themeColor="text1"/>
                <w:sz w:val="24"/>
                <w:szCs w:val="24"/>
              </w:rPr>
            </w:pPr>
            <w:r w:rsidRPr="005D2775">
              <w:rPr>
                <w:b/>
                <w:bCs/>
                <w:color w:val="000000" w:themeColor="text1"/>
                <w:sz w:val="24"/>
                <w:szCs w:val="24"/>
              </w:rPr>
              <w:t xml:space="preserve">Hub score: </w:t>
            </w:r>
            <w:r w:rsidRPr="005D2775">
              <w:rPr>
                <w:color w:val="000000" w:themeColor="text1"/>
                <w:sz w:val="24"/>
                <w:szCs w:val="24"/>
              </w:rPr>
              <w:t>0.502</w:t>
            </w:r>
          </w:p>
        </w:tc>
        <w:tc>
          <w:tcPr>
            <w:tcW w:w="2350" w:type="dxa"/>
            <w:shd w:val="clear" w:color="auto" w:fill="F2F2F2"/>
            <w:tcMar>
              <w:top w:w="60" w:type="dxa"/>
              <w:left w:w="100" w:type="dxa"/>
              <w:bottom w:w="60" w:type="dxa"/>
              <w:right w:w="100" w:type="dxa"/>
            </w:tcMar>
          </w:tcPr>
          <w:p w14:paraId="29EE7466" w14:textId="77777777" w:rsidR="00FA0BB6" w:rsidRPr="005D2775" w:rsidRDefault="00000000">
            <w:pPr>
              <w:rPr>
                <w:color w:val="000000" w:themeColor="text1"/>
                <w:sz w:val="24"/>
                <w:szCs w:val="24"/>
              </w:rPr>
            </w:pPr>
            <w:r w:rsidRPr="005D2775">
              <w:rPr>
                <w:b/>
                <w:bCs/>
                <w:color w:val="000000" w:themeColor="text1"/>
                <w:sz w:val="24"/>
                <w:szCs w:val="24"/>
              </w:rPr>
              <w:t xml:space="preserve">T2D vs ND: </w:t>
            </w:r>
            <w:r w:rsidRPr="005D2775">
              <w:rPr>
                <w:color w:val="000000" w:themeColor="text1"/>
                <w:sz w:val="24"/>
                <w:szCs w:val="24"/>
              </w:rPr>
              <w:t>-0.33 (down in T2D)</w:t>
            </w:r>
          </w:p>
        </w:tc>
      </w:tr>
    </w:tbl>
    <w:p w14:paraId="221795FB" w14:textId="77777777" w:rsidR="00FA0BB6" w:rsidRPr="005D2775" w:rsidRDefault="00000000">
      <w:pPr>
        <w:spacing w:before="100" w:after="60"/>
        <w:rPr>
          <w:color w:val="000000" w:themeColor="text1"/>
          <w:sz w:val="24"/>
          <w:szCs w:val="24"/>
        </w:rPr>
      </w:pPr>
      <w:r w:rsidRPr="005D2775">
        <w:rPr>
          <w:b/>
          <w:bCs/>
          <w:color w:val="000000" w:themeColor="text1"/>
          <w:sz w:val="24"/>
          <w:szCs w:val="24"/>
        </w:rPr>
        <w:t xml:space="preserve">Known function: </w:t>
      </w:r>
      <w:r w:rsidRPr="005D2775">
        <w:rPr>
          <w:color w:val="000000" w:themeColor="text1"/>
          <w:sz w:val="24"/>
          <w:szCs w:val="24"/>
        </w:rPr>
        <w:t>ATPase component of the 19S regulatory particle of the 26S proteasome, essential for protein degradation and proteostasis.</w:t>
      </w:r>
    </w:p>
    <w:p w14:paraId="7DE1910D" w14:textId="77777777" w:rsidR="00FA0BB6" w:rsidRPr="005D2775" w:rsidRDefault="00000000">
      <w:pPr>
        <w:spacing w:after="60"/>
        <w:rPr>
          <w:color w:val="000000" w:themeColor="text1"/>
          <w:sz w:val="24"/>
          <w:szCs w:val="24"/>
        </w:rPr>
      </w:pPr>
      <w:r w:rsidRPr="005D2775">
        <w:rPr>
          <w:b/>
          <w:bCs/>
          <w:color w:val="000000" w:themeColor="text1"/>
          <w:sz w:val="24"/>
          <w:szCs w:val="24"/>
        </w:rPr>
        <w:t xml:space="preserve">T2D / islet relevance: </w:t>
      </w:r>
      <w:r w:rsidRPr="005D2775">
        <w:rPr>
          <w:color w:val="000000" w:themeColor="text1"/>
          <w:sz w:val="24"/>
          <w:szCs w:val="24"/>
        </w:rPr>
        <w:t>No islet- or diabetes-specific literature was found for PSMC5 directly (recent findings link mutations to neurodevelopmental disorders via impaired proteasome assembly). Proteostasis and proteasome function are broadly relevant to β-cell stress responses, but this is a pathway-level inference rather than gene-specific evidence.</w:t>
      </w:r>
    </w:p>
    <w:p w14:paraId="51869BE1" w14:textId="77777777" w:rsidR="00FA0BB6" w:rsidRPr="005D2775" w:rsidRDefault="00000000">
      <w:pPr>
        <w:shd w:val="clear" w:color="auto" w:fill="F4CCCC"/>
        <w:spacing w:after="220"/>
        <w:ind w:left="100"/>
        <w:rPr>
          <w:color w:val="000000" w:themeColor="text1"/>
          <w:sz w:val="24"/>
          <w:szCs w:val="24"/>
        </w:rPr>
      </w:pPr>
      <w:r w:rsidRPr="005D2775">
        <w:rPr>
          <w:b/>
          <w:bCs/>
          <w:color w:val="000000" w:themeColor="text1"/>
          <w:sz w:val="24"/>
          <w:szCs w:val="24"/>
        </w:rPr>
        <w:t xml:space="preserve">Evidence strength: </w:t>
      </w:r>
      <w:r w:rsidRPr="005D2775">
        <w:rPr>
          <w:color w:val="000000" w:themeColor="text1"/>
          <w:sz w:val="24"/>
          <w:szCs w:val="24"/>
        </w:rPr>
        <w:t>Weak / no direct evidence</w:t>
      </w:r>
    </w:p>
    <w:p w14:paraId="3416DFD4" w14:textId="77777777" w:rsidR="00FA0BB6" w:rsidRPr="005D2775" w:rsidRDefault="00FA0BB6">
      <w:pPr>
        <w:pageBreakBefore/>
        <w:rPr>
          <w:color w:val="000000" w:themeColor="text1"/>
          <w:sz w:val="24"/>
          <w:szCs w:val="24"/>
        </w:rPr>
      </w:pPr>
    </w:p>
    <w:p w14:paraId="6C95A0BA" w14:textId="77777777" w:rsidR="00FA0BB6" w:rsidRPr="005D2775" w:rsidRDefault="00000000">
      <w:pPr>
        <w:pStyle w:val="Heading1"/>
        <w:spacing w:before="400" w:after="200"/>
        <w:rPr>
          <w:color w:val="000000" w:themeColor="text1"/>
          <w:sz w:val="24"/>
          <w:szCs w:val="24"/>
        </w:rPr>
      </w:pPr>
      <w:r w:rsidRPr="005D2775">
        <w:rPr>
          <w:color w:val="000000" w:themeColor="text1"/>
          <w:sz w:val="24"/>
          <w:szCs w:val="24"/>
        </w:rPr>
        <w:t>Summary: Reading the Evidence-Strength Pattern</w:t>
      </w:r>
    </w:p>
    <w:p w14:paraId="4344022C" w14:textId="77777777" w:rsidR="00FA0BB6" w:rsidRPr="005D2775" w:rsidRDefault="00000000">
      <w:pPr>
        <w:spacing w:after="160"/>
        <w:jc w:val="both"/>
        <w:rPr>
          <w:color w:val="000000" w:themeColor="text1"/>
          <w:sz w:val="24"/>
          <w:szCs w:val="24"/>
        </w:rPr>
      </w:pPr>
      <w:r w:rsidRPr="005D2775">
        <w:rPr>
          <w:color w:val="000000" w:themeColor="text1"/>
          <w:sz w:val="24"/>
          <w:szCs w:val="24"/>
        </w:rPr>
        <w:t>Of the 25 hub genes/lncRNAs, 7 have strong, direct published evidence linking them to pancreatic islet biology, insulin secretion, or diabetes specifically (DKK3, PLA2G2A, REG3G, REG1B, WLS, PRMT1, ENO1, PPP1R1A — note that's 8, reflecting how concentrated the strong evidence is in the green, red, and black modules in particular). Several more have moderate, pathway-level or paralog-based plausibility (IRF8, COL6A1, MYOF, LYPLAL1-AS1, ARF5, GNPDA1, ACLY, RTCB). A smaller set currently has no discoverable connection to metabolic or islet biology at all (SH3PXD2A, SHOC1, FRMD4A, ARHGEF9, PSMC5) and are worth flagging to your supervisor explicitly — either as genuinely novel, unexpected biology worth pursuing, or as candidates to treat cautiously until independently validated, since a hub gene with no plausible mechanism is more likely to reflect network noise or an unmodelled confounder than one with strong prior literature support.</w:t>
      </w:r>
    </w:p>
    <w:p w14:paraId="23141C8A" w14:textId="77777777" w:rsidR="00FA0BB6" w:rsidRPr="005D2775" w:rsidRDefault="00000000">
      <w:pPr>
        <w:spacing w:after="160"/>
        <w:jc w:val="both"/>
        <w:rPr>
          <w:color w:val="000000" w:themeColor="text1"/>
          <w:sz w:val="24"/>
          <w:szCs w:val="24"/>
        </w:rPr>
      </w:pPr>
      <w:r w:rsidRPr="005D2775">
        <w:rPr>
          <w:color w:val="000000" w:themeColor="text1"/>
          <w:sz w:val="24"/>
          <w:szCs w:val="24"/>
        </w:rPr>
        <w:t xml:space="preserve">The three </w:t>
      </w:r>
      <w:proofErr w:type="spellStart"/>
      <w:r w:rsidRPr="005D2775">
        <w:rPr>
          <w:color w:val="000000" w:themeColor="text1"/>
          <w:sz w:val="24"/>
          <w:szCs w:val="24"/>
        </w:rPr>
        <w:t>uncharacterised</w:t>
      </w:r>
      <w:proofErr w:type="spellEnd"/>
      <w:r w:rsidRPr="005D2775">
        <w:rPr>
          <w:color w:val="000000" w:themeColor="text1"/>
          <w:sz w:val="24"/>
          <w:szCs w:val="24"/>
        </w:rPr>
        <w:t xml:space="preserve"> lncRNAs (ENSG00000235020, ENSG00000256085, ENSG00000259370) are arguably the most scientifically interesting outcome of the whole analysis: they cannot be dismissed as noise (all three rank highly on both independent DE-based prioritisation and network hub centrality), but nothing is published about them at all. That combination — strong statistical signal, zero prior </w:t>
      </w:r>
      <w:proofErr w:type="spellStart"/>
      <w:r w:rsidRPr="005D2775">
        <w:rPr>
          <w:color w:val="000000" w:themeColor="text1"/>
          <w:sz w:val="24"/>
          <w:szCs w:val="24"/>
        </w:rPr>
        <w:t>characterisation</w:t>
      </w:r>
      <w:proofErr w:type="spellEnd"/>
      <w:r w:rsidRPr="005D2775">
        <w:rPr>
          <w:color w:val="000000" w:themeColor="text1"/>
          <w:sz w:val="24"/>
          <w:szCs w:val="24"/>
        </w:rPr>
        <w:t xml:space="preserve"> — is exactly the profile of a genuinely novel </w:t>
      </w:r>
      <w:proofErr w:type="gramStart"/>
      <w:r w:rsidRPr="005D2775">
        <w:rPr>
          <w:color w:val="000000" w:themeColor="text1"/>
          <w:sz w:val="24"/>
          <w:szCs w:val="24"/>
        </w:rPr>
        <w:t>discovery, and</w:t>
      </w:r>
      <w:proofErr w:type="gramEnd"/>
      <w:r w:rsidRPr="005D2775">
        <w:rPr>
          <w:color w:val="000000" w:themeColor="text1"/>
          <w:sz w:val="24"/>
          <w:szCs w:val="24"/>
        </w:rPr>
        <w:t xml:space="preserve"> is a natural </w:t>
      </w:r>
      <w:proofErr w:type="spellStart"/>
      <w:r w:rsidRPr="005D2775">
        <w:rPr>
          <w:color w:val="000000" w:themeColor="text1"/>
          <w:sz w:val="24"/>
          <w:szCs w:val="24"/>
        </w:rPr>
        <w:t>centrepiece</w:t>
      </w:r>
      <w:proofErr w:type="spellEnd"/>
      <w:r w:rsidRPr="005D2775">
        <w:rPr>
          <w:color w:val="000000" w:themeColor="text1"/>
          <w:sz w:val="24"/>
          <w:szCs w:val="24"/>
        </w:rPr>
        <w:t xml:space="preserve"> for the discussion chapter and for framing the case for publication.</w:t>
      </w:r>
    </w:p>
    <w:sectPr w:rsidR="00FA0BB6" w:rsidRPr="005D27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21259D"/>
    <w:multiLevelType w:val="hybridMultilevel"/>
    <w:tmpl w:val="59EC3CE8"/>
    <w:lvl w:ilvl="0" w:tplc="11762DD6">
      <w:start w:val="1"/>
      <w:numFmt w:val="bullet"/>
      <w:lvlText w:val="●"/>
      <w:lvlJc w:val="left"/>
      <w:pPr>
        <w:ind w:left="720" w:hanging="360"/>
      </w:pPr>
    </w:lvl>
    <w:lvl w:ilvl="1" w:tplc="FAAAFBFA">
      <w:start w:val="1"/>
      <w:numFmt w:val="bullet"/>
      <w:lvlText w:val="○"/>
      <w:lvlJc w:val="left"/>
      <w:pPr>
        <w:ind w:left="1440" w:hanging="360"/>
      </w:pPr>
    </w:lvl>
    <w:lvl w:ilvl="2" w:tplc="69A8C2F2">
      <w:start w:val="1"/>
      <w:numFmt w:val="bullet"/>
      <w:lvlText w:val="■"/>
      <w:lvlJc w:val="left"/>
      <w:pPr>
        <w:ind w:left="2160" w:hanging="360"/>
      </w:pPr>
    </w:lvl>
    <w:lvl w:ilvl="3" w:tplc="30163C6A">
      <w:start w:val="1"/>
      <w:numFmt w:val="bullet"/>
      <w:lvlText w:val="●"/>
      <w:lvlJc w:val="left"/>
      <w:pPr>
        <w:ind w:left="2880" w:hanging="360"/>
      </w:pPr>
    </w:lvl>
    <w:lvl w:ilvl="4" w:tplc="026069FA">
      <w:start w:val="1"/>
      <w:numFmt w:val="bullet"/>
      <w:lvlText w:val="○"/>
      <w:lvlJc w:val="left"/>
      <w:pPr>
        <w:ind w:left="3600" w:hanging="360"/>
      </w:pPr>
    </w:lvl>
    <w:lvl w:ilvl="5" w:tplc="F2C61C18">
      <w:start w:val="1"/>
      <w:numFmt w:val="bullet"/>
      <w:lvlText w:val="■"/>
      <w:lvlJc w:val="left"/>
      <w:pPr>
        <w:ind w:left="4320" w:hanging="360"/>
      </w:pPr>
    </w:lvl>
    <w:lvl w:ilvl="6" w:tplc="07F82EB4">
      <w:start w:val="1"/>
      <w:numFmt w:val="bullet"/>
      <w:lvlText w:val="●"/>
      <w:lvlJc w:val="left"/>
      <w:pPr>
        <w:ind w:left="5040" w:hanging="360"/>
      </w:pPr>
    </w:lvl>
    <w:lvl w:ilvl="7" w:tplc="0B6695E6">
      <w:start w:val="1"/>
      <w:numFmt w:val="bullet"/>
      <w:lvlText w:val="●"/>
      <w:lvlJc w:val="left"/>
      <w:pPr>
        <w:ind w:left="5760" w:hanging="360"/>
      </w:pPr>
    </w:lvl>
    <w:lvl w:ilvl="8" w:tplc="4584700A">
      <w:start w:val="1"/>
      <w:numFmt w:val="bullet"/>
      <w:lvlText w:val="●"/>
      <w:lvlJc w:val="left"/>
      <w:pPr>
        <w:ind w:left="6480" w:hanging="360"/>
      </w:pPr>
    </w:lvl>
  </w:abstractNum>
  <w:num w:numId="1" w16cid:durableId="18749278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B6"/>
    <w:rsid w:val="000231FB"/>
    <w:rsid w:val="005D2775"/>
    <w:rsid w:val="00FA0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225BAF"/>
  <w15:docId w15:val="{8F418E4D-02FC-7645-B01C-4F751D3C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3542</Words>
  <Characters>20193</Characters>
  <Application>Microsoft Office Word</Application>
  <DocSecurity>0</DocSecurity>
  <Lines>168</Lines>
  <Paragraphs>47</Paragraphs>
  <ScaleCrop>false</ScaleCrop>
  <Company/>
  <LinksUpToDate>false</LinksUpToDate>
  <CharactersWithSpaces>23688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Leina KAMERON (Student)</cp:lastModifiedBy>
  <cp:revision>2</cp:revision>
  <dcterms:created xsi:type="dcterms:W3CDTF">2026-08-06T12:52:00Z</dcterms:created>
  <dcterms:modified xsi:type="dcterms:W3CDTF">2026-08-06T12:56:00Z</dcterms:modified>
</cp:coreProperties>
</file>