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GSE164416 – Pancreatic Islet T2D Co-expression Analysis: Critical Pipeline Steps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2026-08-16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3" w:name="X80fa8d6b6121f5450ffa9da9a22aa276e9f1970"/>
    <w:p>
      <w:pPr>
        <w:pStyle w:val="Heading1"/>
      </w:pPr>
      <w:r>
        <w:t xml:space="preserve">Step 00 – Data Acquisition and Gene Annotation</w:t>
      </w:r>
    </w:p>
    <w:bookmarkStart w:id="20" w:name="biological-rationale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The dataset used in this analysis is GSE164416 (Wigger et al., 2021,</w:t>
      </w:r>
      <w:r>
        <w:t xml:space="preserve"> </w:t>
      </w:r>
      <w:r>
        <w:t xml:space="preserve">Nature Metabolism), which contains bulk RNA-seq data from pancreatic</w:t>
      </w:r>
      <w:r>
        <w:t xml:space="preserve"> </w:t>
      </w:r>
      <w:r>
        <w:t xml:space="preserve">islets of donors classified as normoglycaemic (ND), impaired glucose</w:t>
      </w:r>
      <w:r>
        <w:t xml:space="preserve"> </w:t>
      </w:r>
      <w:r>
        <w:t xml:space="preserve">tolerant (IGT), or type 2 diabetic (T2D). Pancreatic islets were chosen</w:t>
      </w:r>
      <w:r>
        <w:t xml:space="preserve"> </w:t>
      </w:r>
      <w:r>
        <w:t xml:space="preserve">because they are the primary site of insulin secretion and beta-cell</w:t>
      </w:r>
      <w:r>
        <w:t xml:space="preserve"> </w:t>
      </w:r>
      <w:r>
        <w:t xml:space="preserve">dysfunction, making them directly relevant to T2D pathophysiology.</w:t>
      </w:r>
      <w:r>
        <w:t xml:space="preserve"> </w:t>
      </w:r>
      <w:r>
        <w:t xml:space="preserve">Raw count data were downloaded directly from the NCBI GEO repository</w:t>
      </w:r>
      <w:r>
        <w:t xml:space="preserve"> </w:t>
      </w:r>
      <w:r>
        <w:t xml:space="preserve">to ensure full reproducibility. Gene identifiers were mapped to HGNC</w:t>
      </w:r>
      <w:r>
        <w:t xml:space="preserve"> </w:t>
      </w:r>
      <w:r>
        <w:t xml:space="preserve">symbols using org.Hs.eg.db and biotype annotations (e.g. lncRNA, protein</w:t>
      </w:r>
      <w:r>
        <w:t xml:space="preserve"> </w:t>
      </w:r>
      <w:r>
        <w:t xml:space="preserve">coding) were added from the GENCODE v46 GTF, which is required to</w:t>
      </w:r>
      <w:r>
        <w:t xml:space="preserve"> </w:t>
      </w:r>
      <w:r>
        <w:t xml:space="preserve">distinguish long non-coding RNAs from protein-coding genes in downstream</w:t>
      </w:r>
      <w:r>
        <w:t xml:space="preserve"> </w:t>
      </w:r>
      <w:r>
        <w:t xml:space="preserve">analysis.</w:t>
      </w:r>
    </w:p>
    <w:bookmarkEnd w:id="20"/>
    <w:bookmarkStart w:id="21" w:name="code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Download supplementary count matrix from GEO</w:t>
      </w:r>
      <w:r>
        <w:br/>
      </w:r>
      <w:r>
        <w:rPr>
          <w:rStyle w:val="FunctionTok"/>
        </w:rPr>
        <w:t xml:space="preserve">getGEOSuppFiles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"GSE164416"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makeDirectory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Map Ensembl IDs to gene symbols using org.Hs.eg.db</w:t>
      </w:r>
      <w:r>
        <w:br/>
      </w:r>
      <w:r>
        <w:rPr>
          <w:rStyle w:val="NormalTok"/>
        </w:rPr>
        <w:t xml:space="preserve">gene_symbols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mapIds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org.Hs.eg.db,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keys      =</w:t>
      </w:r>
      <w:r>
        <w:rPr>
          <w:rStyle w:val="NormalTok"/>
        </w:rPr>
        <w:t xml:space="preserve"> gene_ids,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column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keytype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"ENSEMBL"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multiVals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biotype annotations from GENCODE v46 GTF</w:t>
      </w:r>
      <w:r>
        <w:br/>
      </w:r>
      <w:r>
        <w:rPr>
          <w:rStyle w:val="NormalTok"/>
        </w:rPr>
        <w:t xml:space="preserve">gtf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rtracklayer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(gtf_file)</w:t>
      </w:r>
      <w:r>
        <w:br/>
      </w:r>
      <w:r>
        <w:rPr>
          <w:rStyle w:val="NormalTok"/>
        </w:rPr>
        <w:t xml:space="preserve">gtf_df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(gtf)</w:t>
      </w:r>
      <w:r>
        <w:br/>
      </w:r>
      <w:r>
        <w:rPr>
          <w:rStyle w:val="NormalTok"/>
        </w:rPr>
        <w:t xml:space="preserve">biotype_map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gtf_df[gtf_df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"gene_type"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Integrate clinical metadata from supplementary Excel file</w:t>
      </w:r>
      <w:r>
        <w:br/>
      </w:r>
      <w:r>
        <w:rPr>
          <w:rStyle w:val="NormalTok"/>
        </w:rPr>
        <w:t xml:space="preserve">clinical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"42255_2021_420_MOESM4_ESM.xlsx"</w:t>
      </w:r>
      <w:r>
        <w:rPr>
          <w:rStyle w:val="NormalTok"/>
        </w:rPr>
        <w:t xml:space="preserve">)</w:t>
      </w:r>
    </w:p>
    <w:bookmarkEnd w:id="21"/>
    <w:bookmarkStart w:id="22" w:name="results-and-interpretation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The downloaded count matrix contained 58,336 genes across 184 samples.</w:t>
      </w:r>
      <w:r>
        <w:t xml:space="preserve"> </w:t>
      </w:r>
      <w:r>
        <w:t xml:space="preserve">After annotation with org.Hs.eg.db, 57,623 genes were successfully</w:t>
      </w:r>
      <w:r>
        <w:t xml:space="preserve"> </w:t>
      </w:r>
      <w:r>
        <w:t xml:space="preserve">assigned a biotype. Of these, X,XXX were classified as lncRNA biotypes</w:t>
      </w:r>
      <w:r>
        <w:t xml:space="preserve"> </w:t>
      </w:r>
      <w:r>
        <w:t xml:space="preserve">and retained for prioritisation in later steps. Clinical metadata</w:t>
      </w:r>
      <w:r>
        <w:t xml:space="preserve"> </w:t>
      </w:r>
      <w:r>
        <w:t xml:space="preserve">confirmed the presence of ND, IGT, and T2D donors with associated</w:t>
      </w:r>
      <w:r>
        <w:t xml:space="preserve"> </w:t>
      </w:r>
      <w:r>
        <w:t xml:space="preserve">HbA1c, BMI, and 2-hour glycaemia values, which were used as continuous</w:t>
      </w:r>
      <w:r>
        <w:t xml:space="preserve"> </w:t>
      </w:r>
      <w:r>
        <w:t xml:space="preserve">traits in the WGCNA module-trait correlation analysis.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tep-01-metadata-preparation"/>
    <w:p>
      <w:pPr>
        <w:pStyle w:val="Heading1"/>
      </w:pPr>
      <w:r>
        <w:t xml:space="preserve">Step 01 – Metadata Preparation</w:t>
      </w:r>
    </w:p>
    <w:bookmarkStart w:id="24" w:name="biological-rationale-1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Accurate sample metadata is essential for correct model specification in</w:t>
      </w:r>
      <w:r>
        <w:t xml:space="preserve"> </w:t>
      </w:r>
      <w:r>
        <w:t xml:space="preserve">DESeq2 and for labelling samples in WGCNA trait correlation. Donor</w:t>
      </w:r>
      <w:r>
        <w:t xml:space="preserve"> </w:t>
      </w:r>
      <w:r>
        <w:t xml:space="preserve">status labels were standardised so that impaired fasting glucose (IFG)</w:t>
      </w:r>
      <w:r>
        <w:t xml:space="preserve"> </w:t>
      </w:r>
      <w:r>
        <w:t xml:space="preserve">donors were recoded as IGT, as both represent intermediate dysglycaemia</w:t>
      </w:r>
      <w:r>
        <w:t xml:space="preserve"> </w:t>
      </w:r>
      <w:r>
        <w:t xml:space="preserve">and the Wigger et al. study treats them equivalently. Disease status was</w:t>
      </w:r>
      <w:r>
        <w:t xml:space="preserve"> </w:t>
      </w:r>
      <w:r>
        <w:t xml:space="preserve">encoded as an ordered factor (ND → IGT → T2D) to reflect the known</w:t>
      </w:r>
      <w:r>
        <w:t xml:space="preserve"> </w:t>
      </w:r>
      <w:r>
        <w:t xml:space="preserve">biological progression toward type 2 diabetes. Continuous clinical</w:t>
      </w:r>
      <w:r>
        <w:t xml:space="preserve"> </w:t>
      </w:r>
      <w:r>
        <w:t xml:space="preserve">variables including age, BMI, HbA1c, and 2-hour plasma glucose were</w:t>
      </w:r>
      <w:r>
        <w:t xml:space="preserve"> </w:t>
      </w:r>
      <w:r>
        <w:t xml:space="preserve">retained as numeric traits for downstream WGCNA module-trait analysis.</w:t>
      </w:r>
    </w:p>
    <w:bookmarkEnd w:id="24"/>
    <w:bookmarkStart w:id="25" w:name="code-1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Standardise IFG to IGT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status[metadata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"IFG"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"IGT"</w:t>
      </w:r>
      <w:r>
        <w:br/>
      </w:r>
      <w:r>
        <w:br/>
      </w:r>
      <w:r>
        <w:rPr>
          <w:rStyle w:val="CommentTok"/>
        </w:rPr>
        <w:t xml:space="preserve"># Encode as ordered factor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Retain continuous clinical traits</w:t>
      </w:r>
      <w:r>
        <w:br/>
      </w:r>
      <w:r>
        <w:rPr>
          <w:rStyle w:val="NormalTok"/>
        </w:rPr>
        <w:t xml:space="preserve">clinical_traits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"hba1c"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"glycaemia_2h"</w:t>
      </w:r>
      <w:r>
        <w:rPr>
          <w:rStyle w:val="NormalTok"/>
        </w:rPr>
        <w:t xml:space="preserve">)]</w:t>
      </w:r>
    </w:p>
    <w:bookmarkEnd w:id="25"/>
    <w:bookmarkStart w:id="26" w:name="results-and-interpretation-1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After standardisation, the dataset contained XX ND, XX IGT, and XX T2D</w:t>
      </w:r>
      <w:r>
        <w:t xml:space="preserve"> </w:t>
      </w:r>
      <w:r>
        <w:t xml:space="preserve">samples. No duplicate sample IDs were identified. All continuous trait</w:t>
      </w:r>
      <w:r>
        <w:t xml:space="preserve"> </w:t>
      </w:r>
      <w:r>
        <w:t xml:space="preserve">variables contained some missing values for a minority of donors, which</w:t>
      </w:r>
      <w:r>
        <w:t xml:space="preserve"> </w:t>
      </w:r>
      <w:r>
        <w:t xml:space="preserve">were carried forward as NA and handled within the WGCNA correlation</w:t>
      </w:r>
      <w:r>
        <w:t xml:space="preserve"> </w:t>
      </w:r>
      <w:r>
        <w:t xml:space="preserve">functions. The final metadata table was verified to match the column</w:t>
      </w:r>
      <w:r>
        <w:t xml:space="preserve"> </w:t>
      </w:r>
      <w:r>
        <w:t xml:space="preserve">order of the expression matrix before any modelling was performed.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169747d0c9ee07a732d30e68684ab6db9805947"/>
    <w:p>
      <w:pPr>
        <w:pStyle w:val="Heading1"/>
      </w:pPr>
      <w:r>
        <w:t xml:space="preserve">Step 02 – Quality Control, Filtering and Normalisation</w:t>
      </w:r>
    </w:p>
    <w:bookmarkStart w:id="28" w:name="biological-rationale-2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Raw RNA-seq count data contains genes that are expressed at negligibly</w:t>
      </w:r>
      <w:r>
        <w:t xml:space="preserve"> </w:t>
      </w:r>
      <w:r>
        <w:t xml:space="preserve">low levels, which contribute noise rather than signal to differential</w:t>
      </w:r>
      <w:r>
        <w:t xml:space="preserve"> </w:t>
      </w:r>
      <w:r>
        <w:t xml:space="preserve">expression and co-expression analyses. A minimum expression threshold</w:t>
      </w:r>
      <w:r>
        <w:t xml:space="preserve"> </w:t>
      </w:r>
      <w:r>
        <w:t xml:space="preserve">of 10 counts in at least 30% of samples was applied, a criterion derived</w:t>
      </w:r>
      <w:r>
        <w:t xml:space="preserve"> </w:t>
      </w:r>
      <w:r>
        <w:t xml:space="preserve">from DESeq2 best practice guidelines (Love et al., 2014) that balances</w:t>
      </w:r>
      <w:r>
        <w:t xml:space="preserve"> </w:t>
      </w:r>
      <w:r>
        <w:t xml:space="preserve">retaining biologically relevant lowly expressed genes while removing</w:t>
      </w:r>
      <w:r>
        <w:t xml:space="preserve"> </w:t>
      </w:r>
      <w:r>
        <w:t xml:space="preserve">unreliable measurements. Variance stabilising transformation (VST) was</w:t>
      </w:r>
      <w:r>
        <w:t xml:space="preserve"> </w:t>
      </w:r>
      <w:r>
        <w:t xml:space="preserve">applied rather than rlog because the dataset exceeds 30 samples, where</w:t>
      </w:r>
      <w:r>
        <w:t xml:space="preserve"> </w:t>
      </w:r>
      <w:r>
        <w:t xml:space="preserve">VST produces equivalent results at substantially lower computational</w:t>
      </w:r>
      <w:r>
        <w:t xml:space="preserve"> </w:t>
      </w:r>
      <w:r>
        <w:t xml:space="preserve">cost. The transformation was performed blind to sample group to avoid</w:t>
      </w:r>
      <w:r>
        <w:t xml:space="preserve"> </w:t>
      </w:r>
      <w:r>
        <w:t xml:space="preserve">introducing bias into QC visualisations.</w:t>
      </w:r>
    </w:p>
    <w:bookmarkEnd w:id="28"/>
    <w:bookmarkStart w:id="29" w:name="code-2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Filter low-expressed genes</w:t>
      </w:r>
      <w:r>
        <w:br/>
      </w:r>
      <w:r>
        <w:rPr>
          <w:rStyle w:val="NormalTok"/>
        </w:rPr>
        <w:t xml:space="preserve">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counts_filtered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counts[keep, ]</w:t>
      </w:r>
      <w:r>
        <w:br/>
      </w:r>
      <w:r>
        <w:br/>
      </w:r>
      <w:r>
        <w:rPr>
          <w:rStyle w:val="CommentTok"/>
        </w:rPr>
        <w:t xml:space="preserve"># Construct DESeq2 object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countData =</w:t>
      </w:r>
      <w:r>
        <w:rPr>
          <w:rStyle w:val="NormalTok"/>
        </w:rPr>
        <w:t xml:space="preserve"> counts_filtered,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colData   =</w:t>
      </w:r>
      <w:r>
        <w:rPr>
          <w:rStyle w:val="NormalTok"/>
        </w:rPr>
        <w:t xml:space="preserve"> metadata,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Variance-stabilising transformation</w:t>
      </w:r>
      <w:r>
        <w:br/>
      </w:r>
      <w:r>
        <w:rPr>
          <w:rStyle w:val="NormalTok"/>
        </w:rPr>
        <w:t xml:space="preserve">vst_counts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vst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blind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PCA for sample-level QC</w:t>
      </w:r>
      <w:r>
        <w:br/>
      </w:r>
      <w:r>
        <w:rPr>
          <w:rStyle w:val="NormalTok"/>
        </w:rPr>
        <w:t xml:space="preserve">pca_res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assay</w:t>
      </w:r>
      <w:r>
        <w:rPr>
          <w:rStyle w:val="NormalTok"/>
        </w:rPr>
        <w:t xml:space="preserve">(vst_counts)),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9"/>
    <w:bookmarkStart w:id="30" w:name="results-and-interpretation-2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Filtering reduced the gene set from 58,336 to XX,XXX genes. PCA of</w:t>
      </w:r>
      <w:r>
        <w:t xml:space="preserve"> </w:t>
      </w:r>
      <w:r>
        <w:t xml:space="preserve">VST-normalised counts showed that disease status was the dominant source</w:t>
      </w:r>
      <w:r>
        <w:t xml:space="preserve"> </w:t>
      </w:r>
      <w:r>
        <w:t xml:space="preserve">of variance, with PC1 explaining XX% of variance and showing directional</w:t>
      </w:r>
      <w:r>
        <w:t xml:space="preserve"> </w:t>
      </w:r>
      <w:r>
        <w:t xml:space="preserve">separation from ND through IGT to T2D. No sample outliers were flagged</w:t>
      </w:r>
      <w:r>
        <w:t xml:space="preserve"> </w:t>
      </w:r>
      <w:r>
        <w:t xml:space="preserve">at this stage. The normalised expression matrix was carried forward to</w:t>
      </w:r>
      <w:r>
        <w:t xml:space="preserve"> </w:t>
      </w:r>
      <w:r>
        <w:t xml:space="preserve">differential expression analysis and WGCNA input preparation.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tep-03-differential-expression-analysis"/>
    <w:p>
      <w:pPr>
        <w:pStyle w:val="Heading1"/>
      </w:pPr>
      <w:r>
        <w:t xml:space="preserve">Step 03 – Differential Expression Analysis</w:t>
      </w:r>
    </w:p>
    <w:bookmarkStart w:id="32" w:name="biological-rationale-3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Differential expression analysis was performed using DESeq2 (Love et al.,</w:t>
      </w:r>
      <w:r>
        <w:t xml:space="preserve"> </w:t>
      </w:r>
      <w:r>
        <w:t xml:space="preserve">2014), which uses a negative binomial generalised linear model to account</w:t>
      </w:r>
      <w:r>
        <w:t xml:space="preserve"> </w:t>
      </w:r>
      <w:r>
        <w:t xml:space="preserve">for the overdispersion characteristic of RNA-seq count data. The Wald</w:t>
      </w:r>
      <w:r>
        <w:t xml:space="preserve"> </w:t>
      </w:r>
      <w:r>
        <w:t xml:space="preserve">test was used to test pairwise contrasts between disease states: T2D</w:t>
      </w:r>
      <w:r>
        <w:t xml:space="preserve"> </w:t>
      </w:r>
      <w:r>
        <w:t xml:space="preserve">vs ND, IGT vs ND, and T2D vs IGT. These three comparisons capture both</w:t>
      </w:r>
      <w:r>
        <w:t xml:space="preserve"> </w:t>
      </w:r>
      <w:r>
        <w:t xml:space="preserve">the full extent of T2D-associated transcriptional change and the</w:t>
      </w:r>
      <w:r>
        <w:t xml:space="preserve"> </w:t>
      </w:r>
      <w:r>
        <w:t xml:space="preserve">intermediate dysglycaemic state (IGT), allowing identification of genes</w:t>
      </w:r>
      <w:r>
        <w:t xml:space="preserve"> </w:t>
      </w:r>
      <w:r>
        <w:t xml:space="preserve">that change progressively across the glycaemic spectrum. Multiple testing</w:t>
      </w:r>
      <w:r>
        <w:t xml:space="preserve"> </w:t>
      </w:r>
      <w:r>
        <w:t xml:space="preserve">correction was applied using the Benjamini-Hochberg (BH) procedure at an</w:t>
      </w:r>
      <w:r>
        <w:t xml:space="preserve"> </w:t>
      </w:r>
      <w:r>
        <w:t xml:space="preserve">FDR threshold of 5%, which controls the expected proportion of false</w:t>
      </w:r>
      <w:r>
        <w:t xml:space="preserve"> </w:t>
      </w:r>
      <w:r>
        <w:t xml:space="preserve">discoveries among significant results.</w:t>
      </w:r>
    </w:p>
    <w:bookmarkEnd w:id="32"/>
    <w:bookmarkStart w:id="33" w:name="code-3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Fit DESeq2 model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</w:t>
      </w:r>
      <w:r>
        <w:br/>
      </w:r>
      <w:r>
        <w:br/>
      </w:r>
      <w:r>
        <w:rPr>
          <w:rStyle w:val="CommentTok"/>
        </w:rPr>
        <w:t xml:space="preserve"># Extract pairwise results with BH correction</w:t>
      </w:r>
      <w:r>
        <w:br/>
      </w:r>
      <w:r>
        <w:rPr>
          <w:rStyle w:val="NormalTok"/>
        </w:rPr>
        <w:t xml:space="preserve">res_T2D_vs_ND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contrast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res_IGT_vs_ND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contrast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res_T2D_vs_IGT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contrast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br/>
      </w:r>
      <w:r>
        <w:rPr>
          <w:rStyle w:val="NormalTok"/>
        </w:rPr>
        <w:t xml:space="preserve">)</w:t>
      </w:r>
    </w:p>
    <w:bookmarkEnd w:id="33"/>
    <w:bookmarkStart w:id="34" w:name="results-and-interpretation-3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The T2D vs ND comparison yielded the largest transcriptional response,</w:t>
      </w:r>
      <w:r>
        <w:t xml:space="preserve"> </w:t>
      </w:r>
      <w:r>
        <w:t xml:space="preserve">with XXX significantly differentially expressed genes (padj &lt; 0.05),</w:t>
      </w:r>
      <w:r>
        <w:t xml:space="preserve"> </w:t>
      </w:r>
      <w:r>
        <w:t xml:space="preserve">of which XXX were upregulated and XXX downregulated in T2D. The IGT vs</w:t>
      </w:r>
      <w:r>
        <w:t xml:space="preserve"> </w:t>
      </w:r>
      <w:r>
        <w:t xml:space="preserve">ND comparison produced XX DE genes, consistent with a more modest</w:t>
      </w:r>
      <w:r>
        <w:t xml:space="preserve"> </w:t>
      </w:r>
      <w:r>
        <w:t xml:space="preserve">transcriptional dysregulation at the prediabetic stage. The T2D vs IGT</w:t>
      </w:r>
      <w:r>
        <w:t xml:space="preserve"> </w:t>
      </w:r>
      <w:r>
        <w:t xml:space="preserve">comparison identified XX DE genes, representing genes that change</w:t>
      </w:r>
      <w:r>
        <w:t xml:space="preserve"> </w:t>
      </w:r>
      <w:r>
        <w:t xml:space="preserve">specifically at the transition to overt diabetes. These three gene lists</w:t>
      </w:r>
      <w:r>
        <w:t xml:space="preserve"> </w:t>
      </w:r>
      <w:r>
        <w:t xml:space="preserve">were carried forward to lncRNA prioritisation and WGCNA network analysis.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ep-04-lncrna-prioritisation"/>
    <w:p>
      <w:pPr>
        <w:pStyle w:val="Heading1"/>
      </w:pPr>
      <w:r>
        <w:t xml:space="preserve">Step 04 – lncRNA Prioritisation</w:t>
      </w:r>
    </w:p>
    <w:bookmarkStart w:id="36" w:name="biological-rationale-4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Long non-coding RNAs (lncRNAs) represent a major class of non-coding</w:t>
      </w:r>
      <w:r>
        <w:t xml:space="preserve"> </w:t>
      </w:r>
      <w:r>
        <w:t xml:space="preserve">transcripts increasingly implicated in metabolic disease, including T2D</w:t>
      </w:r>
      <w:r>
        <w:t xml:space="preserve"> </w:t>
      </w:r>
      <w:r>
        <w:t xml:space="preserve">(Fadista et al., 2014; Motterle et al., 2017). To prioritise the most</w:t>
      </w:r>
      <w:r>
        <w:t xml:space="preserve"> </w:t>
      </w:r>
      <w:r>
        <w:t xml:space="preserve">biologically relevant candidates from the full set of differentially</w:t>
      </w:r>
      <w:r>
        <w:t xml:space="preserve"> </w:t>
      </w:r>
      <w:r>
        <w:t xml:space="preserve">expressed lncRNAs, a composite prioritisation score was constructed</w:t>
      </w:r>
      <w:r>
        <w:t xml:space="preserve"> </w:t>
      </w:r>
      <w:r>
        <w:t xml:space="preserve">combining three orthogonal lines of evidence: effect size (absolute</w:t>
      </w:r>
      <w:r>
        <w:t xml:space="preserve"> </w:t>
      </w:r>
      <w:r>
        <w:t xml:space="preserve">log2 fold change), statistical significance (-log10 adjusted p-value),</w:t>
      </w:r>
      <w:r>
        <w:t xml:space="preserve"> </w:t>
      </w:r>
      <w:r>
        <w:t xml:space="preserve">and recurrence across comparisons (whether the lncRNA was differentially</w:t>
      </w:r>
      <w:r>
        <w:t xml:space="preserve"> </w:t>
      </w:r>
      <w:r>
        <w:t xml:space="preserve">expressed in more than one pairwise contrast). Recurrence was weighted</w:t>
      </w:r>
      <w:r>
        <w:t xml:space="preserve"> </w:t>
      </w:r>
      <w:r>
        <w:t xml:space="preserve">because lncRNAs dysregulated across multiple comparisons are more likely</w:t>
      </w:r>
      <w:r>
        <w:t xml:space="preserve"> </w:t>
      </w:r>
      <w:r>
        <w:t xml:space="preserve">to represent genuine disease-associated transcriptional changes rather</w:t>
      </w:r>
      <w:r>
        <w:t xml:space="preserve"> </w:t>
      </w:r>
      <w:r>
        <w:t xml:space="preserve">than comparison-specific noise. All component scores were min-max</w:t>
      </w:r>
      <w:r>
        <w:t xml:space="preserve"> </w:t>
      </w:r>
      <w:r>
        <w:t xml:space="preserve">rescaled to [0,1] before summation to prevent any single metric</w:t>
      </w:r>
      <w:r>
        <w:t xml:space="preserve"> </w:t>
      </w:r>
      <w:r>
        <w:t xml:space="preserve">dominating the ranking.</w:t>
      </w:r>
    </w:p>
    <w:bookmarkEnd w:id="36"/>
    <w:bookmarkStart w:id="37" w:name="code-4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Retain only lncRNA biotypes</w:t>
      </w:r>
      <w:r>
        <w:br/>
      </w:r>
      <w:r>
        <w:rPr>
          <w:rStyle w:val="NormalTok"/>
        </w:rPr>
        <w:t xml:space="preserve">lncrna_biotypes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"lncRNA"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"processed_transcript"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"antisense"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"sense_intronic"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"sense_overlapping"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"non_coding"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"macro_lncRNA"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lnc_genes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gene_annot[gene_annot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lncrna_biotypes, ]</w:t>
      </w:r>
      <w:r>
        <w:br/>
      </w:r>
      <w:r>
        <w:br/>
      </w:r>
      <w:r>
        <w:rPr>
          <w:rStyle w:val="CommentTok"/>
        </w:rPr>
        <w:t xml:space="preserve"># Min-max rescaling function</w:t>
      </w:r>
      <w:r>
        <w:br/>
      </w:r>
      <w:r>
        <w:rPr>
          <w:rStyle w:val="NormalTok"/>
        </w:rPr>
        <w:t xml:space="preserve">rescale01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Composite priority score</w:t>
      </w:r>
      <w:r>
        <w:br/>
      </w:r>
      <w:r>
        <w:rPr>
          <w:rStyle w:val="NormalTok"/>
        </w:rPr>
        <w:t xml:space="preserve">lnc_ranked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lnc_de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score_fc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score_sig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(padj)),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score_recur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(recurrence_score),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priority_score =</w:t>
      </w:r>
      <w:r>
        <w:rPr>
          <w:rStyle w:val="NormalTok"/>
        </w:rPr>
        <w:t xml:space="preserve"> score_fc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score_sig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score_recur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(priority_score))</w:t>
      </w:r>
    </w:p>
    <w:bookmarkEnd w:id="37"/>
    <w:bookmarkStart w:id="38" w:name="results-and-interpretation-4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A total of XXX lncRNAs passed the biotype filter across the three</w:t>
      </w:r>
      <w:r>
        <w:t xml:space="preserve"> </w:t>
      </w:r>
      <w:r>
        <w:t xml:space="preserve">comparisons. After applying the composite scoring approach, 115 lncRNAs</w:t>
      </w:r>
      <w:r>
        <w:t xml:space="preserve"> </w:t>
      </w:r>
      <w:r>
        <w:t xml:space="preserve">were identified as high-priority candidates present in the</w:t>
      </w:r>
      <w:r>
        <w:t xml:space="preserve"> </w:t>
      </w:r>
      <w:r>
        <w:t xml:space="preserve">cross-comparison summary. The top-ranked candidates included MIR217HG,</w:t>
      </w:r>
      <w:r>
        <w:t xml:space="preserve"> </w:t>
      </w:r>
      <w:r>
        <w:t xml:space="preserve">NR2F2-AS1, and LINC01116, which were differentially expressed in</w:t>
      </w:r>
      <w:r>
        <w:t xml:space="preserve"> </w:t>
      </w:r>
      <w:r>
        <w:t xml:space="preserve">multiple comparisons and showed large effect sizes. These candidates</w:t>
      </w:r>
      <w:r>
        <w:t xml:space="preserve"> </w:t>
      </w:r>
      <w:r>
        <w:t xml:space="preserve">were carried forward to WGCNA module assignment and network integration</w:t>
      </w:r>
      <w:r>
        <w:t xml:space="preserve"> </w:t>
      </w:r>
      <w:r>
        <w:t xml:space="preserve">in scripts 05 and 06.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87269fc80a71d3d2d80d854a1fdf59bfe5f38fa"/>
    <w:p>
      <w:pPr>
        <w:pStyle w:val="Heading1"/>
      </w:pPr>
      <w:r>
        <w:t xml:space="preserve">Step 05 – WGCNA Network Construction and Hub Gene Identification</w:t>
      </w:r>
    </w:p>
    <w:bookmarkStart w:id="40" w:name="biological-rationale-5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Weighted Gene Co-expression Network Analysis (WGCNA; Langfelder &amp;</w:t>
      </w:r>
      <w:r>
        <w:t xml:space="preserve"> </w:t>
      </w:r>
      <w:r>
        <w:t xml:space="preserve">Horvath, 2008) was used to identify groups of co-expressed genes</w:t>
      </w:r>
      <w:r>
        <w:t xml:space="preserve"> </w:t>
      </w:r>
      <w:r>
        <w:t xml:space="preserve">(modules) and to determine which genes are most central within each</w:t>
      </w:r>
      <w:r>
        <w:t xml:space="preserve"> </w:t>
      </w:r>
      <w:r>
        <w:t xml:space="preserve">module (hub genes). A signed network was constructed using biweight</w:t>
      </w:r>
      <w:r>
        <w:t xml:space="preserve"> </w:t>
      </w:r>
      <w:r>
        <w:t xml:space="preserve">midcorrelation (bicor) rather than Pearson correlation because bicor</w:t>
      </w:r>
      <w:r>
        <w:t xml:space="preserve"> </w:t>
      </w:r>
      <w:r>
        <w:t xml:space="preserve">is more robust to outliers, which are common in biological RNA-seq</w:t>
      </w:r>
      <w:r>
        <w:t xml:space="preserve"> </w:t>
      </w:r>
      <w:r>
        <w:t xml:space="preserve">data. A soft-thresholding power of 8 was selected because it was the</w:t>
      </w:r>
      <w:r>
        <w:t xml:space="preserve"> </w:t>
      </w:r>
      <w:r>
        <w:t xml:space="preserve">lowest power at which the network approximated scale-free topology</w:t>
      </w:r>
      <w:r>
        <w:t xml:space="preserve"> </w:t>
      </w:r>
      <w:r>
        <w:t xml:space="preserve">(R² = 0.851), satisfying the commonly recommended threshold of R² ≥ 0.80</w:t>
      </w:r>
      <w:r>
        <w:t xml:space="preserve"> </w:t>
      </w:r>
      <w:r>
        <w:t xml:space="preserve">(Zhang &amp; Horvath, 2005). Modules were merged if their eigengene</w:t>
      </w:r>
      <w:r>
        <w:t xml:space="preserve"> </w:t>
      </w:r>
      <w:r>
        <w:t xml:space="preserve">correlation exceeded 0.75 (mergeCutHeight = 0.25) to avoid reporting</w:t>
      </w:r>
      <w:r>
        <w:t xml:space="preserve"> </w:t>
      </w:r>
      <w:r>
        <w:t xml:space="preserve">highly similar modules separately. Hub genes were prioritised using a</w:t>
      </w:r>
      <w:r>
        <w:t xml:space="preserve"> </w:t>
      </w:r>
      <w:r>
        <w:t xml:space="preserve">composite score combining module membership (kME), gene significance</w:t>
      </w:r>
      <w:r>
        <w:t xml:space="preserve"> </w:t>
      </w:r>
      <w:r>
        <w:t xml:space="preserve">with respect to disease status, differential expression evidence, and</w:t>
      </w:r>
      <w:r>
        <w:t xml:space="preserve"> </w:t>
      </w:r>
      <w:r>
        <w:t xml:space="preserve">lncRNA priority score.</w:t>
      </w:r>
    </w:p>
    <w:bookmarkEnd w:id="40"/>
    <w:bookmarkStart w:id="41" w:name="code-5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Sample QC</w:t>
      </w:r>
      <w:r>
        <w:br/>
      </w:r>
      <w:r>
        <w:rPr>
          <w:rStyle w:val="NormalTok"/>
        </w:rPr>
        <w:t xml:space="preserve">gsg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goodSamplesGenes</w:t>
      </w:r>
      <w:r>
        <w:rPr>
          <w:rStyle w:val="NormalTok"/>
        </w:rPr>
        <w:t xml:space="preserve">(datExpr,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datExpr[gsg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goodSamples, 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goodGenes]</w:t>
      </w:r>
      <w:r>
        <w:br/>
      </w:r>
      <w:r>
        <w:br/>
      </w:r>
      <w:r>
        <w:rPr>
          <w:rStyle w:val="CommentTok"/>
        </w:rPr>
        <w:t xml:space="preserve"># Soft-threshold power selection</w:t>
      </w:r>
      <w:r>
        <w:br/>
      </w:r>
      <w:r>
        <w:rPr>
          <w:rStyle w:val="NormalTok"/>
        </w:rPr>
        <w:t xml:space="preserve">sft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pickSoftThreshold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datExpr,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networkType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corFnc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"bicor"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Power = 8 selected (R² = 0.851)</w:t>
      </w:r>
      <w:r>
        <w:br/>
      </w:r>
      <w:r>
        <w:br/>
      </w:r>
      <w:r>
        <w:rPr>
          <w:rStyle w:val="CommentTok"/>
        </w:rPr>
        <w:t xml:space="preserve"># One-step network construction</w:t>
      </w:r>
      <w:r>
        <w:br/>
      </w:r>
      <w:r>
        <w:rPr>
          <w:rStyle w:val="NormalTok"/>
        </w:rPr>
        <w:t xml:space="preserve">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blockwiseModules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datExpr,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networkType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corType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"bicor"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TOMType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minModuleSize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mergeCutHeight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numericLabels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Module membership (kME)</w:t>
      </w:r>
      <w:r>
        <w:br/>
      </w:r>
      <w:r>
        <w:rPr>
          <w:rStyle w:val="NormalTok"/>
        </w:rPr>
        <w:t xml:space="preserve">MEs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moduleEigengenes</w:t>
      </w:r>
      <w:r>
        <w:rPr>
          <w:rStyle w:val="NormalTok"/>
        </w:rPr>
        <w:t xml:space="preserve">(datExpr, 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eigengenes</w:t>
      </w:r>
      <w:r>
        <w:br/>
      </w:r>
      <w:r>
        <w:rPr>
          <w:rStyle w:val="NormalTok"/>
        </w:rPr>
        <w:t xml:space="preserve">kME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(datExpr, MEs,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Composite hub score</w:t>
      </w:r>
      <w:r>
        <w:br/>
      </w:r>
      <w:r>
        <w:rPr>
          <w:rStyle w:val="NormalTok"/>
        </w:rPr>
        <w:t xml:space="preserve">hub_score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(kME))          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(gene_significance) 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(lnc_priority_score)</w:t>
      </w:r>
    </w:p>
    <w:bookmarkEnd w:id="41"/>
    <w:bookmarkStart w:id="42" w:name="results-and-interpretation-5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After goodSamplesGenes QC, 98 samples and 20,042 genes were retained.</w:t>
      </w:r>
      <w:r>
        <w:t xml:space="preserve"> </w:t>
      </w:r>
      <w:r>
        <w:t xml:space="preserve">The network construction identified 30 modules (including the grey</w:t>
      </w:r>
      <w:r>
        <w:t xml:space="preserve"> </w:t>
      </w:r>
      <w:r>
        <w:t xml:space="preserve">unassigned module), ranging in size from XX to X,XXX genes. Eight</w:t>
      </w:r>
      <w:r>
        <w:t xml:space="preserve"> </w:t>
      </w:r>
      <w:r>
        <w:t xml:space="preserve">modules were selected as focus modules for hub gene analysis: the five</w:t>
      </w:r>
      <w:r>
        <w:t xml:space="preserve"> </w:t>
      </w:r>
      <w:r>
        <w:t xml:space="preserve">originally prioritised by module-trait association (brown, yellow, green,</w:t>
      </w:r>
      <w:r>
        <w:t xml:space="preserve"> </w:t>
      </w:r>
      <w:r>
        <w:t xml:space="preserve">red, black) plus three additional modules (midnightblue, darkgreen, tan)</w:t>
      </w:r>
      <w:r>
        <w:t xml:space="preserve"> </w:t>
      </w:r>
      <w:r>
        <w:t xml:space="preserve">identified because they contained the highest-ranked lncRNA candidates.</w:t>
      </w:r>
      <w:r>
        <w:t xml:space="preserve"> </w:t>
      </w:r>
      <w:r>
        <w:t xml:space="preserve">A total of 5,760 genes were scored within these focus modules, and the</w:t>
      </w:r>
      <w:r>
        <w:t xml:space="preserve"> </w:t>
      </w:r>
      <w:r>
        <w:t xml:space="preserve">top 20 hub genes per module were exported for downstream machine learning</w:t>
      </w:r>
      <w:r>
        <w:t xml:space="preserve"> </w:t>
      </w:r>
      <w:r>
        <w:t xml:space="preserve">and enrichment analysis.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4e58653ef33e3c9ff89302be0ddd46923f937c4"/>
    <w:p>
      <w:pPr>
        <w:pStyle w:val="Heading1"/>
      </w:pPr>
      <w:r>
        <w:t xml:space="preserve">Step 06 – lncRNA Network Annotation and Module Integration</w:t>
      </w:r>
    </w:p>
    <w:bookmarkStart w:id="44" w:name="biological-rationale-6"/>
    <w:p>
      <w:pPr>
        <w:pStyle w:val="Heading2"/>
      </w:pPr>
      <w:r>
        <w:t xml:space="preserve">1. Biological Rationale</w:t>
      </w:r>
    </w:p>
    <w:p>
      <w:pPr>
        <w:pStyle w:val="FirstParagraph"/>
      </w:pPr>
      <w:r>
        <w:t xml:space="preserve">Once WGCNA modules were constructed, it was necessary to determine which</w:t>
      </w:r>
      <w:r>
        <w:t xml:space="preserve"> </w:t>
      </w:r>
      <w:r>
        <w:t xml:space="preserve">modules the prioritised lncRNA candidates belonged to and how central</w:t>
      </w:r>
      <w:r>
        <w:t xml:space="preserve"> </w:t>
      </w:r>
      <w:r>
        <w:t xml:space="preserve">they were within those modules. Module membership (kME) reflects how</w:t>
      </w:r>
      <w:r>
        <w:t xml:space="preserve"> </w:t>
      </w:r>
      <w:r>
        <w:t xml:space="preserve">correlated a gene’s expression profile is with the overall module</w:t>
      </w:r>
      <w:r>
        <w:t xml:space="preserve"> </w:t>
      </w:r>
      <w:r>
        <w:t xml:space="preserve">eigengene — a high kME indicates the gene is a core member of the</w:t>
      </w:r>
      <w:r>
        <w:t xml:space="preserve"> </w:t>
      </w:r>
      <w:r>
        <w:t xml:space="preserve">module rather than a peripheral one. Integrating DE-based lncRNA</w:t>
      </w:r>
      <w:r>
        <w:t xml:space="preserve"> </w:t>
      </w:r>
      <w:r>
        <w:t xml:space="preserve">priority scores with WGCNA hub scores provides a multi-evidence ranking</w:t>
      </w:r>
      <w:r>
        <w:t xml:space="preserve"> </w:t>
      </w:r>
      <w:r>
        <w:t xml:space="preserve">that is more robust than either approach alone, as it captures both</w:t>
      </w:r>
      <w:r>
        <w:t xml:space="preserve"> </w:t>
      </w:r>
      <w:r>
        <w:t xml:space="preserve">statistical significance of differential expression and network-level</w:t>
      </w:r>
      <w:r>
        <w:t xml:space="preserve"> </w:t>
      </w:r>
      <w:r>
        <w:t xml:space="preserve">co-expression structure. This integration is particularly important for</w:t>
      </w:r>
      <w:r>
        <w:t xml:space="preserve"> </w:t>
      </w:r>
      <w:r>
        <w:t xml:space="preserve">lncRNAs because their biological function is often inferred from the</w:t>
      </w:r>
      <w:r>
        <w:t xml:space="preserve"> </w:t>
      </w:r>
      <w:r>
        <w:t xml:space="preserve">protein-coding genes they are co-expressed with (guilt-by-association</w:t>
      </w:r>
      <w:r>
        <w:t xml:space="preserve"> </w:t>
      </w:r>
      <w:r>
        <w:t xml:space="preserve">principle).</w:t>
      </w:r>
    </w:p>
    <w:bookmarkEnd w:id="44"/>
    <w:bookmarkStart w:id="45" w:name="code-6"/>
    <w:p>
      <w:pPr>
        <w:pStyle w:val="Heading2"/>
      </w:pPr>
      <w:r>
        <w:t xml:space="preserve">2. Code</w:t>
      </w:r>
    </w:p>
    <w:p>
      <w:pPr>
        <w:pStyle w:val="SourceCode"/>
      </w:pPr>
      <w:r>
        <w:rPr>
          <w:rStyle w:val="CommentTok"/>
        </w:rPr>
        <w:t xml:space="preserve"># Join lncRNA candidates to module assignments</w:t>
      </w:r>
      <w:r>
        <w:br/>
      </w:r>
      <w:r>
        <w:rPr>
          <w:rStyle w:val="NormalTok"/>
        </w:rPr>
        <w:t xml:space="preserve">lnc_integrated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lnc_candidates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(module_assignments,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(hub_scores,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(network_integration_score))</w:t>
      </w:r>
      <w:r>
        <w:br/>
      </w:r>
      <w:r>
        <w:br/>
      </w:r>
      <w:r>
        <w:rPr>
          <w:rStyle w:val="CommentTok"/>
        </w:rPr>
        <w:t xml:space="preserve"># Network integration score combining all evidence</w:t>
      </w:r>
      <w:r>
        <w:br/>
      </w:r>
      <w:r>
        <w:rPr>
          <w:rStyle w:val="NormalTok"/>
        </w:rPr>
        <w:t xml:space="preserve">lnc_integrated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lnc_integrated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network_integration_score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(priority_score)  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(kME))        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(gene_significance)</w:t>
      </w:r>
      <w:r>
        <w:br/>
      </w:r>
      <w:r>
        <w:rPr>
          <w:rStyle w:val="NormalTok"/>
        </w:rPr>
        <w:t xml:space="preserve">  )</w:t>
      </w:r>
    </w:p>
    <w:bookmarkEnd w:id="45"/>
    <w:bookmarkStart w:id="46" w:name="results-and-interpretation-6"/>
    <w:p>
      <w:pPr>
        <w:pStyle w:val="Heading2"/>
      </w:pPr>
      <w:r>
        <w:t xml:space="preserve">3. Results and Interpretation</w:t>
      </w:r>
    </w:p>
    <w:p>
      <w:pPr>
        <w:pStyle w:val="FirstParagraph"/>
      </w:pPr>
      <w:r>
        <w:t xml:space="preserve">All 115 prioritised lncRNA candidates were successfully assigned to</w:t>
      </w:r>
      <w:r>
        <w:t xml:space="preserve"> </w:t>
      </w:r>
      <w:r>
        <w:t xml:space="preserve">WGCNA modules. The top-ranked candidates by network integration score</w:t>
      </w:r>
      <w:r>
        <w:t xml:space="preserve"> </w:t>
      </w:r>
      <w:r>
        <w:t xml:space="preserve">were predominantly located in the midnightblue, brown, and green</w:t>
      </w:r>
      <w:r>
        <w:t xml:space="preserve"> </w:t>
      </w:r>
      <w:r>
        <w:t xml:space="preserve">modules. MIR217HG (module: green) and NR2F2-AS1 (module: brown) were</w:t>
      </w:r>
      <w:r>
        <w:t xml:space="preserve"> </w:t>
      </w:r>
      <w:r>
        <w:t xml:space="preserve">among the highest-scoring candidates, combining strong differential</w:t>
      </w:r>
      <w:r>
        <w:t xml:space="preserve"> </w:t>
      </w:r>
      <w:r>
        <w:t xml:space="preserve">expression evidence with high module membership values, suggesting they</w:t>
      </w:r>
      <w:r>
        <w:t xml:space="preserve"> </w:t>
      </w:r>
      <w:r>
        <w:t xml:space="preserve">are core members of their respective co-expression modules rather than</w:t>
      </w:r>
      <w:r>
        <w:t xml:space="preserve"> </w:t>
      </w:r>
      <w:r>
        <w:t xml:space="preserve">peripheral assignments. The guilt-by-association principle implies that</w:t>
      </w:r>
      <w:r>
        <w:t xml:space="preserve"> </w:t>
      </w:r>
      <w:r>
        <w:t xml:space="preserve">these lncRNAs share regulatory or functional relationships with the</w:t>
      </w:r>
      <w:r>
        <w:t xml:space="preserve"> </w:t>
      </w:r>
      <w:r>
        <w:t xml:space="preserve">protein-coding hub genes in their modules, which were characterised by</w:t>
      </w:r>
      <w:r>
        <w:t xml:space="preserve"> </w:t>
      </w:r>
      <w:r>
        <w:t xml:space="preserve">GO/KEGG enrichment in script 07.</w:t>
      </w:r>
    </w:p>
    <w:p>
      <w:r>
        <w:pict>
          <v:rect style="width:0;height:1.5pt" o:hralign="center" o:hrstd="t" o:hr="t"/>
        </w:pic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GSE164416 – Pancreatic Islet T2D Co-expression Analysis: Critical Pipeline Steps</dc:title>
  <dc:creator>Your Name</dc:creator>
  <cp:keywords/>
  <dcterms:created xsi:type="dcterms:W3CDTF">2026-08-16T15:53:44Z</dcterms:created>
  <dcterms:modified xsi:type="dcterms:W3CDTF">2026-08-16T15:53:44Z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2026-08-16</vt:lpwstr>
  </property>
  <property fmtid="{D5CDD505-2E9C-101B-9397-08002B2CF9AE}" pid="3" name="output">
    <vt:lpwstr/>
  </property>
</Properties>
</file>