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Chapter 5: Discussion</w:t>
      </w:r>
    </w:p>
    <w:p>
      <w:pPr>
        <w:pStyle w:val="Heading2"/>
        <w:spacing w:after="120" w:before="240"/>
      </w:pPr>
      <w:r>
        <w:t xml:space="preserve">5.1 Overview</w:t>
      </w:r>
    </w:p>
    <w:p>
      <w:pPr>
        <w:spacing w:after="200" w:line="360"/>
        <w:jc w:val="both"/>
      </w:pPr>
      <w:r>
        <w:t xml:space="preserve">This study set out to construct a genome-wide co-expression network from bulk islet RNA-seq spanning the normoglycaemic, impaired glucose tolerance (IGT), and type 2 diabetic (T2D) continuum, and to use it to prioritise both protein-coding hub genes and long non-coding RNA (lncRNA) candidates for T2D-associated islet dysfunction, alongside a machine learning assessment of whether this network structure carries predictive as well as correlational information. Five results stand out and structure this chapter: a graded, T2D-dominated pattern of differential expression; a small set of hub genes and lncRNAs independently recovered by three methodologically distinct approaches (differential expression, WGCNA network centrality, and machine learning feature importance); a functional-enrichment picture that is immune-dominated at the whole-transcriptome level but reveals a distinct ion-transport/calcium-signalling signature specific to the single module most associated with T2D; a machine learning result that separates T2D from normoglycaemia almost perfectly but struggles with IGT; and a stability analysis showing that this classification performance is robust to resampling even though the specific named hub genes are not. Each is considered in turn against the literature reviewed in Chapter 1 and against more specific, gene-level literature identified during this analysis, before turning to the concrete actions this body of results motivates.</w:t>
      </w:r>
    </w:p>
    <w:p>
      <w:pPr>
        <w:pStyle w:val="Heading2"/>
        <w:spacing w:after="120" w:before="240"/>
      </w:pPr>
      <w:r>
        <w:t xml:space="preserve">5.2 The Graded, T2D-Dominated Differential Expression Signal</w:t>
      </w:r>
    </w:p>
    <w:p>
      <w:pPr>
        <w:spacing w:after="200" w:line="360"/>
        <w:jc w:val="both"/>
      </w:pPr>
      <w:r>
        <w:t xml:space="preserve">The differential expression results (Section 3.2) showed a transcriptional signal that scaled with disease severity (604 DEGs in T2D vs ND, 245 in T2D vs IGT, 193 in IGT vs ND) and that was consistently dominated by upregulation rather than repression at every stage of the continuum. This graded pattern is consistent with the view, established in Chapter 1, that islet dysfunction is a cumulative, stress-driven process rather than a discrete switch [1], [8], and it reproduces, in an independent reanalysis, the central premise of Wigger et al.'s original study of this same cohort: that donors traverse heterogeneous but broadly ordered trajectories toward T2D rather than falling into a binary diabetic/non-diabetic state [31]. The consistent upregulation bias across all three contrasts is also consistent with the immune and stress-response dominance of the enrichment results discussed in Section 5.5, since induced inflammatory and stress programmes, rather than the loss of a fixed set of genes, are the more parsimonious explanation for a skew of this direction and magnitude.</w:t>
      </w:r>
    </w:p>
    <w:p>
      <w:pPr>
        <w:spacing w:after="200" w:line="360"/>
        <w:jc w:val="both"/>
      </w:pPr>
      <w:r>
        <w:t xml:space="preserve">That the ten most significant T2D vs ND genes included canonical beta-cell identity and metabolic genes (SLC2A2, ALDOB) alongside a single, uncharacterised lncRNA (ENSG00000284653, log2FC = 5.79) that later re-emerges as both the top network-integration candidate (Section 3.5) and the single most important classifier feature by both Gini importance and SHAP value (Section 3.6) is, on its own, one of the more striking results in this thesis and is treated as the central finding of the network-integration approach in Section 5.3. That all ten of these genes retained significance and direction of effect under the covariate-adjusted model further supports reading this signal as disease-associated rather than as an artefact of the cohort's age or BMI imbalance, addressing directly the concern about confounding raised in Chapter 1 regarding observational islet cohorts more generally.</w:t>
      </w:r>
    </w:p>
    <w:p>
      <w:pPr>
        <w:pStyle w:val="Heading2"/>
        <w:spacing w:after="120" w:before="240"/>
      </w:pPr>
      <w:r>
        <w:t xml:space="preserve">5.3 Convergent Hub Genes and lncRNAs: What the Literature Already Knows, and What It Does Not</w:t>
      </w:r>
    </w:p>
    <w:p>
      <w:pPr>
        <w:spacing w:after="200" w:line="360"/>
        <w:jc w:val="both"/>
      </w:pPr>
      <w:r>
        <w:t xml:space="preserve">The clearest methodological success of this thesis is that three independent analytical lenses — differential expression, WGCNA intramodular connectivity, and machine learning feature importance — converge on an overlapping, small set of genes: the lncRNA ENSG00000284653, and the protein-coding hub genes DKK3, GABRA2, KCNAB2, and ACLY, alongside G6PC2, HSD17B13, SLC26A4, and PLA2G2A from the WGCNA analysis specifically. Convergence of this kind across differential expression, network topology, and classifier importance is precisely the pattern the literature reviewed in Chapter 1 identifies as the strongest available evidence short of functional validation [16], since it shows that a candidate's disease association is not an artefact of any one statistical framework [45]. It is therefore worth asking, gene by gene, how much of this convergence recapitulates known biology and how much represents a genuinely new signal — a distinction this dissertation's Results chapter does not itself draw out, since it stops at reporting the convergence.</w:t>
      </w:r>
    </w:p>
    <w:p>
      <w:pPr>
        <w:spacing w:after="200" w:line="360"/>
        <w:jc w:val="both"/>
      </w:pPr>
      <w:r>
        <w:t xml:space="preserve">G6PC2, a darkgreen-module hub gene alongside GABRA2, is the clearest case of recapitulation rather than novelty. It is among the most robustly replicated fasting-glucose loci in human genetics, first identified by GWAS and subsequently shown directly to act as a negative regulator of basal glucose-stimulated insulin secretion in beta cells [55]. That this network-based, unsupervised co-expression analysis independently rediscovered G6PC2 as a hub gene in the same darkgreen module as GABRA2 — a module the enrichment analysis separately identified as hormone-secretion specific (Section 3.7) — is a strong internal consistency check on the network construction itself: a well-established beta-cell identity and insulin-secretion gene falls out of the analysis exactly where the underlying biology says it should.</w:t>
      </w:r>
    </w:p>
    <w:p>
      <w:pPr>
        <w:spacing w:after="200" w:line="360"/>
        <w:jc w:val="both"/>
      </w:pPr>
      <w:r>
        <w:t xml:space="preserve">DKK3, the leading hub gene in the brown module, has a more direct and more recent literature trail than the Chapter 1 review anticipated. DKK3 was nominated as a candidate T2D susceptibility gene from genome-wide association data and taken forward as the subject of a dedicated, EU-funded mechanistic programme investigating its role in Wnt signalling and beta-cell function [56], and its expression has been reported directly in a subset of adult human pancreatic beta cells, marking it as one of the few molecules capable of subdividing the beta-cell population [57]. A 2026 study has since reported that Wnt3a itself is downregulated in T2D pancreatic tissue and that restoring Wnt3a rescues beta-cell dysfunction in cellular and animal models [58], which gives DKK3's appearance as a brown-module hub gene a plausible, currently active mechanistic frame: a disrupted Wnt-signalling axis in T2D islets, of which DKK3 may be one node. This is arguably the strongest candidate for prioritised functional follow-up arising from this thesis (Section 5.9), precisely because independent genetic, expression, and now mechanistic evidence already converge on the same pathway.</w:t>
      </w:r>
    </w:p>
    <w:p>
      <w:pPr>
        <w:spacing w:after="200" w:line="360"/>
        <w:jc w:val="both"/>
      </w:pPr>
      <w:r>
        <w:t xml:space="preserve">ACLY (black module) and GABRA2 (darkgreen module) sit between these two extremes. ACLY is known to be highly expressed in human and rat islets and has been mechanistically linked to palmitate-induced beta-cell apoptosis and to insulin secretion via the citrate–acetoacetate pathway, although one study found its knockdown did not itself impair insulin secretion or glucose flux, leaving its precise functional necessity in the beta cell unresolved [59]. Its recovery here as a T2D-associated hub gene is therefore consistent with, but does not resolve, an existing debate in the literature about its functional role, which the present network-level analysis cannot itself adjudicate. GABRA2 encodes a subunit of the GABA-A receptor; GABA-A receptor activity has been functionally characterised in human beta cells more broadly, where it modulates insulin secretion, but the literature search conducted for this discussion did not identify prior work specifically implicating the GABRA2 subunit, as distinct from the receptor complex generally, in islet dysfunction. Its strong downregulation in T2D vs ND (log2FC = −3.75) and status as the top dark-green hub gene may therefore represent a genuinely new, subunit-specific observation rather than a restatement of known GABA-A biology, though this reading should be treated cautiously given the module-instability findings discussed in Section 5.6.</w:t>
      </w:r>
    </w:p>
    <w:p>
      <w:pPr>
        <w:spacing w:after="200" w:line="360"/>
        <w:jc w:val="both"/>
      </w:pPr>
      <w:r>
        <w:t xml:space="preserve">KCNAB2, HSD17B13, SLC26A4, and PLA2G2A are the least literature-anchored of the named hub genes. KCNAB2 encodes a voltage-gated potassium channel beta subunit, placing it in the same functional family as the well-established T2D islet channel genes KCNQ1 and KCNJ11, but the specific paralogue does not appear to have prior islet-specific characterisation, making its emergence here as the top midnightblue hub gene (kME = 0.76) — in the single module most associated with T2D status and independently enriched for ion-transport and calcium-signalling terms (Section 5.5) — a plausible but currently untested extension of established K⁺-channel biology in islets. HSD17B13 is a hydroxysteroid dehydrogenase best known for its role in non-alcoholic fatty liver disease, with a comparatively small existing literature connecting its variants to fasting glucose; SLC26A4 (pendrin) is characterised almost exclusively in the thyroid and inner ear and has, to this analysis's knowledge, no established islet role; and PLA2G2A is linked to insulin resistance and inflammatory lipid signalling systemically but not specifically to islet dysfunction, and was also the one named hub gene that lost significance under the covariate-adjusted model (Section 3.2), warranting particular caution. These three or four genes are best read as hypotheses generated by, rather than confirmed by, this analysis.</w:t>
      </w:r>
    </w:p>
    <w:p>
      <w:pPr>
        <w:spacing w:after="200" w:line="360"/>
        <w:jc w:val="both"/>
      </w:pPr>
      <w:r>
        <w:t xml:space="preserve">ENSG00000284653 itself is the most striking case. It carries no approved gene symbol and no identifiable prior functional literature under its Ensembl accession, meaning that the single strongest, most reproducible signal in this entire thesis — top DEG by effect size, top network-integration score, and top classifier feature by two independent importance measures — is an essentially uncharacterised transcript. This is not a weakness of the analysis; it is arguably its central positive result, and a direct, concrete illustration of the gap identified in Chapter 1, Section 1.7: that current annotation-dependent methods (GO/KEGG enrichment chief among them) are structurally unable to contextualise a finding like this, however strong its statistical support, until it receives targeted molecular characterisation.</w:t>
      </w:r>
    </w:p>
    <w:p>
      <w:pPr>
        <w:pStyle w:val="Heading2"/>
        <w:spacing w:after="120" w:before="240"/>
      </w:pPr>
      <w:r>
        <w:t xml:space="preserve">5.4 Network Integration of Prioritised lncRNAs</w:t>
      </w:r>
    </w:p>
    <w:p>
      <w:pPr>
        <w:spacing w:after="200" w:line="360"/>
        <w:jc w:val="both"/>
      </w:pPr>
      <w:r>
        <w:t xml:space="preserve">The wider lncRNA network-integration results (Section 3.5) reinforce the picture from Section 5.3 at a larger scale. That 77% of prioritised lncRNAs mapped to a WGCNA module at all, and that assignment concentrated most heavily in yellow (22), brown (12), and green (11) by raw candidate count, suggests these modules are not narrowly protein-coding structures with a few incidental non-coding passengers, but genuinely mixed regulatory neighbourhoods in which lncRNA and protein-coding disease signal co-locate. This raw-count ranking is not the same list as the modules most strongly associated with T2D status in Section 3.4 (midnightblue, darkgreen, and yellow); only yellow appears on both. Brown, despite receiving the second-largest share of lncRNA candidates, is not itself significantly T2D-correlated (r = 0.09, p = 0.35) — its lncRNA content should be read as sitting in a large, DE-active module rather than as evidence for a brown-specific disease signal, and darkgreen, despite being the second most trait-correlated module overall, received only 3 lncRNA candidates, too few to support any module-level lncRNA claim there. This is consistent with the candidate-driven literature reviewed in Chapter 1, which has repeatedly found individual lncRNAs positioned near, and co-regulated with, protein-coding transcription factors and effector genes relevant to beta-cell identity and stress response [18], [25], rather than distributed at random across the transcriptome. The concentration of the six highest network-integration scores in midnightblue specifically, led again by ENSG00000284653 (score = 0.94), together with TTLL10-AS1, LINC01116, and LINC01767, extends this thesis's central convergence finding from a single transcript to a small cluster of co-regulated, largely uncharacterised lncRNAs sharing a module with KCNAB2, SLC26A4, and the ion-transport enrichment signature described in Section 5.5 — a coherent, if currently unannotated, T2D-associated regulatory neighbourhood.</w:t>
      </w:r>
    </w:p>
    <w:p>
      <w:pPr>
        <w:spacing w:after="200" w:line="360"/>
        <w:jc w:val="both"/>
      </w:pPr>
      <w:r>
        <w:t xml:space="preserve">Two further candidates are worth naming individually rather than leaving folded into these module-level counts. CACNB2-AS2 is yellow’s top network-integration hub (score = 0.63, hub_rank_lncRNA = 1) and is recurrent across two comparisons (T2D vs ND, T2D vs IGT). It is antisense to CACNB2, encoding the L-type calcium channel β2 subunit that gates the Ca²⁺ influx driving insulin granule exocytosis, which places it in the same functional territory as midnightblue’s KCNAB2/SLC26A4 ion-transport signature (Section 5.5) — a plausible molecular thread behind yellow’s otherwise functionally silent, annotation-blind enrichment result discussed below. LINC01915 sits in tan (hub_rank_lncRNA = 2, network-integration score = 0.52, review-confidence tier) and is likewise recurrent across two comparisons, but has no established islet or metabolic function in the literature; its absence from the discussion elsewhere in this thesis is an accurate reflection of the evidence rather than an oversight. A third candidate, MIR217HG, should appear in this section and does not, for a reason worth stating plainly: it is absent from the network-integration results entirely because the pipeline step that attaches a DE prioritisation score to each lncRNA ahead of network scoring (Section 2.5) draws that score from the T2D-vs-ND comparison only, and MIR217HG is not a T2D-vs-ND DEG — it is DE-significant in IGT vs ND, where it is the rank-1 candidate (prioritisation score = 1.0, the maximum in that comparison), and in T2D vs IGT. The join finds no match, the gene receives a missing prioritisation score, and it is filtered out before network scoring runs, despite sitting in the green module, which is itself significantly T2D-associated (r = 0.24, p = 0.018). This is a coverage gap in the pipeline rather than a negative result, and the network-integration figures in this chapter should be read with that gap in mind until the underlying join is corrected to draw on all three comparisons. MIR217HG is, on biological grounds, one of the more compelling candidates this thesis has produced: it hosts miR-217, a beta-cell-enriched microRNA repeatedly linked to beta-cell dysfunction and senescence via PTEN/PI3K-AKT signalling and SIRT1 suppression under metabolic stress, and its peak at the IGT-vs-ND transition rather than in overt T2D is consistent with a role as an early beta-cell stress marker, active before diabetes is established.</w:t>
      </w:r>
    </w:p>
    <w:p>
      <w:pPr>
        <w:spacing w:after="200" w:line="360"/>
        <w:jc w:val="both"/>
      </w:pPr>
      <w:r>
        <w:t xml:space="preserve">The classification of only 6 lncRNAs as high-confidence and 14 as medium-confidence, against 62 requiring further review and 33 unscorable, is an honest quantitative statement of how far candidate-level lncRNA network integration remains from a mature methodology — though, as the MIR217HG case above shows, the “unscorable” count currently conflates genes that truly lack module-membership data with genes like MIR217HG that have a module assignment but were dropped by the single-comparison scoring join, so that figure should be treated as an upper bound pending a pipeline fix, and echoes the annotation-gap problem raised throughout Chapter 1 [18], [25]: unlike protein-coding hub genes, whose plausibility can be partly assessed against decades of pathway annotation, most of these lncRNA candidates cannot yet be sanity-checked against any comparable body of prior functional evidence, leaving network position and recurrence as the only available evidence for the large majority of them.</w:t>
      </w:r>
    </w:p>
    <w:p>
      <w:pPr>
        <w:pStyle w:val="Heading2"/>
        <w:spacing w:after="120" w:before="240"/>
      </w:pPr>
      <w:r>
        <w:t xml:space="preserve">5.5 Functional Enrichment: An Expected Immune Signal, an Informative Ion-Transport Signature, and an Instructive Null Result</w:t>
      </w:r>
    </w:p>
    <w:p>
      <w:pPr>
        <w:spacing w:after="200" w:line="360"/>
        <w:jc w:val="both"/>
      </w:pPr>
      <w:r>
        <w:t xml:space="preserve">The dominance of adaptive and humoral immune terms in the whole-transcriptome DEG enrichment (Section 3.7) is, as the Results chapter itself notes, a confirmatory rather than novel finding, and it sits comfortably alongside the inflammatory and cytokine-driven mechanisms already established for T2D islets, including IL6/IL11-driven fibrosis [10] and the broader multi-omic cytokine and ER-stress response mapping reviewed in Chapter 1 [9]. It is also consistent with more recent bulk and single-cell work specifically implicating immune infiltration and pyroptosis-related signatures in T2D islet tissue using an independent dataset, which reached a similar immune-dominated conclusion by a different analytical route [19]. The brown module's own immune/adhesion enrichment (angiogenesis, T-cell activation, leukocyte activation) is consistent with this whole-transcriptome picture and situates DKK3 and PLA2G2A, its two named hub genes, within an inflamed rather than a purely metabolic module context — worth bearing in mind when interpreting DKK3's Wnt-pathway relevance discussed above, since Wnt and inflammatory signalling are not mutually exclusive in this tissue.</w:t>
      </w:r>
    </w:p>
    <w:p>
      <w:pPr>
        <w:spacing w:after="200" w:line="360"/>
        <w:jc w:val="both"/>
      </w:pPr>
      <w:r>
        <w:t xml:space="preserve">The more informative result is the divergence of midnightblue — the single module most strongly associated with T2D status — from this immune-dominated pattern. Its enrichment for regulation of cytosolic calcium ion concentration, calcium ion transmembrane transporter activity, excitatory ligand-gated ion channel activity, and hormone activity is mechanistically coherent with its own leading hub genes, KCNAB2 (a potassium channel subunit) and SLC26A4 (an anion transporter), and points to a disrupted ion-transport and stimulus-secretion coupling axis as the most disease-specific signal in this dataset, distinct from the immune signal that dominates elsewhere. This reading is compatible with, and extends, the more general 2026 evidence that islet dysfunction in T2D reflects coordinated disruption across several intracellular systems simultaneously rather than a single pathway, recently demonstrated at single-cell resolution across a much larger islet cohort [60]; the present results narrow that general picture to a specific, network-derived ion-transport module in this particular dataset.</w:t>
      </w:r>
    </w:p>
    <w:p>
      <w:pPr>
        <w:spacing w:after="200" w:line="360"/>
        <w:jc w:val="both"/>
      </w:pPr>
      <w:r>
        <w:t xml:space="preserve">The absence of any significant GO or KEGG term in the yellow module is the more unexpected result, precisely because yellow is large, significantly trait-correlated (r = 0.34, BH-adjusted p = 0.006), and — as Section 3.5 shows — the single richest module for prioritised lncRNAs (22 of 89 assigned candidates). Read alongside that lncRNA enrichment, the null functional-enrichment result for yellow is not evidence of an absent biological signal so much as a demonstration of exactly the annotation blindness this thesis's introduction identified: Entrez/GO-based enrichment is built almost entirely on protein-coding gene annotation, and a module whose disease-relevant content is disproportionately non-coding will appear functionally silent under that method regardless of its true biological coherence. Yellow is, in that sense, the module-level analogue of the ENSG00000284653 finding in Section 5.3: a real, trait-correlated signal that current annotation tools cannot yet describe.</w:t>
      </w:r>
    </w:p>
    <w:p>
      <w:pPr>
        <w:pStyle w:val="Heading2"/>
        <w:spacing w:after="120" w:before="240"/>
      </w:pPr>
      <w:r>
        <w:t xml:space="preserve">5.6 Machine Learning Classification: Strong Binary Separability and a Genuinely Hard IGT Problem</w:t>
      </w:r>
    </w:p>
    <w:p>
      <w:pPr>
        <w:spacing w:after="200" w:line="360"/>
        <w:jc w:val="both"/>
      </w:pPr>
      <w:r>
        <w:t xml:space="preserve">The near-perfect ND-vs-T2D classification (mean AUC 0.99 across four independently specified model families) is a strong, model-agnostic confirmation that the underlying transcriptional separation between these two disease states is large relative to within-group noise, and the fact that this held under four architecturally different classifiers (linear, margin-based, and two ensemble tree methods) rather than one is itself informative, since it excludes model-specific overfitting as an explanation. The substantial drop in three-class performance (mean balanced accuracy 0.69) once IGT is included, with IGT the most poorly resolved class in both precision and recall, converges with the qualitative picture from Sections 5.2–5.4: IGT is not a transcriptionally distinct third state so much as an intermediate position on a continuum whose endpoints (ND and T2D) are well separated but whose middle is not, a reading directly consistent with the view that there is more than one route into, and through, T2D rather than a single linear staging system [49]. A 2026 study using integrated transcriptomics and Mendelian randomisation across this exact ND–IGT–T2D staging identified a progressive biomarker panel in which one gene had already reached most of its full effect size at the IGT stage while the group-level separability of IGT itself remained comparatively weak [61], a pattern broadly compatible with the present results and suggesting that IGT's poor classifiability may be a property of the biology being sampled rather than of this particular dataset or pipeline. A contemporaneous machine learning classifier trained on single-cell rather than bulk islet RNA-seq to distinguish diabetic from healthy beta cells achieved strong binary performance using an entirely different data modality [62], which is a useful, independent point of comparison for the binary result reported here, though it does not by itself resolve whether single-cell resolution would improve three-class IGT separability specifically.</w:t>
      </w:r>
    </w:p>
    <w:p>
      <w:pPr>
        <w:spacing w:after="200" w:line="360"/>
        <w:jc w:val="both"/>
      </w:pPr>
      <w:r>
        <w:t xml:space="preserve">The convergence of RF- and SHAP-based feature importance on ENSG00000284653, DKK3, GABRA2, KCNAB2, and ACLY — the same genes identified independently by differential expression and WGCNA — is, again, the central positive result of this analysis, and is treated in full in Section 5.3.</w:t>
      </w:r>
    </w:p>
    <w:p>
      <w:pPr>
        <w:pStyle w:val="Heading2"/>
        <w:spacing w:after="120" w:before="240"/>
      </w:pPr>
      <w:r>
        <w:t xml:space="preserve">5.7 What the Nested Cross-Validation Actually Shows</w:t>
      </w:r>
    </w:p>
    <w:p>
      <w:pPr>
        <w:spacing w:after="200" w:line="360"/>
        <w:jc w:val="both"/>
      </w:pPr>
      <w:r>
        <w:t xml:space="preserve">The nested cross-validation (Section 3.8) draws an important distinction that this discussion treats as a finding in its own right rather than only a limitation: classifier performance (AUC never below 0.84 across five resampled splits) is stable, while the specific identity of hub genes within smaller modules is not, with no overlap at all between the top "black"-module genes identified in different resampling runs. This is consistent with a well-documented property of WGCNA-type network construction: module composition, particularly for smaller modules, is sensitive to which samples are included when the total sample size is itself modest (~80 per training fold here), and module colour labels are assigned independently each run and carry no fixed correspondence across analyses [46]. It follows that the aggregate finding that this islet transcriptome contains strong, disease-predictive network structure is robust, while individual gene-level claims — beyond the genes independently corroborated by differential expression and machine learning in Section 5.3 — should be read as hypotheses generated from the full dataset rather than as independently reconfirmed candidates, exactly as Chapter 4 already concludes. Consensus or bootstrap-aggregated WGCNA variants, which stabilise module assignment by combining networks built across resampled subsets before a single hub ranking is produced, are an available and comparatively low-cost methodological response to this specific instability and are proposed as a concrete next step in Section 5.9 rather than treated only as an acknowledged constraint.</w:t>
      </w:r>
    </w:p>
    <w:p>
      <w:pPr>
        <w:pStyle w:val="Heading2"/>
        <w:spacing w:after="120" w:before="240"/>
      </w:pPr>
      <w:r>
        <w:t xml:space="preserve">5.8 Situating These Results Relative to Wigger et al. and the Wider Network-Analysis Literature</w:t>
      </w:r>
    </w:p>
    <w:p>
      <w:pPr>
        <w:spacing w:after="200" w:line="360"/>
        <w:jc w:val="both"/>
      </w:pPr>
      <w:r>
        <w:t xml:space="preserve">Because this analysis reuses the Wigger et al. cohort in full, it is best read as a co-expression and machine-learning re-analysis of that dataset rather than as an independent replication in new samples, and its results should be interpreted with that relationship in mind. Wigger et al.'s own analysis emphasised heterogeneous beta-cell trajectories using multi-omic, donor-level modelling rather than a genome-wide co-expression network [31]; the present results are complementary to, rather than a replication of, that approach, in that they show the same donor cohort also supports a signed WGCNA network with biologically coherent, trait-associated modules and a small set of hub genes independently corroborated by differential expression and machine learning. Relative to the other network studies reviewed in Chapter 1 — Li et al.'s WGCNA analysis of T2D islets [16], Lu et al.'s glucotoxicity-focused network identifying IL6, IL11, and PTGS2 as inflammatory hub genes [10], and Koltes et al.'s network analysis in mouse islets identifying C1QL3 [21] — this thesis's principal methodological addition is the systematic, weighted integration of lncRNA-specific evidence (differential expression, recurrence, module-trait correlation, and hub centrality) into the same network framework, rather than treating lncRNAs as ordinary nodes to be filtered out at the reporting stage, or excluding them from network analysis altogether, as those three studies did. The results in Sections 5.3–5.4 suggest that this extension was worthwhile: it surfaced a coherent, module-localised lncRNA signal (led by ENSG00000284653) that a protein-coding-only pipeline, of the kind used in each of those three prior studies, would not have reported at all.</w:t>
      </w:r>
    </w:p>
    <w:p>
      <w:pPr>
        <w:pStyle w:val="Heading2"/>
        <w:spacing w:after="120" w:before="240"/>
      </w:pPr>
      <w:r>
        <w:t xml:space="preserve">5.9 Further Actions Required</w:t>
      </w:r>
    </w:p>
    <w:p>
      <w:pPr>
        <w:spacing w:after="200" w:line="360"/>
        <w:jc w:val="both"/>
      </w:pPr>
      <w:r>
        <w:t xml:space="preserve">Several concrete next steps follow directly from the results above, in addition to the broader validation needs already identified in Chapter 4.</w:t>
      </w:r>
    </w:p>
    <w:p>
      <w:pPr>
        <w:spacing w:after="200" w:line="360"/>
        <w:jc w:val="both"/>
      </w:pPr>
      <w:r>
        <w:t xml:space="preserve">First, DKK3 and its Wnt-pathway context merit prioritised, targeted follow-up ahead of the other hub genes, given the convergence of this thesis's network result with an existing genetic-association programme [56], prior evidence of subset-specific beta-cell expression [57], and a very recent, mechanistically direct demonstration that Wnt3a restoration rescues beta-cell dysfunction in T2D models [58]. A qPCR and, where feasible, functional perturbation study of DKK3 in an independent islet or beta-cell model, examined alongside Wnt3a and downstream Wnt-pathway readouts, is a well-motivated, tractable piece of follow-up work.</w:t>
      </w:r>
    </w:p>
    <w:p>
      <w:pPr>
        <w:spacing w:after="200" w:line="360"/>
        <w:jc w:val="both"/>
      </w:pPr>
      <w:r>
        <w:t xml:space="preserve">Second, ENSG00000284653 requires basic molecular characterisation before it can be interpreted at all: strand-specific full-length transcript sequencing or long-read profiling to resolve its structure, RT-qPCR validation of its differential expression in an independent sample set, and, if feasible, knockdown or overexpression in an islet or beta-cell model to establish a first functional phenotype. Given that it is simultaneously this thesis's top DEG, top network-integration candidate, and top classifier feature, it represents the single highest-value target for wet-lab follow-up arising from this analysis, ahead of any of the named protein-coding hub genes.</w:t>
      </w:r>
    </w:p>
    <w:p>
      <w:pPr>
        <w:spacing w:after="200" w:line="360"/>
        <w:jc w:val="both"/>
      </w:pPr>
      <w:r>
        <w:t xml:space="preserve">Third, the module-instability finding in Section 5.7 motivates re-running the network construction using a consensus or bootstrap-aggregated WGCNA approach, or an alternative co-expression framework designed for smaller cohorts [54], to establish which hub genes and lncRNAs are stable to resampling rather than artefacts of one partition of a modestly sized cohort, before committing further validation resources to any single candidate beyond those already cross-validated by differential expression and machine learning in Section 5.3.</w:t>
      </w:r>
    </w:p>
    <w:p>
      <w:pPr>
        <w:spacing w:after="200" w:line="360"/>
        <w:jc w:val="both"/>
      </w:pPr>
      <w:r>
        <w:t xml:space="preserve">Fourth, the poor three-class resolution of IGT (Section 5.6) should be addressed directly rather than left as a performance ceiling: this could take the form of a targeted, IGT-focused feature-selection analysis restricted to IGT-vs-ND and IGT-vs-T2D contrasts individually, recruitment or identification of a larger, IGT-enriched independent cohort, or comparison against the recent Mendelian-randomisation-based progressive biomarker panel identified across the same three-stage continuum [61], to establish whether any of its candidates improve IGT separability specifically when applied to this dataset.</w:t>
      </w:r>
    </w:p>
    <w:p>
      <w:pPr>
        <w:spacing w:after="200" w:line="360"/>
        <w:jc w:val="both"/>
      </w:pPr>
      <w:r>
        <w:t xml:space="preserve">Fifth, and consistent with Chapter 4, external replication remains the single largest outstanding requirement across every result in this thesis. Where a suitable independent bulk RNA-seq islet cohort with matched ND/IGT/T2D staging cannot be identified, the single-cell islet resources now available, including a substantially larger recent single-cell T2D atlas [60] and single-cell-based classification approaches to the same ND/T2D distinction [62], offer a partial route to cross-modality validation of this thesis's bulk-derived candidates, even in the continued absence of a matched bulk replication cohort.</w:t>
      </w:r>
    </w:p>
    <w:p>
      <w:pPr>
        <w:spacing w:after="200" w:line="360"/>
        <w:jc w:val="both"/>
      </w:pPr>
      <w:r>
        <w:t xml:space="preserve">Sixth, the yellow module's combination of strong trait correlation, rich lncRNA content, and complete absence of GO/KEGG enrichment (Section 5.5) should be revisited using lncRNA-specific functional resources (for example, guilt-by-association annotation against curated lncRNA function databases, or genomic-proximity analysis to nearby protein-coding transcription factors, in the manner already established for other islet lncRNAs [18], [25]) rather than left as an apparently silent module; the present analysis stopped at conventional GO/KEGG enrichment and did not pursue these lncRNA-specific alternatives.</w:t>
      </w:r>
    </w:p>
    <w:p>
      <w:pPr>
        <w:pStyle w:val="Heading2"/>
        <w:spacing w:after="120" w:before="240"/>
      </w:pPr>
      <w:r>
        <w:t xml:space="preserve">5.10 Conclusion</w:t>
      </w:r>
    </w:p>
    <w:p>
      <w:pPr>
        <w:spacing w:after="200" w:line="360"/>
        <w:jc w:val="both"/>
      </w:pPr>
      <w:r>
        <w:t xml:space="preserve">Taken together, these results support three conclusions. Islet dysfunction across the ND–IGT–T2D continuum in this dataset is graded, immune-associated at the whole-transcriptome level, but organised around a small number of coherent, trait-associated co-expression modules, one of which carries a distinct ion-transport signature independent of the immune signal. A small set of genes and lncRNAs, most notably the uncharacterised lncRNA ENSG00000284653 and the Wnt-pathway-linked hub gene DKK3, are corroborated across differential expression, network topology, and machine learning, and constitute this thesis's strongest candidates for functional follow-up. Finally, the classification results show that this transcriptional structure is predictive as well as correlational for the clearest disease contrast (ND vs T2D), while both the poor resolution of IGT and the instability of individual hub-gene identity under resampling show precisely where this structure, and the candidates prioritised from it, still require independent confirmation before they can be treated as more than well-motivated hypotheses.</w:t>
      </w:r>
    </w:p>
    <w:p>
      <w:pPr>
        <w:pStyle w:val="Heading1"/>
        <w:pageBreakBefore/>
        <w:spacing w:after="240"/>
      </w:pPr>
      <w:r>
        <w:t xml:space="preserve">References</w:t>
      </w:r>
    </w:p>
    <w:p>
      <w:pPr>
        <w:spacing w:after="160" w:line="300"/>
        <w:ind w:left="720" w:hanging="720"/>
      </w:pPr>
      <w:r>
        <w:t xml:space="preserve">[1] G. Wang and M. Sander, "A multi-omics roadmap of β-cell failure in type 2 diabetes mellitus.," Nat. Rev. Endocrinol., Aug. 2021, doi: 10.1038/S41574-021-00556-4.</w:t>
      </w:r>
    </w:p>
    <w:p>
      <w:pPr>
        <w:spacing w:after="160" w:line="300"/>
        <w:ind w:left="720" w:hanging="720"/>
      </w:pPr>
      <w:r>
        <w:t xml:space="preserve">[2] R. S. Yalow and S. A. Berson, "Plasma Insulin Concentrations in Nondiabetic and Early Diabetic Subjects: Determinations by a New Sensitive Immuno-assay Technic," Diabetes, vol. 9, no. 4, pp. 254--260, Jul. 1960, doi: 10.2337/diab.9.4.254.</w:t>
      </w:r>
    </w:p>
    <w:p>
      <w:pPr>
        <w:spacing w:after="160" w:line="300"/>
        <w:ind w:left="720" w:hanging="720"/>
      </w:pPr>
      <w:r>
        <w:t xml:space="preserve">[3] "International Diabetes Federation. IDF Diabetes Atlas Tenth Edition." [Online]. Available: https://diabetesatlas.org/</w:t>
      </w:r>
    </w:p>
    <w:p>
      <w:pPr>
        <w:spacing w:after="160" w:line="300"/>
        <w:ind w:left="720" w:hanging="720"/>
      </w:pPr>
      <w:r>
        <w:t xml:space="preserve">[4] J. Kumar, P. Malaviya, B. Seyoum, G. W. Abrams, and R. A. Kowluru, "Long Noncoding RNAs as Blood-Based Biomarkers of Diabetic Retinopathy," Transl. Vis. Sci. Technol., vol. 15, no. 1, p. 17, Jan. 2026, doi: 10.1167/tvst.15.1.17.</w:t>
      </w:r>
    </w:p>
    <w:p>
      <w:pPr>
        <w:spacing w:after="160" w:line="300"/>
        <w:ind w:left="720" w:hanging="720"/>
      </w:pPr>
      <w:r>
        <w:t xml:space="preserve">[5] P. V. Dludla et al., "Pancreatic β-cell dysfunction in type 2 diabetes: Implications of inflammation and oxidative stress," World J. Diabetes, vol. 14, no. 3, pp. 130--146, Mar. 2023, doi: 10.4239/wjd.v14.i3.130.</w:t>
      </w:r>
    </w:p>
    <w:p>
      <w:pPr>
        <w:spacing w:after="160" w:line="300"/>
        <w:ind w:left="720" w:hanging="720"/>
      </w:pPr>
      <w:r>
        <w:t xml:space="preserve">[6] T. Mahdi, "Mechanisms of defective insulin secretion in type 2 diabetes," Jan. 2013, [Online]. Available: https://scispace.com/papers/mechanisms-of-defective-insulin-secretion-in-type-2-diabetes-4x3kzihri1</w:t>
      </w:r>
    </w:p>
    <w:p>
      <w:pPr>
        <w:spacing w:after="160" w:line="300"/>
        <w:ind w:left="720" w:hanging="720"/>
      </w:pPr>
      <w:r>
        <w:t xml:space="preserve">[7] M. Blencowe et al., "IAPP-induced beta cell stress recapitulates the islet transcriptome in type 2 diabetes.," Diabetologia, Sep. 2021, doi: 10.1007/S00125-021-05569-2.</w:t>
      </w:r>
    </w:p>
    <w:p>
      <w:pPr>
        <w:spacing w:after="160" w:line="300"/>
        <w:ind w:left="720" w:hanging="720"/>
      </w:pPr>
      <w:r>
        <w:t xml:space="preserve">[8] P. A. Halban et al., "β-Cell Failure in Type 2 Diabetes: Postulated Mechanisms and Prospects for Prevention and Treatment," Diabetes Care, vol. 37, no. 6, pp. 1751--1758, Jun. 2014, doi: 10.2337/dc14-0396.</w:t>
      </w:r>
    </w:p>
    <w:p>
      <w:pPr>
        <w:spacing w:after="160" w:line="300"/>
        <w:ind w:left="720" w:hanging="720"/>
      </w:pPr>
      <w:r>
        <w:t xml:space="preserve">[9] E. K. Sokolowski et al., "Multi-Omic Human Pancreatic Islet Endoplasmic Reticulum and Cytokine Stress Response Mapping Provides Type 2 Diabetes Genetic Insights.," Cell Metab., Oct. 2024.</w:t>
      </w:r>
    </w:p>
    <w:p>
      <w:pPr>
        <w:spacing w:after="160" w:line="300"/>
        <w:ind w:left="720" w:hanging="720"/>
      </w:pPr>
      <w:r>
        <w:t xml:space="preserve">[10] L. Lu, L. Zhuang, X. Shen, and L. Yang, "Glucotoxicity Activation of IL6 and IL11 and Subsequent Induction of Fibrosis May Be Involved in the Pathogenesis of Islet Dysfunction.," Front. Mol. Biosci., Aug. 2021, doi: 10.3389/FMOLB.2021.708127.</w:t>
      </w:r>
    </w:p>
    <w:p>
      <w:pPr>
        <w:spacing w:after="160" w:line="300"/>
        <w:ind w:left="720" w:hanging="720"/>
      </w:pPr>
      <w:r>
        <w:t xml:space="preserve">[11] L. Xiong et al., "LncRNA-Malat1 is Involved in Lipotoxicity-Induced ß-cell Dysfunction and the Therapeutic Effect of Exendin-4 via Ptbp1," Endocrinology, Jul. 2020, doi: 10.1210/ENDOCR/BQAA065.</w:t>
      </w:r>
    </w:p>
    <w:p>
      <w:pPr>
        <w:spacing w:after="160" w:line="300"/>
        <w:ind w:left="720" w:hanging="720"/>
      </w:pPr>
      <w:r>
        <w:t xml:space="preserve">[12] H. Ye, R. Wang, J. F. Wei, Y. Wang, X. Zhang, and L. Wang, "Bioinformatics analysis identifies potential ferroptosis key gene in type 2 diabetic islet dysfunction," Front. Endocrinol., Jul. 2022, doi: 10.3389/fendo.2022.904312.</w:t>
      </w:r>
    </w:p>
    <w:p>
      <w:pPr>
        <w:spacing w:after="160" w:line="300"/>
        <w:ind w:left="720" w:hanging="720"/>
      </w:pPr>
      <w:r>
        <w:t xml:space="preserve">[13] T. T. H. Lu et al., "The polycomb-dependent epigenome controls β cell dysfunction, dedifferentiation, and diabetes," Cell Metab., Jun. 2018, doi: 10.1016/J.CMET.2018.04.013.</w:t>
      </w:r>
    </w:p>
    <w:p>
      <w:pPr>
        <w:spacing w:after="160" w:line="300"/>
        <w:ind w:left="720" w:hanging="720"/>
      </w:pPr>
      <w:r>
        <w:t xml:space="preserve">[14] A. S. Axelsson et al., "Sox5 regulates beta-cell phenotype and is reduced in type 2 diabetes," Nat. Commun., Jun. 2017, doi: 10.1038/NCOMMS15652.</w:t>
      </w:r>
    </w:p>
    <w:p>
      <w:pPr>
        <w:spacing w:after="160" w:line="300"/>
        <w:ind w:left="720" w:hanging="720"/>
      </w:pPr>
      <w:r>
        <w:t xml:space="preserve">[15] J. T. Walker et al., "RFX6-mediated Dysregulation Defines Human Cell Dysfunction in Early Type 2 Diabetes", doi: 10.1101/2021.12.16.466282.</w:t>
      </w:r>
    </w:p>
    <w:p>
      <w:pPr>
        <w:spacing w:after="160" w:line="300"/>
        <w:ind w:left="720" w:hanging="720"/>
      </w:pPr>
      <w:r>
        <w:t xml:space="preserve">[16] L. Li, Z. Pan, S. Yang, W. Shan, and Y. Yang, "Identification of key gene pathways and coexpression networks of islets in human type 2 diabetes," Diabetes Metab. Syndr. Obes. Targets Ther., vol. Volume 11, pp. 553--563, Sep. 2018, doi: 10.2147/DMSO.S178894.</w:t>
      </w:r>
    </w:p>
    <w:p>
      <w:pPr>
        <w:spacing w:after="160" w:line="300"/>
        <w:ind w:left="720" w:hanging="720"/>
      </w:pPr>
      <w:r>
        <w:t xml:space="preserve">[17] Y. Wang, Y. Qu, M. Dong, Y. Zhang, N. Zhao, and S. Song, "Integrated transcriptome and single-cell sequencing analysis identify blood-pancreas shared lncRNA biomarkers in new-onset T2DM", [Online]. Available: https://journals.plos.org/plosone/article?id=10.1371/journal.pone.0345359</w:t>
      </w:r>
    </w:p>
    <w:p>
      <w:pPr>
        <w:spacing w:after="160" w:line="300"/>
        <w:ind w:left="720" w:hanging="720"/>
      </w:pPr>
      <w:r>
        <w:t xml:space="preserve">[18] I. Akerman et al., "Human Pancreatic β Cell lncRNAs Control Cell-Specific Regulatory Networks," Cell Metab., vol. 25, no. 2, pp. 400--411, Feb. 2017, doi: 10.1016/j.cmet.2016.11.016.</w:t>
      </w:r>
    </w:p>
    <w:p>
      <w:pPr>
        <w:spacing w:after="160" w:line="300"/>
        <w:ind w:left="720" w:hanging="720"/>
      </w:pPr>
      <w:r>
        <w:t xml:space="preserve">[19] Y. Song et al., "Bulk and single-cell transcriptome analyses of islet tissue unravel gene signatures associated with pyroptosis and immune infiltration in type 2 diabetes," Front. Endocrinol., Mar. 2023, doi: 10.3389/fendo.2023.1132194.</w:t>
      </w:r>
    </w:p>
    <w:p>
      <w:pPr>
        <w:spacing w:after="160" w:line="300"/>
        <w:ind w:left="720" w:hanging="720"/>
      </w:pPr>
      <w:r>
        <w:t xml:space="preserve">[20] J. A. Martínez-López et al., "Single-cell mRNA-regulation analysis reveals cell type-specific mechanisms of type 2 diabetes," Mar. 24, 2023, Cell Biology. doi: 10.1101/2023.03.23.533985.</w:t>
      </w:r>
    </w:p>
    <w:p>
      <w:pPr>
        <w:spacing w:after="160" w:line="300"/>
        <w:ind w:left="720" w:hanging="720"/>
      </w:pPr>
      <w:r>
        <w:t xml:space="preserve">[21] J. E. Koltes et al., "A gene expression network analysis of the pancreatic islets from lean and obese mice identifies complement 1q like-3 secreted protein as a regulator of β-cell function," Sci. Rep., Jul. 2019, doi: 10.1038/S41598-019-46219-3.</w:t>
      </w:r>
    </w:p>
    <w:p>
      <w:pPr>
        <w:spacing w:after="160" w:line="300"/>
        <w:ind w:left="720" w:hanging="720"/>
      </w:pPr>
      <w:r>
        <w:t xml:space="preserve">[22] J. Yang and P. Yu, "Identification of MEDAG as a Hub Candidate Gene in the Onset and Progression of Type 2 Diabetes Mellitus by Comprehensive Bioinformatics Analysis.," BioMed Res. Int., Feb. 2021, doi: 10.1155/2021/3947350.</w:t>
      </w:r>
    </w:p>
    <w:p>
      <w:pPr>
        <w:spacing w:after="160" w:line="300"/>
        <w:ind w:left="720" w:hanging="720"/>
      </w:pPr>
      <w:r>
        <w:t xml:space="preserve">[23] S. J. Nair, T. Suter, S. Wang, L. Yang, F. Yang, and M. G. Rosenfeld, "Transcriptional enhancers at 40: evolution of a viral DNA element to nuclear architectural structures," Trends Genet., vol. 38, no. 10, pp. 1019--1047, Oct. 2022, doi: 10.1016/j.tig.2022.05.015.</w:t>
      </w:r>
    </w:p>
    <w:p>
      <w:pPr>
        <w:spacing w:after="160" w:line="300"/>
        <w:ind w:left="720" w:hanging="720"/>
      </w:pPr>
      <w:r>
        <w:t xml:space="preserve">[24] R. Albert, "Scale-free networks in cell biology," J. Cell Sci., vol. 118, no. 21, pp. 4947--4957, Nov. 2005, doi: 10.1242/jcs.02714.</w:t>
      </w:r>
    </w:p>
    <w:p>
      <w:pPr>
        <w:spacing w:after="160" w:line="300"/>
        <w:ind w:left="720" w:hanging="720"/>
      </w:pPr>
      <w:r>
        <w:t xml:space="preserve">[25] B. Font-Cunill, L. Arnes, J. Ferrer, L. Sussel, and A. Beucher, "Long Non-coding RNAs as Local Regulators of Pancreatic Islet Transcription Factor Genes," Front. Genet., Nov. 2018, doi: 10.3389/FGENE.2018.00524.</w:t>
      </w:r>
    </w:p>
    <w:p>
      <w:pPr>
        <w:spacing w:after="160" w:line="300"/>
        <w:ind w:left="720" w:hanging="720"/>
      </w:pPr>
      <w:r>
        <w:t xml:space="preserve">[26] L. Liu, Y. Li, and X. Zhang, "LncRNA LINC01018 Screens Type 2 Diabetes Mellitus and Regulates β Cell Function Through Modulating miR-499a-5p," Horm. Metab. Res., Feb. 2023, doi: 10.1055/a-2077-5177.</w:t>
      </w:r>
    </w:p>
    <w:p>
      <w:pPr>
        <w:spacing w:after="160" w:line="300"/>
        <w:ind w:left="720" w:hanging="720"/>
      </w:pPr>
      <w:r>
        <w:t xml:space="preserve">[27] Z. Cao, F. Yao, Y. Lang, and X. Feng, "Elevated Circulating LINC-P21 Serves as a Diagnostic Biomarker of Type 2 Diabetes Mellitus and Regulates Pancreatic β-cell Function by Sponging miR-766-3p to Upregulate NR3C2," Exp. Clin. Endocrinol. Diabetes, Oct. 2020, doi: 10.1055/A-1247-4978.</w:t>
      </w:r>
    </w:p>
    <w:p>
      <w:pPr>
        <w:spacing w:after="160" w:line="300"/>
        <w:ind w:left="720" w:hanging="720"/>
      </w:pPr>
      <w:r>
        <w:t xml:space="preserve">[28] L. Wan, X. Song, and B. Zhu, "Long-noncoding RNA NBR2 via targeting miR-19a-3p regulates pancreatic β cell function and provides novel biomarkers for type 2 diabetes mellitus," Arch. Med. Sci., Mar. 2021, doi: 10.5114/AOMS/133746.</w:t>
      </w:r>
    </w:p>
    <w:p>
      <w:pPr>
        <w:spacing w:after="160" w:line="300"/>
        <w:ind w:left="720" w:hanging="720"/>
      </w:pPr>
      <w:r>
        <w:t xml:space="preserve">[29] Y. Ruan et al., "Circulating LncRNAs Analysis in Patients with Type 2 Diabetes Reveals Novel Genes Influencing Glucose Metabolism and Islet β-Cell Function.," Cell. Physiol. Biochem., Jan. 2018, doi: 10.1159/000488434.</w:t>
      </w:r>
    </w:p>
    <w:p>
      <w:pPr>
        <w:spacing w:after="160" w:line="300"/>
        <w:ind w:left="720" w:hanging="720"/>
      </w:pPr>
      <w:r>
        <w:t xml:space="preserve">[30] S. Anders, P. T. Pyl, and W. Huber, "HTSeq-A Python framework to work with high-throughput sequencing data," Bioinformatics, vol. 31, 2015, doi: 10.1093/bioinformatics/btu638.</w:t>
      </w:r>
    </w:p>
    <w:p>
      <w:pPr>
        <w:spacing w:after="160" w:line="300"/>
        <w:ind w:left="720" w:hanging="720"/>
      </w:pPr>
      <w:r>
        <w:t xml:space="preserve">[31] L. Wigger et al., "Multi-omics profiling of living human pancreatic islet donors reveals heterogeneous beta cell trajectories towards type 2 diabetes," Nat. Metab., vol. 3, no. 7, pp. 1017--1031, Jul. 2021, doi: 10.1038/s42255-021-00420-9.</w:t>
      </w:r>
    </w:p>
    <w:p>
      <w:pPr>
        <w:spacing w:after="160" w:line="300"/>
        <w:ind w:left="720" w:hanging="720"/>
      </w:pPr>
      <w:r>
        <w:t xml:space="preserve">[32] M. I. Love, W. Huber, and S. Anders, "Moderated estimation of fold change and dispersion for RNA-seq data with DESeq2," Genome Biol., vol. 15, no. 12, p. 550, Dec. 2014, doi: 10.1186/s13059-014-0550-8.</w:t>
      </w:r>
    </w:p>
    <w:p>
      <w:pPr>
        <w:spacing w:after="160" w:line="300"/>
        <w:ind w:left="720" w:hanging="720"/>
      </w:pPr>
      <w:r>
        <w:t xml:space="preserve">[33] R. Bourgon, R. Gentleman, and W. Huber, "Independent filtering increases detection power for high-throughput experiments," Proc. Natl. Acad. Sci., vol. 107, no. 21, pp. 9546--9551, May 2010, doi: 10.1073/pnas.0914005107.</w:t>
      </w:r>
    </w:p>
    <w:p>
      <w:pPr>
        <w:spacing w:after="160" w:line="300"/>
        <w:ind w:left="720" w:hanging="720"/>
      </w:pPr>
      <w:r>
        <w:t xml:space="preserve">[34] P. Langfelder and S. Horvath, "WGCNA: an R package for weighted correlation network analysis," BMC Bioinformatics, vol. 9, no. 1, p. 559, Dec. 2008, doi: 10.1186/1471-2105-9-559.</w:t>
      </w:r>
    </w:p>
    <w:p>
      <w:pPr>
        <w:spacing w:after="160" w:line="300"/>
        <w:ind w:left="720" w:hanging="720"/>
      </w:pPr>
      <w:r>
        <w:t xml:space="preserve">[35] A. Rau, M. Gallopin, G. Celeux, and F. Jaffrézic, "Data-based filtering for replicated high-throughput transcriptome sequencing experiments," Bioinformatics, vol. 29, no. 17, pp. 2146--2152, Sep. 2013, doi: 10.1093/bioinformatics/btt350.</w:t>
      </w:r>
    </w:p>
    <w:p>
      <w:pPr>
        <w:spacing w:after="160" w:line="300"/>
        <w:ind w:left="720" w:hanging="720"/>
      </w:pPr>
      <w:r>
        <w:t xml:space="preserve">[36] P. Langfelder and S. Horvath, "WGCNA: an R package for weighted correlation network analysis," BMC Bioinf, vol. 9, 2008, doi: 10.1186/1471-2105-9-559.</w:t>
      </w:r>
    </w:p>
    <w:p>
      <w:pPr>
        <w:spacing w:after="160" w:line="300"/>
        <w:ind w:left="720" w:hanging="720"/>
      </w:pPr>
      <w:r>
        <w:t xml:space="preserve">[37] M. D. Robinson, D. J. McCarthy, and G. K. Smyth, "edgeR : a Bioconductor package for differential expression analysis of digital gene expression data," Bioinformatics, vol. 26, no. 1, pp. 139--140, Jan. 2010, doi: 10.1093/bioinformatics/btp616.</w:t>
      </w:r>
    </w:p>
    <w:p>
      <w:pPr>
        <w:spacing w:after="160" w:line="300"/>
        <w:ind w:left="720" w:hanging="720"/>
      </w:pPr>
      <w:r>
        <w:t xml:space="preserve">[38] C. W. Law, Y. Chen, W. Shi, and G. K. Smyth, "voom: precision weights unlock linear model analysis tools for RNA-seq read counts," Genome Biol., vol. 15, no. 2, p. R29, Feb. 2014, doi: 10.1186/gb-2014-15-2-r29.</w:t>
      </w:r>
    </w:p>
    <w:p>
      <w:pPr>
        <w:spacing w:after="160" w:line="300"/>
        <w:ind w:left="720" w:hanging="720"/>
      </w:pPr>
      <w:r>
        <w:t xml:space="preserve">[39] C. Soneson and M. Delorenzi, "A comparison of methods for differential expression analysis of RNA-seq data," BMC Bioinformatics, vol. 14, no. 1, p. 91, Dec. 2013, doi: 10.1186/1471-2105-14-91.</w:t>
      </w:r>
    </w:p>
    <w:p>
      <w:pPr>
        <w:spacing w:after="160" w:line="300"/>
        <w:ind w:left="720" w:hanging="720"/>
      </w:pPr>
      <w:r>
        <w:t xml:space="preserve">[40] F. Rapaport et al., "Comprehensive evaluation of differential gene expression analysis methods for RNA-seq data," Genome Biol., vol. 14, no. 9, p. 3158, Sep. 2013, doi: 10.1186/gb-2013-14-9-r95.</w:t>
      </w:r>
    </w:p>
    <w:p>
      <w:pPr>
        <w:spacing w:after="160" w:line="300"/>
        <w:ind w:left="720" w:hanging="720"/>
      </w:pPr>
      <w:r>
        <w:t xml:space="preserve">[41] J. T. Leek et al., "Tackling the widespread and critical impact of batch effects in high-throughput data," Nat. Rev. Genet., vol. 11, no. 10, pp. 733--739, Oct. 2010, doi: 10.1038/nrg2825.</w:t>
      </w:r>
    </w:p>
    <w:p>
      <w:pPr>
        <w:spacing w:after="160" w:line="300"/>
        <w:ind w:left="720" w:hanging="720"/>
      </w:pPr>
      <w:r>
        <w:t xml:space="preserve">[42] A. Conesa et al., "A survey of best practices for RNA-seq data analysis," Genome Biol., vol. 17, no. 1, p. 13, Dec. 2016, doi: 10.1186/s13059-016-0881-8.</w:t>
      </w:r>
    </w:p>
    <w:p>
      <w:pPr>
        <w:spacing w:after="160" w:line="300"/>
        <w:ind w:left="720" w:hanging="720"/>
      </w:pPr>
      <w:r>
        <w:t xml:space="preserve">[43] D. J. McCarthy and G. K. Smyth, "Testing significance relative to a fold-change threshold is a TREAT," Bioinformatics, vol. 25, no. 6, pp. 765--771, Mar. 2009, doi: 10.1093/bioinformatics/btp053.</w:t>
      </w:r>
    </w:p>
    <w:p>
      <w:pPr>
        <w:spacing w:after="160" w:line="300"/>
        <w:ind w:left="720" w:hanging="720"/>
      </w:pPr>
      <w:r>
        <w:t xml:space="preserve">[44] Y. Benjamini and Y. Hochberg, "Controlling the False Discovery Rate: A Practical and Powerful Approach to Multiple Testing," J. R. Stat. Soc. Ser. B Stat. Methodol., vol. 57, no. 1, pp. 289--300, Jan. 1995, doi: 10.1111/j.2517-6161.1995.tb02031.x.</w:t>
      </w:r>
    </w:p>
    <w:p>
      <w:pPr>
        <w:spacing w:after="160" w:line="300"/>
        <w:ind w:left="720" w:hanging="720"/>
      </w:pPr>
      <w:r>
        <w:t xml:space="preserve">[45] S. Aerts et al., "Gene prioritization through genomic data fusion," Nat. Biotechnol., vol. 24, no. 5, pp. 537--544, May 2006, doi: 10.1038/nbt1203.</w:t>
      </w:r>
    </w:p>
    <w:p>
      <w:pPr>
        <w:spacing w:after="160" w:line="300"/>
        <w:ind w:left="720" w:hanging="720"/>
      </w:pPr>
      <w:r>
        <w:t xml:space="preserve">[46] B. Zhang and S. Horvath, "A General Framework for Weighted Gene Co-Expression Network Analysis," Stat. Appl. Genet. Mol. Biol., vol. 4, Aug. 2005.</w:t>
      </w:r>
    </w:p>
    <w:p>
      <w:pPr>
        <w:spacing w:after="160" w:line="300"/>
        <w:ind w:left="720" w:hanging="720"/>
      </w:pPr>
      <w:r>
        <w:t xml:space="preserve">[47] P. Shannon et al., "Cytoscape: A Software Environment for Integrated Models of Biomolecular Interaction Networks," Genome Res., vol. 13, no. 11, pp. 2498--2504, Nov. 2003, doi: 10.1101/gr.1239303.</w:t>
      </w:r>
    </w:p>
    <w:p>
      <w:pPr>
        <w:spacing w:after="160" w:line="300"/>
        <w:ind w:left="720" w:hanging="720"/>
      </w:pPr>
      <w:r>
        <w:t xml:space="preserve">[48] C. Zhang, G. Luo, J. Lin, Z. Zhao, M. Luo, and H. Li, "Identification of significant modules and hub genes involved in hepatic encephalopathy using WGCNA," Eur. J. Med. Res., vol. 27, no. 1, p. 264, Nov. 2022, doi: 10.1186/s40001-022-00898-3.</w:t>
      </w:r>
    </w:p>
    <w:p>
      <w:pPr>
        <w:spacing w:after="160" w:line="300"/>
        <w:ind w:left="720" w:hanging="720"/>
      </w:pPr>
      <w:r>
        <w:t xml:space="preserve">[49] A. L. Gloyn and A. C. Powers, "There is more than one way to reach type 2 diabetes," Nat. Metab., vol. 3, no. 7, pp. 894--895, Jun. 2021, doi: 10.1038/s42255-021-00415-6.</w:t>
      </w:r>
    </w:p>
    <w:p>
      <w:pPr>
        <w:spacing w:after="160" w:line="300"/>
        <w:ind w:left="720" w:hanging="720"/>
      </w:pPr>
      <w:r>
        <w:t xml:space="preserve">[50] G. Yu, L. G. Wang, Y. Han, and Q. Y. He, "ClusterProfiler: an R package for comparing biological themes among gene clusters," Omi J Integr Biol, vol. 16, 2012, doi: 10.1089/omi.2011.0118.</w:t>
      </w:r>
    </w:p>
    <w:p>
      <w:pPr>
        <w:spacing w:after="160" w:line="300"/>
        <w:ind w:left="720" w:hanging="720"/>
      </w:pPr>
      <w:r>
        <w:t xml:space="preserve">[51] L. Breiman, "Random Forests," Mach. Learn., vol. 45, no. 1, pp. 5--32, Oct. 2001, doi: 10.1023/A:1010933404324.</w:t>
      </w:r>
    </w:p>
    <w:p>
      <w:pPr>
        <w:spacing w:after="160" w:line="300"/>
        <w:ind w:left="720" w:hanging="720"/>
      </w:pPr>
      <w:r>
        <w:t xml:space="preserve">[52] T. Chen and C. Guestrin, "XGBoost: A Scalable Tree Boosting System," in Proceedings of the 22nd ACM SIGKDD International Conference on Knowledge Discovery and Data Mining, San Francisco California USA: ACM, Aug. 2016, pp. 785--794. doi: 10.1145/2939672.2939785.</w:t>
      </w:r>
    </w:p>
    <w:p>
      <w:pPr>
        <w:spacing w:after="160" w:line="300"/>
        <w:ind w:left="720" w:hanging="720"/>
      </w:pPr>
      <w:r>
        <w:t xml:space="preserve">[53] G. Yu, L.-G. Wang, Y. Han, and Q.-Y. He, "clusterProfiler: an R Package for Comparing Biological Themes Among Gene Clusters," OMICS J. Integr. Biol., vol. 16, no. 5, pp. 284--287, May 2012, doi: 10.1089/omi.2011.0118.</w:t>
      </w:r>
    </w:p>
    <w:p>
      <w:pPr>
        <w:spacing w:after="160" w:line="300"/>
        <w:ind w:left="720" w:hanging="720"/>
      </w:pPr>
      <w:r>
        <w:t xml:space="preserve">[54] C. Li, N. C. Deans, and C. R. Buell, "'Simple Tidy GeneCoEx': A Gene Co-Expression Analysis Workflow Powered by Tidyverse and Graph-Based Clustering in R," bioRxiv, Nov. 2022.</w:t>
      </w:r>
    </w:p>
    <w:p>
      <w:pPr>
        <w:spacing w:after="160" w:line="300"/>
        <w:ind w:left="720" w:hanging="720"/>
      </w:pPr>
      <w:r>
        <w:t xml:space="preserve">[55] Bouatia-Naji, N., Rocheleau, G., Van Lommel, L., Lemaire, K., Schuit, F., Cavalcanti-Proenca, C., Marchand, M., Hartikainen, A.-L., Sovio, U., De Graeve, F., Rung, J., Vaxillaire, M., Tichet, J., Marre, M., Balkau, B., Weill, J., Elliott, P., Jarvelin, M.-R., Meyre, D., ... Froguel, P. (2008). A polymorphism within the G6PC2 gene is associated with fasting plasma glucose levels. Science, 320(5879), 1085–1088. https://doi.org/10.1126/science.1156849</w:t>
      </w:r>
    </w:p>
    <w:p>
      <w:pPr>
        <w:spacing w:after="160" w:line="300"/>
        <w:ind w:left="720" w:hanging="720"/>
      </w:pPr>
      <w:r>
        <w:t xml:space="preserve">[56] European Commission, CORDIS. (2013). Wnt agonist Dickkopf 3 (DKK3) is a type 2 diabetes susceptibility gene (Project 268397, Karolinska Institutet) [Final report]. https://cordis.europa.eu/project/id/268397/reporting/es</w:t>
      </w:r>
    </w:p>
    <w:p>
      <w:pPr>
        <w:spacing w:after="160" w:line="300"/>
        <w:ind w:left="720" w:hanging="720"/>
      </w:pPr>
      <w:r>
        <w:t xml:space="preserve">[57] Hermann, M., Pirkebner, D., Draxl, A., Berger, P., Untergasser, G., Margreiter, R., &amp; Hengster, P. (2007). Dickkopf-3 is expressed in a subset of adult human pancreatic beta cells. Histochemistry and Cell Biology, 127(5), 513–521. https://doi.org/10.1007/s00418-007-0278-6</w:t>
      </w:r>
    </w:p>
    <w:p>
      <w:pPr>
        <w:spacing w:after="160" w:line="300"/>
        <w:ind w:left="720" w:hanging="720"/>
      </w:pPr>
      <w:r>
        <w:t xml:space="preserve">[58] Adeerjiang, Y., Gan, X.-X., Wang, R.-R., Jiang, S., &amp; Du, G.-L. (2026). Wnt3a downregulation contributes to type 2 diabetes mellitus by impairing pancreatic β-cell function. The FASEB Journal, 40(16), e72222. https://doi.org/10.1096/fj.202601805R</w:t>
      </w:r>
    </w:p>
    <w:p>
      <w:pPr>
        <w:spacing w:after="160" w:line="300"/>
        <w:ind w:left="720" w:hanging="720"/>
      </w:pPr>
      <w:r>
        <w:t xml:space="preserve">[59] Guay, C., et al. (2013). High level of ATP citrate lyase expression in human and rat pancreatic islets. Hormone and Metabolic Research, 45(5), 391–393. https://doi.org/10.1055/s-0032-1329987</w:t>
      </w:r>
    </w:p>
    <w:p>
      <w:pPr>
        <w:spacing w:after="160" w:line="300"/>
        <w:ind w:left="720" w:hanging="720"/>
      </w:pPr>
      <w:r>
        <w:t xml:space="preserve">[60] Bandesh, K., Motakis, E., Nargund, S., Kursawe, R., Selvam, V., Ansarullah, Bhuiyan, R. M., Eryilmaz, G. N., Willett, A. M., White, J. K., Krishnan, S. N., Spracklen, C. N., Ucar, D., &amp; Stitzel, M. L. (2026). Deep single-cell decoding of human pancreatic islets reveals T2D β-cell gene expression defects. The EMBO Journal, 45(11), 3978–4005. https://doi.org/10.1038/s44318-026-00744-w</w:t>
      </w:r>
    </w:p>
    <w:p>
      <w:pPr>
        <w:spacing w:after="160" w:line="300"/>
        <w:ind w:left="720" w:hanging="720"/>
      </w:pPr>
      <w:r>
        <w:t xml:space="preserve">[61] Aisikaer, N., Liu, Z., &amp; Cai, S. (2026). Identification of progressive islet biomarkers for type 2 diabetes by integrated transcriptomics and Mendelian randomization: Alterations spanning the normal glucose tolerance–impaired glucose tolerance–type 2 diabetes continuum. Biomedicines, 14(8), 1850. https://doi.org/10.3390/biomedicines14081850</w:t>
      </w:r>
    </w:p>
    <w:p>
      <w:pPr>
        <w:spacing w:after="160" w:line="300"/>
        <w:ind w:left="720" w:hanging="720"/>
      </w:pPr>
      <w:r>
        <w:t xml:space="preserve">[62] Onah, D. F. O., &amp; Lomboy Toledo, M. D. L. (2026). Classifying diabetic and healthy β-cells in type 2 diabetes using machine learning on single-cell RNA sequencing data. Computational and Structural Biotechnology Journal, 35, Article 0114. https://doi.org/10.34133/csbj.0114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2026-09-13T08:50:18.309Z</dcterms:created>
  <dcterms:modified xsi:type="dcterms:W3CDTF">2026-09-13T08:50:18.319Z</dcterms:modified>
</cp:coreProperties>
</file>

<file path=docProps/custom.xml><?xml version="1.0" encoding="utf-8"?>
<Properties xmlns="http://schemas.openxmlformats.org/officeDocument/2006/custom-properties" xmlns:vt="http://schemas.openxmlformats.org/officeDocument/2006/docPropsVTypes"/>
</file>