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Dissertation Content Page</w:t>
      </w:r>
    </w:p>
    <w:p>
      <w:r>
        <w:rPr>
          <w:i/>
          <w:sz w:val="24"/>
        </w:rPr>
        <w:t>Structural skeleton, built to the Birkbeck MSc Research Project Written Report guidance (2023–24) — not prose.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IMPORTANT — academic integrity: the guidance document states "Do not use any AI tools to generate text." Everything below is a structural outline (headings + one-line instructions on WHAT to write and WHERE the supporting data lives), not draft sentences. Any prose I have generated elsewhere in this project (e.g. the Methods draft) is for your own reading/reference only — rewrite it in your own words before it goes in the submitted report. Confirm the exact boundary of what's permitted (analysis code vs. written text) with your supervisor.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Per the guidance: main body maximum 8,000 words / 80 A4 pages, EXCLUDING table of contents, references, and appendices. Word-count targets below sum to ≈7,700 words, leaving headroom. The report must be double- or 1.5-line-spaced. Figures/tables are numbered PER CHAPTER (e.g. Fig. 3.1, 3.2 for Chapter 3), not sequentially through the whole document — you will need to renumber the figures in Main_Results_Figures.docx accordingly once they're placed into their chapter.</w:t>
      </w:r>
    </w:p>
    <w:p>
      <w:r>
        <w:br w:type="page"/>
      </w:r>
    </w:p>
    <w:p>
      <w:pPr>
        <w:pStyle w:val="Heading1"/>
      </w:pPr>
      <w:r>
        <w:t>Word Count Budget (target ≈7,700 / 8,000 words)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Chapter</w:t>
            </w:r>
          </w:p>
        </w:tc>
        <w:tc>
          <w:tcPr>
            <w:tcW w:type="dxa" w:w="3888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Target words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Approx. pages (1.5-spaced)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1. Introduction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Literature review + Aims + methodology background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2,800–3,200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14–16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2. Methodology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Full pipeline, reproducible detail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1,400–1,700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6–8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3. Results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Findings only, figure/table-led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1,600–1,900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8–10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4. Discussion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Interpretation, comparison, limitations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1,400–1,700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6–8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5. Conclusions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Brief close-out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300–500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1–2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Total (main body)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≈7,700 max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≈37–44</w:t>
            </w:r>
          </w:p>
        </w:tc>
      </w:tr>
    </w:tbl>
    <w:p>
      <w:pPr>
        <w:spacing w:after="120"/>
      </w:pP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Front matter (title page, abstract, TOC, lists) and back matter (references, appendices) sit OUTSIDE this word count per the guidance — pad your working draft accordingly but don't let them balloon the total page count past 80.</w:t>
      </w:r>
    </w:p>
    <w:p>
      <w:r>
        <w:br w:type="page"/>
      </w:r>
    </w:p>
    <w:p>
      <w:pPr>
        <w:pStyle w:val="Heading1"/>
      </w:pPr>
      <w:r>
        <w:t>Auto-Generated 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Front Matter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Order specified directly in the guidance: Title page → Abstract → Acknowledgments → Table of Contents → List of Tables → List of Figures → List of symbols/acronyms → Glossary (if needed).</w:t>
      </w:r>
    </w:p>
    <w:p>
      <w:pPr>
        <w:pStyle w:val="Heading2"/>
      </w:pPr>
      <w:r>
        <w:t>Title Page</w:t>
      </w:r>
    </w:p>
    <w:p>
      <w:pPr>
        <w:spacing w:after="160"/>
      </w:pPr>
      <w:r>
        <w:rPr>
          <w:sz w:val="21"/>
        </w:rPr>
        <w:t>Project title, your name, date (month/year), your supervisor's name. Optional: Birkbeck logo.</w:t>
      </w:r>
    </w:p>
    <w:p>
      <w:pPr>
        <w:pStyle w:val="Heading2"/>
      </w:pPr>
      <w:r>
        <w:t>Abstract (one page maximum)</w:t>
      </w:r>
    </w:p>
    <w:p>
      <w:pPr>
        <w:spacing w:after="160"/>
      </w:pPr>
      <w:r>
        <w:rPr>
          <w:sz w:val="21"/>
        </w:rPr>
        <w:t>250–350 words: background (1–2 sentences) → aim → methods (1–2 sentences) → key results (specific numbers: DEG counts, module count, best model AUC) → conclusion/significance. Write this LAST, once every number is final. One page max is a hard limit here — trim ruthlessly.</w:t>
      </w:r>
    </w:p>
    <w:p>
      <w:pPr>
        <w:pStyle w:val="Heading2"/>
      </w:pPr>
      <w:r>
        <w:t>Acknowledgements (if any)</w:t>
      </w:r>
    </w:p>
    <w:p>
      <w:pPr>
        <w:spacing w:after="160"/>
      </w:pPr>
      <w:r>
        <w:rPr>
          <w:sz w:val="21"/>
        </w:rPr>
        <w:t>Supervisor, funding body, personal thanks — optional.</w:t>
      </w:r>
    </w:p>
    <w:p>
      <w:pPr>
        <w:pStyle w:val="Heading2"/>
      </w:pPr>
      <w:r>
        <w:t>Table of Contents</w:t>
      </w:r>
    </w:p>
    <w:p>
      <w:pPr>
        <w:spacing w:after="160"/>
      </w:pPr>
      <w:r>
        <w:rPr>
          <w:sz w:val="21"/>
        </w:rPr>
        <w:t>List of all numbered chapters/sections/subsections with page numbers — generate via Word's References &gt; Table of Contents once the document is assembled and headings are styled consistently (Heading 1/2/3).</w:t>
      </w:r>
    </w:p>
    <w:p>
      <w:pPr>
        <w:pStyle w:val="Heading2"/>
      </w:pPr>
      <w:r>
        <w:t>List of Tables</w:t>
      </w:r>
    </w:p>
    <w:p>
      <w:pPr>
        <w:spacing w:after="160"/>
      </w:pPr>
      <w:r>
        <w:rPr>
          <w:sz w:val="21"/>
        </w:rPr>
        <w:t>Word: References &gt; Insert Table of Figures &gt; select "Table" caption label. Requires every table to have a Word caption, not just bold text above it.</w:t>
      </w:r>
    </w:p>
    <w:p>
      <w:pPr>
        <w:pStyle w:val="Heading2"/>
      </w:pPr>
      <w:r>
        <w:t>List of Figures</w:t>
      </w:r>
    </w:p>
    <w:p>
      <w:pPr>
        <w:spacing w:after="160"/>
      </w:pPr>
      <w:r>
        <w:rPr>
          <w:sz w:val="21"/>
        </w:rPr>
        <w:t>Same mechanism, filtered to "Figure" captions. Caption every figure using Word's Insert Caption tool so both lists populate automatically and stay numbered correctly if you reorder things later.</w:t>
      </w:r>
    </w:p>
    <w:p>
      <w:pPr>
        <w:pStyle w:val="Heading2"/>
      </w:pPr>
      <w:r>
        <w:t>List of Symbols / Acronyms</w:t>
      </w:r>
    </w:p>
    <w:p>
      <w:pPr>
        <w:spacing w:after="160"/>
      </w:pPr>
      <w:r>
        <w:rPr>
          <w:sz w:val="21"/>
        </w:rPr>
        <w:t>T2D, IGT, ND, DEG, FDR, lncRNA, WGCNA, kME, GS, TOM, GO, KEGG, AUC, BACC, SHAP, ROC, PCA, VST, GLM, CV — alphabetical, one line each. Required since this project uses "a lot of symbols/acronyms" per the guidance.</w:t>
      </w:r>
    </w:p>
    <w:p>
      <w:r>
        <w:br w:type="page"/>
      </w:r>
    </w:p>
    <w:p>
      <w:pPr>
        <w:pStyle w:val="Heading1"/>
      </w:pPr>
      <w:r>
        <w:t>Chapter 1. INTRODUCTION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Per the guidance, this single chapter must contain: (a) a critical literature review, (b) a statement of aims, (c) brief methodology background. Do NOT make the literature review a separate top-level chapter. Target ≈2,800–3,200 words total, ≈14–16 pages double/1.5-spaced — matches the guidance's own "~20 pages double-spaced" estimate for the literature-review portion.</w:t>
      </w:r>
    </w:p>
    <w:p>
      <w:pPr>
        <w:pStyle w:val="Heading2"/>
      </w:pPr>
      <w:r>
        <w:t>1.1 Background: Type 2 Diabetes and the Disease Continuum</w:t>
      </w:r>
    </w:p>
    <w:p>
      <w:pPr>
        <w:spacing w:after="160"/>
      </w:pPr>
      <w:r>
        <w:rPr>
          <w:sz w:val="21"/>
        </w:rPr>
        <w:t>Global/UK T2D prevalence and burden; the ND → IGT → T2D disease framework this study is built around; why islet tissue (not blood/muscle) is the right substrate for this question.</w:t>
      </w:r>
    </w:p>
    <w:p>
      <w:pPr>
        <w:pStyle w:val="Heading2"/>
      </w:pPr>
      <w:r>
        <w:t>1.2 Pancreatic Islet Biology and Beta-Cell Dysfunction</w:t>
      </w:r>
    </w:p>
    <w:p>
      <w:pPr>
        <w:spacing w:after="160"/>
      </w:pPr>
      <w:r>
        <w:rPr>
          <w:sz w:val="21"/>
        </w:rPr>
        <w:t>Islet structure and insulin secretion physiology; how beta-cell dysfunction and insulin resistance jointly drive disease progression.</w:t>
      </w:r>
    </w:p>
    <w:p>
      <w:pPr>
        <w:pStyle w:val="Heading2"/>
      </w:pPr>
      <w:r>
        <w:t>1.3 Transcriptomics in Metabolic Disease Research</w:t>
      </w:r>
    </w:p>
    <w:p>
      <w:pPr>
        <w:spacing w:after="160"/>
      </w:pPr>
      <w:r>
        <w:rPr>
          <w:sz w:val="21"/>
        </w:rPr>
        <w:t>Rationale for RNA-seq; introduce GSE164416 (Wigger et al., 2021) as the dataset re-analysed here; state explicitly what this project adds beyond the original publication.</w:t>
      </w:r>
    </w:p>
    <w:p>
      <w:pPr>
        <w:pStyle w:val="Heading2"/>
      </w:pPr>
      <w:r>
        <w:t>1.4 Long Non-Coding RNAs: Definition and Regulatory Roles</w:t>
      </w:r>
    </w:p>
    <w:p>
      <w:pPr>
        <w:pStyle w:val="Heading3"/>
      </w:pPr>
      <w:r>
        <w:t>1.4.1 RNA Biotype Classification</w:t>
      </w:r>
    </w:p>
    <w:p>
      <w:pPr>
        <w:spacing w:after="160"/>
      </w:pPr>
      <w:r>
        <w:rPr>
          <w:sz w:val="21"/>
        </w:rPr>
        <w:t>Define lncRNA (&gt;200 nt, limited coding potential); place it against mRNA, miRNA, other ncRNA (Fig. 1.1, suggested below).</w:t>
      </w:r>
    </w:p>
    <w:p>
      <w:pPr>
        <w:pStyle w:val="Heading3"/>
      </w:pPr>
      <w:r>
        <w:t>1.4.2 lncRNA Mechanisms and Known T2D Associations</w:t>
      </w:r>
    </w:p>
    <w:p>
      <w:pPr>
        <w:spacing w:after="160"/>
      </w:pPr>
      <w:r>
        <w:rPr>
          <w:sz w:val="21"/>
        </w:rPr>
        <w:t>cis-/trans-regulation, scaffolding, ceRNA/sponge activity; critically compare findings from Dehghanian et al. (2026) and Pan et al. (2022) — where do their identified candidates and methods agree or diverge, and what are the methodological strengths/limitations of each versus your approach? (This critical comparison — not just listing — is exactly what the guidance requires: "discuss the merits and shortcomings... with respect to each other.")</w:t>
      </w:r>
    </w:p>
    <w:p>
      <w:pPr>
        <w:pStyle w:val="Heading2"/>
      </w:pPr>
      <w:r>
        <w:t>1.5 Co-Expression Network Analysis as a Systems-Level Framework</w:t>
      </w:r>
    </w:p>
    <w:p>
      <w:pPr>
        <w:spacing w:after="160"/>
      </w:pPr>
      <w:r>
        <w:rPr>
          <w:sz w:val="21"/>
        </w:rPr>
        <w:t>WGCNA rationale: module, eigengene, kME, gene significance, hub gene; critically review prior network studies in diabetes/metabolic tissue and compare their reported modules/hubs to what you might expect (Fig. 1.2, suggested below).</w:t>
      </w:r>
    </w:p>
    <w:p>
      <w:pPr>
        <w:pStyle w:val="Heading2"/>
      </w:pPr>
      <w:r>
        <w:t>1.6 Machine Learning for Transcriptomic Biomarker Discovery</w:t>
      </w:r>
    </w:p>
    <w:p>
      <w:pPr>
        <w:spacing w:after="160"/>
      </w:pPr>
      <w:r>
        <w:rPr>
          <w:sz w:val="21"/>
        </w:rPr>
        <w:t>Rationale for testing whether a co-expression-derived hub-gene signature classifies disease status; critically review prior ML-on-transcriptomics studies — typical reported AUCs, common pitfalls (small-n overfitting, feature leakage) — and how cross-validation + permutation testing here addresses these critiques.</w:t>
      </w:r>
    </w:p>
    <w:p>
      <w:pPr>
        <w:pStyle w:val="Heading2"/>
      </w:pPr>
      <w:r>
        <w:t>1.7 Identified Gap in the Literature</w:t>
      </w:r>
    </w:p>
    <w:p>
      <w:pPr>
        <w:spacing w:after="160"/>
      </w:pPr>
      <w:r>
        <w:rPr>
          <w:sz w:val="21"/>
        </w:rPr>
        <w:t>One tight paragraph stating explicitly: no prior study has combined systematic lncRNA prioritisation with WGCNA module integration AND validated the resulting hub-gene signature via supervised classification across the full ND–IGT–T2D continuum in human islets.</w:t>
      </w:r>
    </w:p>
    <w:p>
      <w:pPr>
        <w:pStyle w:val="Heading2"/>
      </w:pPr>
      <w:r>
        <w:t>1.8 Aims and Objectives</w:t>
      </w:r>
    </w:p>
    <w:p>
      <w:pPr>
        <w:spacing w:after="160"/>
      </w:pPr>
      <w:r>
        <w:rPr>
          <w:sz w:val="21"/>
        </w:rPr>
        <w:t>Numbered list, stated plainly: (1) identify DEGs and prioritised lncRNAs across ND/IGT/T2D; (2) construct a co-expression network and identify disease-associated modules and hub genes; (3) integrate lncRNA candidates into the network structure; (4) test whether hub-gene expression classifies disease status via ML. This should map 1:1 onto Chapter 3 (Results) subsections.</w:t>
      </w:r>
    </w:p>
    <w:p>
      <w:r>
        <w:br w:type="page"/>
      </w:r>
    </w:p>
    <w:p>
      <w:pPr>
        <w:pStyle w:val="Heading1"/>
      </w:pPr>
      <w:r>
        <w:t>Chapter 2. METHODOLOGY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Guidance requirement: written such that "a trained scientist could reproduce the work" — past tense throughout, report what you did, not a protocol for someone else to follow. Include software/package versions (the guidance's SEM-manufacturer-model example maps here to R/Python package + version). Target ≈1,400–1,700 words, ≈6–8 pages.</w:t>
      </w:r>
    </w:p>
    <w:p>
      <w:pPr>
        <w:pStyle w:val="Heading2"/>
      </w:pPr>
      <w:r>
        <w:t>2.1 Dataset and Study Design</w:t>
      </w:r>
    </w:p>
    <w:p>
      <w:pPr>
        <w:spacing w:after="160"/>
      </w:pPr>
      <w:r>
        <w:rPr>
          <w:sz w:val="21"/>
        </w:rPr>
        <w:t>GSE164416: 98 human islet donors (ND n=18, IGT n=41, T2D n=39), bulk RNA-seq, clinical trait variables (HbA1c, BMI, age, 2h glycaemia). Cite Wigger et al. (2021).</w:t>
      </w:r>
    </w:p>
    <w:p>
      <w:pPr>
        <w:pStyle w:val="Heading2"/>
      </w:pPr>
      <w:r>
        <w:t>2.2 Raw Sequencing Data Quality Control</w:t>
      </w:r>
    </w:p>
    <w:p>
      <w:pPr>
        <w:spacing w:after="160"/>
      </w:pPr>
      <w:r>
        <w:rPr>
          <w:sz w:val="21"/>
        </w:rPr>
        <w:t>FastQC pre-trim QC; fastp adapter/quality trimming parameters used.</w:t>
      </w:r>
    </w:p>
    <w:p>
      <w:pPr>
        <w:pStyle w:val="Heading2"/>
      </w:pPr>
      <w:r>
        <w:t>2.3 Alignment and Gene-Level Quantification</w:t>
      </w:r>
    </w:p>
    <w:p>
      <w:pPr>
        <w:spacing w:after="160"/>
      </w:pPr>
      <w:r>
        <w:rPr>
          <w:sz w:val="21"/>
        </w:rPr>
        <w:t>STAR 2-pass alignment parameters, reference genome/annotation version (GENCODE), HTSeq-count settings.</w:t>
      </w:r>
    </w:p>
    <w:p>
      <w:pPr>
        <w:pStyle w:val="Heading2"/>
      </w:pPr>
      <w:r>
        <w:t>2.4 Differential Expression Analysis</w:t>
      </w:r>
    </w:p>
    <w:p>
      <w:pPr>
        <w:spacing w:after="160"/>
      </w:pPr>
      <w:r>
        <w:rPr>
          <w:sz w:val="21"/>
        </w:rPr>
        <w:t>DESeq2 negative binomial GLM, Wald test, BH FDR correction, thresholds (FDR&lt;0.05, |log2FC|&gt;1), three pairwise comparisons. Source: differential expression script.</w:t>
      </w:r>
    </w:p>
    <w:p>
      <w:pPr>
        <w:pStyle w:val="Heading2"/>
      </w:pPr>
      <w:r>
        <w:t>2.5 lncRNA Identification and Composite Prioritisation</w:t>
      </w:r>
    </w:p>
    <w:p>
      <w:pPr>
        <w:spacing w:after="160"/>
      </w:pPr>
      <w:r>
        <w:rPr>
          <w:sz w:val="21"/>
        </w:rPr>
        <w:t>GENCODE biotype classification; composite score = rescale01(|log2FC|) + rescale01(–log10 padj) + rescale01(recurrence across comparisons).</w:t>
      </w:r>
    </w:p>
    <w:p>
      <w:pPr>
        <w:pStyle w:val="Heading2"/>
      </w:pPr>
      <w:r>
        <w:t>2.6 Weighted Gene Co-Expression Network Analysis</w:t>
      </w:r>
    </w:p>
    <w:p>
      <w:pPr>
        <w:spacing w:after="160"/>
      </w:pPr>
      <w:r>
        <w:rPr>
          <w:sz w:val="21"/>
        </w:rPr>
        <w:t>Signed network, bicorrelation, soft-thresholding power selection (β=8, R²=0.851), blockwiseModules (mergeCutHeight=0.25), resulting 30 modules.</w:t>
      </w:r>
    </w:p>
    <w:p>
      <w:pPr>
        <w:pStyle w:val="Heading2"/>
      </w:pPr>
      <w:r>
        <w:t>2.7 Module-Trait Association and Focus Module Selection</w:t>
      </w:r>
    </w:p>
    <w:p>
      <w:pPr>
        <w:spacing w:after="160"/>
      </w:pPr>
      <w:r>
        <w:rPr>
          <w:sz w:val="21"/>
        </w:rPr>
        <w:t>Eigengene–trait correlation; dual selection criterion (trait-significant OR containing top-prioritised lncRNAs) producing 8 focus modules.</w:t>
      </w:r>
    </w:p>
    <w:p>
      <w:pPr>
        <w:pStyle w:val="Heading2"/>
      </w:pPr>
      <w:r>
        <w:t>2.8 Hub Gene Identification</w:t>
      </w:r>
    </w:p>
    <w:p>
      <w:pPr>
        <w:spacing w:after="160"/>
      </w:pPr>
      <w:r>
        <w:rPr>
          <w:sz w:val="21"/>
        </w:rPr>
        <w:t>Composite hub score: module membership (kME) + gene significance (GS) + intramodular connectivity.</w:t>
      </w:r>
    </w:p>
    <w:p>
      <w:pPr>
        <w:pStyle w:val="Heading2"/>
      </w:pPr>
      <w:r>
        <w:t>2.9 lncRNA–Network Integration</w:t>
      </w:r>
    </w:p>
    <w:p>
      <w:pPr>
        <w:spacing w:after="160"/>
      </w:pPr>
      <w:r>
        <w:rPr>
          <w:sz w:val="21"/>
        </w:rPr>
        <w:t>network_integration_score formula combining priority, recurrence, module correlation, hub centrality, gene significance.</w:t>
      </w:r>
    </w:p>
    <w:p>
      <w:pPr>
        <w:pStyle w:val="Heading2"/>
      </w:pPr>
      <w:r>
        <w:t>2.10 Functional Enrichment Analysis</w:t>
      </w:r>
    </w:p>
    <w:p>
      <w:pPr>
        <w:spacing w:after="160"/>
      </w:pPr>
      <w:r>
        <w:rPr>
          <w:sz w:val="21"/>
        </w:rPr>
        <w:t>clusterProfiler GO (BP, MF) and KEGG ORA, BH correction, background = all 20,042 tested genes.</w:t>
      </w:r>
    </w:p>
    <w:p>
      <w:pPr>
        <w:pStyle w:val="Heading2"/>
      </w:pPr>
      <w:r>
        <w:t>2.11 Machine Learning Classification</w:t>
      </w:r>
    </w:p>
    <w:p>
      <w:pPr>
        <w:spacing w:after="160"/>
      </w:pPr>
      <w:r>
        <w:rPr>
          <w:sz w:val="21"/>
        </w:rPr>
        <w:t>Feature set (hub genes, 8 focus modules); Random Forest, Logistic Regression, SVM-RBF, XGBoost; 5-fold stratified CV; permutation significance testing (n=100); SHAP explainability.</w:t>
      </w:r>
    </w:p>
    <w:p>
      <w:pPr>
        <w:pStyle w:val="Heading2"/>
      </w:pPr>
      <w:r>
        <w:t>2.12 Software and Reproducibility</w:t>
      </w:r>
    </w:p>
    <w:p>
      <w:pPr>
        <w:spacing w:after="160"/>
      </w:pPr>
      <w:r>
        <w:rPr>
          <w:sz w:val="21"/>
        </w:rPr>
        <w:t>R version + key package versions (DESeq2, WGCNA, clusterProfiler); Python version + key package versions (scikit-learn, xgboost, shap); note that all analysis code is available in Appendix C for reproducibility.</w:t>
      </w:r>
    </w:p>
    <w:p>
      <w:r>
        <w:br w:type="page"/>
      </w:r>
    </w:p>
    <w:p>
      <w:pPr>
        <w:pStyle w:val="Heading1"/>
      </w:pPr>
      <w:r>
        <w:t>Chapter 3. RESULTS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Guidance: keep Results separate from Discussion. Each section should give (i) what was done, (ii) design features, (iii) results — tabular/graphical, (iv) statistics, (v) immediate conclusion, (vi) link to the next step. No interpretation/speculation — that belongs in Chapter 4. Figures numbered Fig. 3.1, 3.2... in first-citation order. Target ≈1,600–1,900 words, ≈8–10 pages.</w:t>
      </w:r>
    </w:p>
    <w:p>
      <w:pPr>
        <w:pStyle w:val="Heading2"/>
      </w:pPr>
      <w:r>
        <w:t>3.1 Sample Quality Control and Cohort Characteristics</w:t>
      </w:r>
    </w:p>
    <w:p>
      <w:pPr>
        <w:spacing w:after="160"/>
      </w:pPr>
      <w:r>
        <w:rPr>
          <w:sz w:val="21"/>
        </w:rPr>
        <w:t>Final sample numbers (ND=18, IGT=41, T2D=39); PCA/library-size/detected-gene QC confirming no batch effects or outliers. → Fig. 3.1 (from Main_Results_Figures.docx Figure 1) + Table 3.1.</w:t>
      </w:r>
    </w:p>
    <w:p>
      <w:pPr>
        <w:pStyle w:val="Heading2"/>
      </w:pPr>
      <w:r>
        <w:t>3.2 Differential Gene Expression Across Disease Progression</w:t>
      </w:r>
    </w:p>
    <w:p>
      <w:pPr>
        <w:spacing w:after="160"/>
      </w:pPr>
      <w:r>
        <w:rPr>
          <w:sz w:val="21"/>
        </w:rPr>
        <w:t>DEG counts: T2D vs ND (563 up/41 down), IGT vs ND (189 up/4 down), T2D vs IGT (210 up/35 down). → Fig. 3.2 + top-10 DEG table.</w:t>
      </w:r>
    </w:p>
    <w:p>
      <w:pPr>
        <w:pStyle w:val="Heading2"/>
      </w:pPr>
      <w:r>
        <w:t>3.3 Long Non-Coding RNA Prioritisation</w:t>
      </w:r>
    </w:p>
    <w:p>
      <w:pPr>
        <w:spacing w:after="160"/>
      </w:pPr>
      <w:r>
        <w:rPr>
          <w:sz w:val="21"/>
        </w:rPr>
        <w:t>115 lncRNAs identified; composite score distribution and top-ranked candidates per comparison. → Fig. 3.3.</w:t>
      </w:r>
    </w:p>
    <w:p>
      <w:pPr>
        <w:pStyle w:val="Heading2"/>
      </w:pPr>
      <w:r>
        <w:t>3.4 Co-Expression Network Construction</w:t>
      </w:r>
    </w:p>
    <w:p>
      <w:pPr>
        <w:spacing w:after="160"/>
      </w:pPr>
      <w:r>
        <w:rPr>
          <w:sz w:val="21"/>
        </w:rPr>
        <w:t>Soft-threshold power selection (β=8, R²=0.851); 30 modules; 20,042 genes clustered. → Fig. 3.4 (panels A–C).</w:t>
      </w:r>
    </w:p>
    <w:p>
      <w:pPr>
        <w:pStyle w:val="Heading2"/>
      </w:pPr>
      <w:r>
        <w:t>3.5 Module–Trait Associations and Focus Module Selection</w:t>
      </w:r>
    </w:p>
    <w:p>
      <w:pPr>
        <w:spacing w:after="160"/>
      </w:pPr>
      <w:r>
        <w:rPr>
          <w:sz w:val="21"/>
        </w:rPr>
        <w:t>Trait-correlated modules; the 8 final focus modules and 5,760 genes; explicitly flag which three (midnightblue, darkgreen, tan) were added on lncRNA content rather than trait correlation. → Fig. 3.4 (panel D).</w:t>
      </w:r>
    </w:p>
    <w:p>
      <w:pPr>
        <w:pStyle w:val="Heading2"/>
      </w:pPr>
      <w:r>
        <w:t>3.6 Hub Gene Identification in Focus Modules</w:t>
      </w:r>
    </w:p>
    <w:p>
      <w:pPr>
        <w:spacing w:after="160"/>
      </w:pPr>
      <w:r>
        <w:rPr>
          <w:sz w:val="21"/>
        </w:rPr>
        <w:t>Top hub genes per module (e.g. brown: DKK3, IRF8, PLA2G2A, COL6A1, MYOF). → Fig. 3.5.</w:t>
      </w:r>
    </w:p>
    <w:p>
      <w:pPr>
        <w:pStyle w:val="Heading2"/>
      </w:pPr>
      <w:r>
        <w:t>3.7 Integration of lncRNA Candidates Within the Co-Expression Network</w:t>
      </w:r>
    </w:p>
    <w:p>
      <w:pPr>
        <w:spacing w:after="160"/>
      </w:pPr>
      <w:r>
        <w:rPr>
          <w:sz w:val="21"/>
        </w:rPr>
        <w:t>49 prioritised lncRNAs mapped into focus modules with valid network integration scores; which modules they concentrate in. → Fig. 3.6 (regenerated).</w:t>
      </w:r>
    </w:p>
    <w:p>
      <w:pPr>
        <w:pStyle w:val="Heading2"/>
      </w:pPr>
      <w:r>
        <w:t>3.8 Functional Enrichment of Disease-Associated Modules</w:t>
      </w:r>
    </w:p>
    <w:p>
      <w:pPr>
        <w:spacing w:after="160"/>
      </w:pPr>
      <w:r>
        <w:rPr>
          <w:sz w:val="21"/>
        </w:rPr>
        <w:t>Headline enriched terms per module (black: RNA modification, 17/373; tan: GPCR activity, 14/184). → Fig. 3.7.</w:t>
      </w:r>
    </w:p>
    <w:p>
      <w:pPr>
        <w:pStyle w:val="Heading2"/>
      </w:pPr>
      <w:r>
        <w:t>3.9 Machine Learning Classification of Disease Status</w:t>
      </w:r>
    </w:p>
    <w:p>
      <w:pPr>
        <w:spacing w:after="160"/>
      </w:pPr>
      <w:r>
        <w:rPr>
          <w:sz w:val="21"/>
        </w:rPr>
        <w:t>Binary T2D vs ND performance (AUC≈0.99, permutation p&lt;0.05), 3-class BACC (0.714), top SHAP/feature-importance genes. → Fig. 3.8.</w:t>
      </w:r>
    </w:p>
    <w:p>
      <w:r>
        <w:br w:type="page"/>
      </w:r>
    </w:p>
    <w:p>
      <w:pPr>
        <w:pStyle w:val="Heading1"/>
      </w:pPr>
      <w:r>
        <w:t>Chapter 4. DISCUSSION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Guidance: evaluate results — how can they be interpreted, what could cause inconsistencies, what is their significance? Link back explicitly to Chapter 1 literature, showing what this work adds. Target ≈1,400–1,700 words, ≈6–8 pages.</w:t>
      </w:r>
    </w:p>
    <w:p>
      <w:pPr>
        <w:pStyle w:val="Heading2"/>
      </w:pPr>
      <w:r>
        <w:t>4.1 Summary of Principal Findings</w:t>
      </w:r>
    </w:p>
    <w:p>
      <w:pPr>
        <w:spacing w:after="160"/>
      </w:pPr>
      <w:r>
        <w:rPr>
          <w:sz w:val="21"/>
        </w:rPr>
        <w:t>Plain-language synthesis mapped against the 4 aims (1.8) — no new numbers.</w:t>
      </w:r>
    </w:p>
    <w:p>
      <w:pPr>
        <w:pStyle w:val="Heading2"/>
      </w:pPr>
      <w:r>
        <w:t>4.2 Biological Interpretation of Disease-Associated Modules and Hub Genes</w:t>
      </w:r>
    </w:p>
    <w:p>
      <w:pPr>
        <w:spacing w:after="160"/>
      </w:pPr>
      <w:r>
        <w:rPr>
          <w:sz w:val="21"/>
        </w:rPr>
        <w:t>What module functions (insulin secretion, RNA modification, GPCR signalling) suggest mechanistically; connect hub genes to known biology where literature exists.</w:t>
      </w:r>
    </w:p>
    <w:p>
      <w:pPr>
        <w:pStyle w:val="Heading2"/>
      </w:pPr>
      <w:r>
        <w:t>4.3 lncRNA Candidates: Putative Roles</w:t>
      </w:r>
    </w:p>
    <w:p>
      <w:pPr>
        <w:spacing w:after="160"/>
      </w:pPr>
      <w:r>
        <w:rPr>
          <w:sz w:val="21"/>
        </w:rPr>
        <w:t>Plausible mechanistic hypotheses (cis-regulation of a neighbouring hub gene, ceRNA activity) for top candidates — flagged explicitly as hypotheses requiring experimental validation.</w:t>
      </w:r>
    </w:p>
    <w:p>
      <w:pPr>
        <w:pStyle w:val="Heading2"/>
      </w:pPr>
      <w:r>
        <w:t>4.4 Interpreting the Machine Learning Result</w:t>
      </w:r>
    </w:p>
    <w:p>
      <w:pPr>
        <w:spacing w:after="160"/>
      </w:pPr>
      <w:r>
        <w:rPr>
          <w:sz w:val="21"/>
        </w:rPr>
        <w:t>What near-perfect AUC means given hub genes were partly selected via trait correlation (acknowledge circularity risk); why 3-class BACC drops for the intermediate IGT group.</w:t>
      </w:r>
    </w:p>
    <w:p>
      <w:pPr>
        <w:pStyle w:val="Heading2"/>
      </w:pPr>
      <w:r>
        <w:t>4.5 Comparison with Existing Literature</w:t>
      </w:r>
    </w:p>
    <w:p>
      <w:pPr>
        <w:spacing w:after="160"/>
      </w:pPr>
      <w:r>
        <w:rPr>
          <w:sz w:val="21"/>
        </w:rPr>
        <w:t>Direct comparison of DEG counts, lncRNA candidates, and modules against Wigger et al. (2021), Dehghanian et al. (2026), Pan et al. (2022) — explicit agreement/divergence and why.</w:t>
      </w:r>
    </w:p>
    <w:p>
      <w:pPr>
        <w:pStyle w:val="Heading2"/>
      </w:pPr>
      <w:r>
        <w:t>4.6 Strengths and Limitations</w:t>
      </w:r>
    </w:p>
    <w:p>
      <w:pPr>
        <w:spacing w:after="160"/>
      </w:pPr>
      <w:r>
        <w:rPr>
          <w:sz w:val="21"/>
        </w:rPr>
        <w:t>Strengths: full 3-group disease continuum; dual-criterion module selection; multi-model ML with permutation testing. Limitations: cross-sectional bulk RNA-seq (no cell-type resolution, no causality); modest IGT/ND n; potential optimism bias in ML features; no wet-lab validation.</w:t>
      </w:r>
    </w:p>
    <w:p>
      <w:r>
        <w:br w:type="page"/>
      </w:r>
    </w:p>
    <w:p>
      <w:pPr>
        <w:pStyle w:val="Heading1"/>
      </w:pPr>
      <w:r>
        <w:t>Chapter 5. CONCLUSIONS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Guidance is explicit and brief: (1) reiterate aims very briefly, (2) reiterate pertinent results/interpretation/significance in an integrated fashion, (3) wider implications, (4) recommend future directions. Target 300–500 words, 1–2 pages — this chapter must stay short.</w:t>
      </w:r>
    </w:p>
    <w:p>
      <w:pPr>
        <w:spacing w:after="160"/>
      </w:pPr>
      <w:r>
        <w:rPr>
          <w:sz w:val="21"/>
        </w:rPr>
        <w:t>Reiterate aims (very briefly) → integrated summary of key results and their significance → wider implications (candidate biomarkers/mechanistic leads for T2D research) → future directions (single-cell resolution, functional validation of lncRNA candidates, external cohort validation, longitudinal data).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Guidance allows EITHER numbered citations [15] OR Harvard (Author, Year) — pick one and use it consistently throughout; do not mix. Reference list alphabetical (Harvard) or numerical (numbered), full author names, recognised journal abbreviations. Consider Zoterobib (zbib.org) or similar reference-manager software.</w:t>
      </w:r>
    </w:p>
    <w:p>
      <w:pPr>
        <w:spacing w:after="160"/>
      </w:pPr>
      <w:r>
        <w:rPr>
          <w:sz w:val="21"/>
        </w:rPr>
        <w:t>Minimum required: Wigger et al. 2021 (Nat Metab, GSE164416 source), Dehghanian et al. 2026, Pan et al. 2022, DESeq2 (Love et al. 2014), WGCNA (Langfelder &amp; Horvath 2008), clusterProfiler (Wu et al. 2021), scikit-learn (Pedregosa et al. 2011), XGBoost (Chen &amp; Guestrin 2016), SHAP (Lundberg &amp; Lee 2017) — plus every paper critically discussed in Chapter 1.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Guidance: appendices hold "large blocks of data generated, code, original software" etc. — the report must stand alone WITHOUT the reader needing to open them. Do not put anything appendix-only that Chapter 3 depends on to make its argument.</w:t>
      </w:r>
    </w:p>
    <w:p>
      <w:pPr>
        <w:pStyle w:val="Heading2"/>
      </w:pPr>
      <w:r>
        <w:t>Appendix A — Supplementary Figures</w:t>
      </w:r>
    </w:p>
    <w:p>
      <w:pPr>
        <w:spacing w:after="160"/>
      </w:pPr>
      <w:r>
        <w:rPr>
          <w:sz w:val="21"/>
        </w:rPr>
        <w:t>Supplementary_Figures_Appendix.docx content (62 figures, S1–S62, grouped QC/DE/lncRNA/WGCNA/Enrichment/ML) — full evidence trail beyond what's cited in Chapter 3.</w:t>
      </w:r>
    </w:p>
    <w:p>
      <w:pPr>
        <w:pStyle w:val="Heading2"/>
      </w:pPr>
      <w:r>
        <w:t>Appendix B — Supplementary Tables</w:t>
      </w:r>
    </w:p>
    <w:p>
      <w:pPr>
        <w:spacing w:after="160"/>
      </w:pPr>
      <w:r>
        <w:rPr>
          <w:sz w:val="21"/>
        </w:rPr>
        <w:t>Full DEG tables per comparison, full lncRNA prioritisation tables, full hub-gene rankings, full GO/KEGG tables per module.</w:t>
      </w:r>
    </w:p>
    <w:p>
      <w:pPr>
        <w:pStyle w:val="Heading2"/>
      </w:pPr>
      <w:r>
        <w:t>Appendix C — Analysis Pipeline Code</w:t>
      </w:r>
    </w:p>
    <w:p>
      <w:pPr>
        <w:spacing w:after="160"/>
      </w:pPr>
      <w:r>
        <w:rPr>
          <w:sz w:val="21"/>
        </w:rPr>
        <w:t>pipeline_appendix.Rmd knitted output — scripts 00–06 with rationale, code, results — demonstrates reproducibility per the Methodology chapter's requirements.</w:t>
      </w:r>
    </w:p>
    <w:p>
      <w:pPr>
        <w:pStyle w:val="Heading2"/>
      </w:pPr>
      <w:r>
        <w:t>Appendix D — Machine Learning Model Outputs</w:t>
      </w:r>
    </w:p>
    <w:p>
      <w:pPr>
        <w:spacing w:after="160"/>
      </w:pPr>
      <w:r>
        <w:rPr>
          <w:sz w:val="21"/>
        </w:rPr>
        <w:t>Full classification reports, confusion matrices, SHAP gene rankings, permutation test results.</w:t>
      </w:r>
    </w:p>
    <w:p>
      <w:r>
        <w:br w:type="page"/>
      </w:r>
    </w:p>
    <w:p>
      <w:pPr>
        <w:pStyle w:val="Heading1"/>
      </w:pPr>
      <w:r>
        <w:t>Suggested Diagrams for Chapter 1 (Introduction)</w:t>
      </w:r>
    </w:p>
    <w:p>
      <w:pPr>
        <w:spacing w:after="200"/>
        <w:ind w:left="216"/>
      </w:pPr>
      <w:r>
        <w:rPr>
          <w:rFonts w:ascii="Calibri" w:hAnsi="Calibri"/>
          <w:i/>
          <w:color w:val="444444"/>
          <w:sz w:val="19"/>
        </w:rPr>
        <w:t>Conceptual figures, not pipeline output — numbered as part of Chapter 1 (Fig. 1.1, 1.2, 1.3). Say the word and I'll generate clean vector versions.</w:t>
      </w:r>
    </w:p>
    <w:p>
      <w:pPr>
        <w:pStyle w:val="Heading2"/>
      </w:pPr>
      <w:r>
        <w:t>Fig. 1.1 — RNA Biotype Hierarchy</w:t>
      </w:r>
    </w:p>
    <w:p>
      <w:pPr>
        <w:spacing w:after="160"/>
      </w:pPr>
      <w:r>
        <w:rPr>
          <w:sz w:val="21"/>
        </w:rPr>
        <w:t>Classification tree: RNA → coding (mRNA) vs non-coding → ncRNA → housekeeping (rRNA, tRNA) vs regulatory (miRNA, lncRNA, circRNA, piRNA) → lncRNA by genomic context (lincRNA, antisense, intronic, sense-overlapping). Accompanies Section 1.4.1.</w:t>
      </w:r>
    </w:p>
    <w:p>
      <w:pPr>
        <w:pStyle w:val="Heading2"/>
      </w:pPr>
      <w:r>
        <w:t>Fig. 1.2 — Co-Expression Network Concept Schematic</w:t>
      </w:r>
    </w:p>
    <w:p>
      <w:pPr>
        <w:spacing w:after="160"/>
      </w:pPr>
      <w:r>
        <w:rPr>
          <w:sz w:val="21"/>
        </w:rPr>
        <w:t>Genes as nodes, edges weighted by correlation, clustering into colour-coded modules, module eigengene as summary trajectory. Accompanies Section 1.5.</w:t>
      </w:r>
    </w:p>
    <w:p>
      <w:pPr>
        <w:pStyle w:val="Heading2"/>
      </w:pPr>
      <w:r>
        <w:t>Fig. 1.3 — Disease Progression Schematic (ND → IGT → T2D)</w:t>
      </w:r>
    </w:p>
    <w:p>
      <w:pPr>
        <w:spacing w:after="160"/>
      </w:pPr>
      <w:r>
        <w:rPr>
          <w:sz w:val="21"/>
        </w:rPr>
        <w:t>Beta-cell mass/function declining and insulin resistance rising across stages, annotated with this study's sample sizes at each stage. Accompanies Section 1.1.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