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Capa – com integrantes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Introdução: apresentação do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Falar do desempenho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Proposta: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Meios de transmissão: wifi, fibra, par trançado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  <w:tab/>
        <w:t xml:space="preserve">Resp.: Par trançado cat6e e wifi 802.11b/g/n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Dispositivos intermediários: roteadores, estações de trabalho, switch, repetidor,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Custo: provedor, cabeamento,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Topologia: estrela, anel, barramento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Planta:</w:t>
      </w:r>
      <w:r w:rsidDel="00000000" w:rsidR="00000000" w:rsidRPr="00000000">
        <w:rPr>
          <w:rtl w:val="0"/>
        </w:rPr>
        <w:t xml:space="preserve"> 5 classificações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Parâmetro de comparação: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Compatibilidade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Modularidade: exemplo: o cliente recebe uma rede básica, com módulos para alterar 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Retardo de acesso: falar do que causa retardo, e estratégias para reduzir o retardo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Retardo de transmissão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Retardo de transferência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Sensibilidade tecnológica: praticamente a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Classificação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Abrangência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Topologia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Meio de transmissão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Tecnologia de transmissão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