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4E79"/>
          <w:sz w:val="40"/>
          <w:szCs w:val="40"/>
        </w:rPr>
        <w:t xml:space="preserve">ENDO DIGEST</w:t>
      </w:r>
    </w:p>
    <w:p>
      <w:pPr>
        <w:spacing w:after="40" w:before="0"/>
      </w:pPr>
      <w:r>
        <w:rPr>
          <w:b/>
          <w:bCs/>
          <w:color w:val="666666"/>
          <w:sz w:val="24"/>
          <w:szCs w:val="24"/>
        </w:rPr>
        <w:t xml:space="preserve">v5.6  —  June 2026</w:t>
      </w:r>
    </w:p>
    <w:p>
      <w:pPr>
        <w:spacing w:after="40" w:before="0"/>
      </w:pPr>
      <w:r>
        <w:rPr>
          <w:i/>
          <w:iCs/>
          <w:color w:val="666666"/>
          <w:sz w:val="24"/>
          <w:szCs w:val="24"/>
        </w:rPr>
        <w:t xml:space="preserve">Search Strategy Reference &amp; Audit</w:t>
      </w:r>
    </w:p>
    <w:p>
      <w:pPr>
        <w:spacing w:after="240" w:before="0"/>
      </w:pPr>
      <w:r>
        <w:rPr>
          <w:i/>
          <w:iCs/>
          <w:color w:val="666666"/>
          <w:sz w:val="22"/>
          <w:szCs w:val="22"/>
        </w:rPr>
        <w:t xml:space="preserve">RACP Advanced Training in Endocrinology &amp; Metabolism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0D5DD" w:sz="2"/>
              <w:left w:val="single" w:color="D0D5DD" w:sz="2"/>
              <w:bottom w:val="single" w:color="D0D5DD" w:sz="2"/>
              <w:right w:val="single" w:color="D0D5DD" w:sz="2"/>
            </w:tcBorders>
            <w:shd w:fill="F2F4F7" w:val="clear"/>
            <w:tcMar>
              <w:top w:type="dxa" w:w="60"/>
              <w:left w:type="dxa" w:w="120"/>
              <w:bottom w:type="dxa" w:w="60"/>
              <w:right w:type="dxa" w:w="120"/>
            </w:tcMar>
          </w:tcPr>
          <w:p>
            <w:r>
              <w:rPr>
                <w:b/>
                <w:bCs/>
                <w:sz w:val="20"/>
                <w:szCs w:val="20"/>
              </w:rPr>
              <w:t xml:space="preserve">Version</w:t>
            </w:r>
          </w:p>
        </w:tc>
        <w:tc>
          <w:tcPr>
            <w:tcW w:type="dxa" w:w="6760"/>
            <w:tcBorders>
              <w:top w:val="single" w:color="D0D5DD" w:sz="2"/>
              <w:left w:val="single" w:color="D0D5DD" w:sz="2"/>
              <w:bottom w:val="single" w:color="D0D5DD" w:sz="2"/>
              <w:right w:val="single" w:color="D0D5DD" w:sz="2"/>
            </w:tcBorders>
            <w:shd w:fill="FFFFFF" w:val="clear"/>
            <w:tcMar>
              <w:top w:type="dxa" w:w="60"/>
              <w:left w:type="dxa" w:w="120"/>
              <w:bottom w:type="dxa" w:w="60"/>
              <w:right w:type="dxa" w:w="120"/>
            </w:tcMar>
          </w:tcPr>
          <w:p>
            <w:r>
              <w:rPr>
                <w:b w:val="false"/>
                <w:bCs w:val="false"/>
                <w:sz w:val="20"/>
                <w:szCs w:val="20"/>
              </w:rPr>
              <w:t xml:space="preserve">v5.6 (supersedes v5.4 reference / v5.3 application)</w:t>
            </w:r>
          </w:p>
        </w:tc>
      </w:tr>
      <w:tr>
        <w:tc>
          <w:tcPr>
            <w:tcW w:type="dxa" w:w="2600"/>
            <w:tcBorders>
              <w:top w:val="single" w:color="D0D5DD" w:sz="2"/>
              <w:left w:val="single" w:color="D0D5DD" w:sz="2"/>
              <w:bottom w:val="single" w:color="D0D5DD" w:sz="2"/>
              <w:right w:val="single" w:color="D0D5DD" w:sz="2"/>
            </w:tcBorders>
            <w:shd w:fill="F2F4F7" w:val="clear"/>
            <w:tcMar>
              <w:top w:type="dxa" w:w="60"/>
              <w:left w:type="dxa" w:w="120"/>
              <w:bottom w:type="dxa" w:w="60"/>
              <w:right w:type="dxa" w:w="120"/>
            </w:tcMar>
          </w:tcPr>
          <w:p>
            <w:r>
              <w:rPr>
                <w:b/>
                <w:bCs/>
                <w:sz w:val="20"/>
                <w:szCs w:val="20"/>
              </w:rPr>
              <w:t xml:space="preserve">Domains</w:t>
            </w:r>
          </w:p>
        </w:tc>
        <w:tc>
          <w:tcPr>
            <w:tcW w:type="dxa" w:w="6760"/>
            <w:tcBorders>
              <w:top w:val="single" w:color="D0D5DD" w:sz="2"/>
              <w:left w:val="single" w:color="D0D5DD" w:sz="2"/>
              <w:bottom w:val="single" w:color="D0D5DD" w:sz="2"/>
              <w:right w:val="single" w:color="D0D5DD" w:sz="2"/>
            </w:tcBorders>
            <w:shd w:fill="FFFFFF" w:val="clear"/>
            <w:tcMar>
              <w:top w:type="dxa" w:w="60"/>
              <w:left w:type="dxa" w:w="120"/>
              <w:bottom w:type="dxa" w:w="60"/>
              <w:right w:type="dxa" w:w="120"/>
            </w:tcMar>
          </w:tcPr>
          <w:p>
            <w:r>
              <w:rPr>
                <w:b w:val="false"/>
                <w:bCs w:val="false"/>
                <w:sz w:val="20"/>
                <w:szCs w:val="20"/>
              </w:rPr>
              <w:t xml:space="preserve">10 RACP-aligned clinical domains</w:t>
            </w:r>
          </w:p>
        </w:tc>
      </w:tr>
      <w:tr>
        <w:tc>
          <w:tcPr>
            <w:tcW w:type="dxa" w:w="2600"/>
            <w:tcBorders>
              <w:top w:val="single" w:color="D0D5DD" w:sz="2"/>
              <w:left w:val="single" w:color="D0D5DD" w:sz="2"/>
              <w:bottom w:val="single" w:color="D0D5DD" w:sz="2"/>
              <w:right w:val="single" w:color="D0D5DD" w:sz="2"/>
            </w:tcBorders>
            <w:shd w:fill="F2F4F7" w:val="clear"/>
            <w:tcMar>
              <w:top w:type="dxa" w:w="60"/>
              <w:left w:type="dxa" w:w="120"/>
              <w:bottom w:type="dxa" w:w="60"/>
              <w:right w:type="dxa" w:w="120"/>
            </w:tcMar>
          </w:tcPr>
          <w:p>
            <w:r>
              <w:rPr>
                <w:b/>
                <w:bCs/>
                <w:sz w:val="20"/>
                <w:szCs w:val="20"/>
              </w:rPr>
              <w:t xml:space="preserve">Subdomains</w:t>
            </w:r>
          </w:p>
        </w:tc>
        <w:tc>
          <w:tcPr>
            <w:tcW w:type="dxa" w:w="6760"/>
            <w:tcBorders>
              <w:top w:val="single" w:color="D0D5DD" w:sz="2"/>
              <w:left w:val="single" w:color="D0D5DD" w:sz="2"/>
              <w:bottom w:val="single" w:color="D0D5DD" w:sz="2"/>
              <w:right w:val="single" w:color="D0D5DD" w:sz="2"/>
            </w:tcBorders>
            <w:shd w:fill="FFFFFF" w:val="clear"/>
            <w:tcMar>
              <w:top w:type="dxa" w:w="60"/>
              <w:left w:type="dxa" w:w="120"/>
              <w:bottom w:type="dxa" w:w="60"/>
              <w:right w:type="dxa" w:w="120"/>
            </w:tcMar>
          </w:tcPr>
          <w:p>
            <w:r>
              <w:rPr>
                <w:b w:val="false"/>
                <w:bCs w:val="false"/>
                <w:sz w:val="20"/>
                <w:szCs w:val="20"/>
              </w:rPr>
              <w:t xml:space="preserve">53 independently queryable subdomains</w:t>
            </w:r>
          </w:p>
        </w:tc>
      </w:tr>
      <w:tr>
        <w:tc>
          <w:tcPr>
            <w:tcW w:type="dxa" w:w="2600"/>
            <w:tcBorders>
              <w:top w:val="single" w:color="D0D5DD" w:sz="2"/>
              <w:left w:val="single" w:color="D0D5DD" w:sz="2"/>
              <w:bottom w:val="single" w:color="D0D5DD" w:sz="2"/>
              <w:right w:val="single" w:color="D0D5DD" w:sz="2"/>
            </w:tcBorders>
            <w:shd w:fill="F2F4F7" w:val="clear"/>
            <w:tcMar>
              <w:top w:type="dxa" w:w="60"/>
              <w:left w:type="dxa" w:w="120"/>
              <w:bottom w:type="dxa" w:w="60"/>
              <w:right w:type="dxa" w:w="120"/>
            </w:tcMar>
          </w:tcPr>
          <w:p>
            <w:r>
              <w:rPr>
                <w:b/>
                <w:bCs/>
                <w:sz w:val="20"/>
                <w:szCs w:val="20"/>
              </w:rPr>
              <w:t xml:space="preserve">Query syntax</w:t>
            </w:r>
          </w:p>
        </w:tc>
        <w:tc>
          <w:tcPr>
            <w:tcW w:type="dxa" w:w="6760"/>
            <w:tcBorders>
              <w:top w:val="single" w:color="D0D5DD" w:sz="2"/>
              <w:left w:val="single" w:color="D0D5DD" w:sz="2"/>
              <w:bottom w:val="single" w:color="D0D5DD" w:sz="2"/>
              <w:right w:val="single" w:color="D0D5DD" w:sz="2"/>
            </w:tcBorders>
            <w:shd w:fill="FFFFFF" w:val="clear"/>
            <w:tcMar>
              <w:top w:type="dxa" w:w="60"/>
              <w:left w:type="dxa" w:w="120"/>
              <w:bottom w:type="dxa" w:w="60"/>
              <w:right w:type="dxa" w:w="120"/>
            </w:tcMar>
          </w:tcPr>
          <w:p>
            <w:r>
              <w:rPr>
                <w:b w:val="false"/>
                <w:bCs w:val="false"/>
                <w:sz w:val="20"/>
                <w:szCs w:val="20"/>
              </w:rPr>
              <w:t xml:space="preserve">PubMed NCBI E-utilities — esearch.fcgi</w:t>
            </w:r>
          </w:p>
        </w:tc>
      </w:tr>
      <w:tr>
        <w:tc>
          <w:tcPr>
            <w:tcW w:type="dxa" w:w="2600"/>
            <w:tcBorders>
              <w:top w:val="single" w:color="D0D5DD" w:sz="2"/>
              <w:left w:val="single" w:color="D0D5DD" w:sz="2"/>
              <w:bottom w:val="single" w:color="D0D5DD" w:sz="2"/>
              <w:right w:val="single" w:color="D0D5DD" w:sz="2"/>
            </w:tcBorders>
            <w:shd w:fill="F2F4F7" w:val="clear"/>
            <w:tcMar>
              <w:top w:type="dxa" w:w="60"/>
              <w:left w:type="dxa" w:w="120"/>
              <w:bottom w:type="dxa" w:w="60"/>
              <w:right w:type="dxa" w:w="120"/>
            </w:tcMar>
          </w:tcPr>
          <w:p>
            <w:r>
              <w:rPr>
                <w:b/>
                <w:bCs/>
                <w:sz w:val="20"/>
                <w:szCs w:val="20"/>
              </w:rPr>
              <w:t xml:space="preserve">Audit scope</w:t>
            </w:r>
          </w:p>
        </w:tc>
        <w:tc>
          <w:tcPr>
            <w:tcW w:type="dxa" w:w="6760"/>
            <w:tcBorders>
              <w:top w:val="single" w:color="D0D5DD" w:sz="2"/>
              <w:left w:val="single" w:color="D0D5DD" w:sz="2"/>
              <w:bottom w:val="single" w:color="D0D5DD" w:sz="2"/>
              <w:right w:val="single" w:color="D0D5DD" w:sz="2"/>
            </w:tcBorders>
            <w:shd w:fill="FFFFFF" w:val="clear"/>
            <w:tcMar>
              <w:top w:type="dxa" w:w="60"/>
              <w:left w:type="dxa" w:w="120"/>
              <w:bottom w:type="dxa" w:w="60"/>
              <w:right w:type="dxa" w:w="120"/>
            </w:tcMar>
          </w:tcPr>
          <w:p>
            <w:r>
              <w:rPr>
                <w:b w:val="false"/>
                <w:bCs w:val="false"/>
                <w:sz w:val="20"/>
                <w:szCs w:val="20"/>
              </w:rPr>
              <w:t xml:space="preserve">Boolean precedence and grouping</w:t>
            </w:r>
          </w:p>
        </w:tc>
      </w:tr>
      <w:tr>
        <w:tc>
          <w:tcPr>
            <w:tcW w:type="dxa" w:w="2600"/>
            <w:tcBorders>
              <w:top w:val="single" w:color="D0D5DD" w:sz="2"/>
              <w:left w:val="single" w:color="D0D5DD" w:sz="2"/>
              <w:bottom w:val="single" w:color="D0D5DD" w:sz="2"/>
              <w:right w:val="single" w:color="D0D5DD" w:sz="2"/>
            </w:tcBorders>
            <w:shd w:fill="F2F4F7" w:val="clear"/>
            <w:tcMar>
              <w:top w:type="dxa" w:w="60"/>
              <w:left w:type="dxa" w:w="120"/>
              <w:bottom w:type="dxa" w:w="60"/>
              <w:right w:type="dxa" w:w="120"/>
            </w:tcMar>
          </w:tcPr>
          <w:p>
            <w:r>
              <w:rPr>
                <w:b/>
                <w:bCs/>
                <w:sz w:val="20"/>
                <w:szCs w:val="20"/>
              </w:rPr>
              <w:t xml:space="preserve">Validation</w:t>
            </w:r>
          </w:p>
        </w:tc>
        <w:tc>
          <w:tcPr>
            <w:tcW w:type="dxa" w:w="6760"/>
            <w:tcBorders>
              <w:top w:val="single" w:color="D0D5DD" w:sz="2"/>
              <w:left w:val="single" w:color="D0D5DD" w:sz="2"/>
              <w:bottom w:val="single" w:color="D0D5DD" w:sz="2"/>
              <w:right w:val="single" w:color="D0D5DD" w:sz="2"/>
            </w:tcBorders>
            <w:shd w:fill="FFFFFF" w:val="clear"/>
            <w:tcMar>
              <w:top w:type="dxa" w:w="60"/>
              <w:left w:type="dxa" w:w="120"/>
              <w:bottom w:type="dxa" w:w="60"/>
              <w:right w:type="dxa" w:w="120"/>
            </w:tcMar>
          </w:tcPr>
          <w:p>
            <w:r>
              <w:rPr>
                <w:b w:val="false"/>
                <w:bCs w:val="false"/>
                <w:sz w:val="20"/>
                <w:szCs w:val="20"/>
              </w:rPr>
              <w:t xml:space="preserve">Syntax &amp; domain review only — not validated against live result counts</w:t>
            </w:r>
          </w:p>
        </w:tc>
      </w:tr>
    </w:tbl>
    <w:p>
      <w:pPr>
        <w:spacing w:after="200" w:before="0"/>
      </w:pPr>
      <w:r>
        <w:rPr>
          <w:sz w:val="22"/>
          <w:szCs w:val="22"/>
        </w:rPr>
        <w:t xml:space="preserve"/>
      </w:r>
    </w:p>
    <w:p>
      <w:pPr>
        <w:pStyle w:val="Heading1"/>
        <w:spacing w:after="120" w:before="120"/>
      </w:pPr>
      <w:r>
        <w:rPr>
          <w:b/>
          <w:bCs/>
          <w:color w:val="1F4E79"/>
          <w:sz w:val="30"/>
          <w:szCs w:val="30"/>
        </w:rPr>
        <w:t xml:space="preserve">1.  Why this revision (v5.6)</w:t>
      </w:r>
    </w:p>
    <w:p>
      <w:pPr>
        <w:spacing w:after="140" w:before="0"/>
      </w:pPr>
      <w:r>
        <w:rPr>
          <w:sz w:val="22"/>
          <w:szCs w:val="22"/>
        </w:rPr>
        <w:t xml:space="preserve">This revision corrects a systematic Boolean-precedence defect that affected the majority of subdomain queries, No search terms were added or removed; the changes are limited to parenthesisation and grouping so that each query expresses the clinical logic that was clearly intended in v5.4.</w:t>
      </w:r>
    </w:p>
    <w:p>
      <w:pPr>
        <w:pStyle w:val="Heading2"/>
        <w:spacing w:after="80" w:before="80"/>
      </w:pPr>
      <w:r>
        <w:rPr>
          <w:b/>
          <w:bCs/>
          <w:color w:val="1F4E79"/>
          <w:sz w:val="24"/>
          <w:szCs w:val="24"/>
        </w:rPr>
        <w:t xml:space="preserve">1.1  The precedence defect</w:t>
      </w:r>
    </w:p>
    <w:p>
      <w:pPr>
        <w:spacing w:after="120" w:before="0"/>
      </w:pPr>
      <w:r>
        <w:rPr>
          <w:sz w:val="22"/>
          <w:szCs w:val="22"/>
        </w:rPr>
        <w:t xml:space="preserve">PubMed evaluates Boolean operators strictly left to right, with no operator precedence: AND does not bind more tightly than OR. Parentheses are the only way to group. Consequently a query of the form A OR B AND C is parsed as (A OR B) AND C, not A OR (B AND C).</w:t>
      </w:r>
    </w:p>
    <w:p>
      <w:pPr>
        <w:spacing w:after="140" w:before="0"/>
      </w:pPr>
      <w:r>
        <w:rPr>
          <w:sz w:val="22"/>
          <w:szCs w:val="22"/>
        </w:rPr>
        <w:t xml:space="preserve">Throughout v5.4, drug/context disambiguation pairs were written without their own parentheses inside long OR chains — e.g. ...OR semaglutide[tiab] AND "MASLD"[tiab]. Read left to right, the trailing AND clamps the entire preceding union, forcing every prior term to additionally co-occur with the final term. In the MASLD example this collapsed a dual-nomenclature query (NAFLD / NASH / MASLD / MAFLD) into one that effectively required the literal token "MASLD", silently destroying recall of the very papers the subdomain exists to capture. The same pattern recurred in the majority of the 63 queries.</w:t>
      </w:r>
    </w:p>
    <w:p>
      <w:pPr>
        <w:pStyle w:val="Heading1"/>
        <w:spacing w:after="120" w:before="120"/>
      </w:pPr>
      <w:r>
        <w:rPr>
          <w:b/>
          <w:bCs/>
          <w:color w:val="1F4E79"/>
          <w:sz w:val="30"/>
          <w:szCs w:val="30"/>
        </w:rPr>
        <w:t xml:space="preserve">2.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rPr>
          <w:tblHeader/>
        </w:trPr>
        <w:tc>
          <w:tcPr>
            <w:tcW w:type="dxa" w:w="2200"/>
            <w:tcBorders>
              <w:top w:val="single" w:color="D0D5DD" w:sz="2"/>
              <w:left w:val="single" w:color="D0D5DD" w:sz="2"/>
              <w:bottom w:val="single" w:color="D0D5DD" w:sz="2"/>
              <w:right w:val="single" w:color="D0D5DD" w:sz="2"/>
            </w:tcBorders>
            <w:shd w:fill="1F4E79" w:val="clear"/>
            <w:tcMar>
              <w:top w:type="dxa" w:w="60"/>
              <w:left w:type="dxa" w:w="120"/>
              <w:bottom w:type="dxa" w:w="60"/>
              <w:right w:type="dxa" w:w="120"/>
            </w:tcMar>
          </w:tcPr>
          <w:p>
            <w:r>
              <w:rPr>
                <w:b/>
                <w:bCs/>
                <w:color w:val="FFFFFF"/>
                <w:sz w:val="18"/>
                <w:szCs w:val="18"/>
              </w:rPr>
              <w:t xml:space="preserve">Domain</w:t>
            </w:r>
          </w:p>
        </w:tc>
        <w:tc>
          <w:tcPr>
            <w:tcW w:type="dxa" w:w="3000"/>
            <w:tcBorders>
              <w:top w:val="single" w:color="D0D5DD" w:sz="2"/>
              <w:left w:val="single" w:color="D0D5DD" w:sz="2"/>
              <w:bottom w:val="single" w:color="D0D5DD" w:sz="2"/>
              <w:right w:val="single" w:color="D0D5DD" w:sz="2"/>
            </w:tcBorders>
            <w:shd w:fill="1F4E79" w:val="clear"/>
            <w:tcMar>
              <w:top w:type="dxa" w:w="60"/>
              <w:left w:type="dxa" w:w="120"/>
              <w:bottom w:type="dxa" w:w="60"/>
              <w:right w:type="dxa" w:w="120"/>
            </w:tcMar>
          </w:tcPr>
          <w:p>
            <w:r>
              <w:rPr>
                <w:b/>
                <w:bCs/>
                <w:color w:val="FFFFFF"/>
                <w:sz w:val="18"/>
                <w:szCs w:val="18"/>
              </w:rPr>
              <w:t xml:space="preserve">Subdomain</w:t>
            </w:r>
          </w:p>
        </w:tc>
        <w:tc>
          <w:tcPr>
            <w:tcW w:type="dxa" w:w="4160"/>
            <w:tcBorders>
              <w:top w:val="single" w:color="D0D5DD" w:sz="2"/>
              <w:left w:val="single" w:color="D0D5DD" w:sz="2"/>
              <w:bottom w:val="single" w:color="D0D5DD" w:sz="2"/>
              <w:right w:val="single" w:color="D0D5DD" w:sz="2"/>
            </w:tcBorders>
            <w:shd w:fill="1F4E79" w:val="clear"/>
            <w:tcMar>
              <w:top w:type="dxa" w:w="60"/>
              <w:left w:type="dxa" w:w="120"/>
              <w:bottom w:type="dxa" w:w="60"/>
              <w:right w:type="dxa" w:w="120"/>
            </w:tcMar>
          </w:tcPr>
          <w:p>
            <w:r>
              <w:rPr>
                <w:b/>
                <w:bCs/>
                <w:color w:val="FFFFFF"/>
                <w:sz w:val="18"/>
                <w:szCs w:val="18"/>
              </w:rPr>
              <w:t xml:space="preserve">Change</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Diabetes Mellitus</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01  Type 1 Diabetes</w:t>
            </w:r>
          </w:p>
        </w:tc>
        <w:tc>
          <w:tcPr>
            <w:tcW w:type="dxa" w:w="416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unchanged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Diabetes Mellitus</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02  Type 2 Diabetes</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Diabetes Mellitus</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03  Diabetes in Pregnancy</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Diabetes Mellitus</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04  Youth &amp; Paediatric</w:t>
            </w:r>
          </w:p>
        </w:tc>
        <w:tc>
          <w:tcPr>
            <w:tcW w:type="dxa" w:w="416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unchanged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Diabetes Mellitus</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05  Glucose Technology</w:t>
            </w:r>
          </w:p>
        </w:tc>
        <w:tc>
          <w:tcPr>
            <w:tcW w:type="dxa" w:w="416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unchanged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Diabetes Mellitus</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06  Hypoglycaemia</w:t>
            </w:r>
          </w:p>
        </w:tc>
        <w:tc>
          <w:tcPr>
            <w:tcW w:type="dxa" w:w="416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unchanged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Diabetes Mellitus</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07  Diabetic Complications</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Diabetes Mellitus</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08  Inpatient &amp; Perioperative</w:t>
            </w:r>
          </w:p>
        </w:tc>
        <w:tc>
          <w:tcPr>
            <w:tcW w:type="dxa" w:w="416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unchanged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Obesity &amp; Metabolic Syndrome</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01  Pharmacotherapy</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Obesity &amp; Metabolic Syndrome</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02  Bariatric Surgery</w:t>
            </w:r>
          </w:p>
        </w:tc>
        <w:tc>
          <w:tcPr>
            <w:tcW w:type="dxa" w:w="416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unchanged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Obesity &amp; Metabolic Syndrome</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03  Metabolic Syndrome</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Obesity &amp; Metabolic Syndrome</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04  MASLD / Metabolic Liver</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Obesity &amp; Metabolic Syndrome</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05  Special Populations</w:t>
            </w:r>
          </w:p>
        </w:tc>
        <w:tc>
          <w:tcPr>
            <w:tcW w:type="dxa" w:w="416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unchanged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Thyroid Disorders</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01  Hypothyroidism</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Thyroid Disorders</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02  Hyperthyroidism &amp; Graves</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Thyroid Disorders</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03  Nodule &amp; Differentiated Cancer</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Thyroid Disorders</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04  Medullary &amp; Anaplastic Cancer</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Precedence + outer parenthesis</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Thyroid Disorders</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05  Thyroid Eye Disease</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Thyroid Disorders</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06  Thyroid in Pregnancy</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Precedence + outer parenthesis</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Thyroid Disorders</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07  Thyroiditis</w:t>
            </w:r>
          </w:p>
        </w:tc>
        <w:tc>
          <w:tcPr>
            <w:tcW w:type="dxa" w:w="416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unchanged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Adrenal Disorders</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01  Cushing Syndrome &amp; Disease</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Adrenal Disorders</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02  Adrenal Insufficiency</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Adrenal Disorders</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03  Primary Aldosteronism</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Adrenal Disorders</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04  Phaeochromocytoma &amp; PGL</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Adrenal Disorders</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05  Adrenal Incidentaloma</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Adrenal Disorders</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06  Congenital Adrenal Hyperplasia</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Pituitary &amp; Hypothalamic</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01  Acromegaly</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Pituitary &amp; Hypothalamic</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02  Hyperprolactinaemia</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Pituitary &amp; Hypothalamic</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03  Non-functioning Adenoma</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Pituitary &amp; Hypothalamic</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04  Hypopituitarism &amp; GHD</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Pituitary &amp; Hypothalamic</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05  AVP Deficiency &amp; Hyponatraemia</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Pituitary &amp; Hypothalamic</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06  Nelson &amp; Craniopharyngioma</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Bone &amp; Mineral Metabolism</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01  Osteoporosis</w:t>
            </w:r>
          </w:p>
        </w:tc>
        <w:tc>
          <w:tcPr>
            <w:tcW w:type="dxa" w:w="416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unchanged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Bone &amp; Mineral Metabolism</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02  Primary Hyperparathyroidism</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Bone &amp; Mineral Metabolism</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03  Hypoparathyroidism &amp; CKD-MBD</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Precedence fixed (intent interpreted — see note)</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Bone &amp; Mineral Metabolism</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04  Vitamin D Disorders</w:t>
            </w:r>
          </w:p>
        </w:tc>
        <w:tc>
          <w:tcPr>
            <w:tcW w:type="dxa" w:w="416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unchanged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Bone &amp; Mineral Metabolism</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05  Rare Bone Diseases</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Reproductive Endocrinology</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01  PCOS</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Reproductive Endocrinology</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02  Male Hypogonadism</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Reproductive Endocrinology</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03  POI &amp; Turner Syndrome</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Reproductive Endocrinology</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04  Gender-Affirming Care</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Reproductive Endocrinology</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05  Menopause</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2F4F7" w:val="clear"/>
            <w:tcMar>
              <w:top w:type="dxa" w:w="50"/>
              <w:left w:type="dxa" w:w="120"/>
              <w:bottom w:type="dxa" w:w="50"/>
              <w:right w:type="dxa" w:w="120"/>
            </w:tcMar>
          </w:tcPr>
          <w:p>
            <w:r>
              <w:rPr>
                <w:sz w:val="18"/>
                <w:szCs w:val="18"/>
              </w:rPr>
              <w:t xml:space="preserve">Lipids &amp; Cardiovascular Risk</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(broad domain query)</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Broad query restructured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Lipids &amp; Cardiovascular Risk</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01  Dyslipidaemia Management</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Lipids &amp; Cardiovascular Risk</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02  Familial Hypercholesterolaemia</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Lipids &amp; Cardiovascular Risk</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03  Novel Lipid Therapies</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Lipids &amp; Cardiovascular Risk</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04  Hypertriglyceridaemia</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2F4F7" w:val="clear"/>
            <w:tcMar>
              <w:top w:type="dxa" w:w="50"/>
              <w:left w:type="dxa" w:w="120"/>
              <w:bottom w:type="dxa" w:w="50"/>
              <w:right w:type="dxa" w:w="120"/>
            </w:tcMar>
          </w:tcPr>
          <w:p>
            <w:r>
              <w:rPr>
                <w:sz w:val="18"/>
                <w:szCs w:val="18"/>
              </w:rPr>
              <w:t xml:space="preserve">Neuroendocrine Tumours</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(broad domain query)</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Neuroendocrine Tumours</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01  Functioning GEP-NETs</w:t>
            </w:r>
          </w:p>
        </w:tc>
        <w:tc>
          <w:tcPr>
            <w:tcW w:type="dxa" w:w="416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unchanged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Neuroendocrine Tumours</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02  Non-functioning &amp; Pancreatic</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Precedence + outer parenthesis</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Neuroendocrine Tumours</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03  MEN Syndromes</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Neuroendocrine Tumours</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04  PRRT &amp; Systemic Therapy</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2F4F7" w:val="clear"/>
            <w:tcMar>
              <w:top w:type="dxa" w:w="50"/>
              <w:left w:type="dxa" w:w="120"/>
              <w:bottom w:type="dxa" w:w="50"/>
              <w:right w:type="dxa" w:w="120"/>
            </w:tcMar>
          </w:tcPr>
          <w:p>
            <w:r>
              <w:rPr>
                <w:sz w:val="18"/>
                <w:szCs w:val="18"/>
              </w:rPr>
              <w:t xml:space="preserve">Endocrine Oncology</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(broad domain query)</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Endocrine Oncology</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01  Adrenocortical Carcinoma</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Endocrine Oncology</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02  ICI Endocrinopathies</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Precedence + outer parenthesis</w:t>
            </w:r>
          </w:p>
        </w:tc>
      </w:tr>
      <w:tr>
        <w:tc>
          <w:tcPr>
            <w:tcW w:type="dxa" w:w="22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Endocrine Oncology</w:t>
            </w:r>
          </w:p>
        </w:tc>
        <w:tc>
          <w:tcPr>
            <w:tcW w:type="dxa" w:w="3000"/>
            <w:tcBorders>
              <w:top w:val="single" w:color="D0D5DD" w:sz="2"/>
              <w:left w:val="single" w:color="D0D5DD" w:sz="2"/>
              <w:bottom w:val="single" w:color="D0D5DD" w:sz="2"/>
              <w:right w:val="single" w:color="D0D5DD" w:sz="2"/>
            </w:tcBorders>
            <w:shd w:fill="FFFFFF" w:val="clear"/>
            <w:tcMar>
              <w:top w:type="dxa" w:w="50"/>
              <w:left w:type="dxa" w:w="120"/>
              <w:bottom w:type="dxa" w:w="50"/>
              <w:right w:type="dxa" w:w="120"/>
            </w:tcMar>
          </w:tcPr>
          <w:p>
            <w:r>
              <w:rPr>
                <w:sz w:val="18"/>
                <w:szCs w:val="18"/>
              </w:rPr>
              <w:t xml:space="preserve">03  Cancer Treatment Sequelae</w:t>
            </w:r>
          </w:p>
        </w:tc>
        <w:tc>
          <w:tcPr>
            <w:tcW w:type="dxa" w:w="4160"/>
            <w:tcBorders>
              <w:top w:val="single" w:color="D0D5DD" w:sz="2"/>
              <w:left w:val="single" w:color="D0D5DD" w:sz="2"/>
              <w:bottom w:val="single" w:color="D0D5DD" w:sz="2"/>
              <w:right w:val="single" w:color="D0D5DD" w:sz="2"/>
            </w:tcBorders>
            <w:shd w:fill="FFF4E5" w:val="clear"/>
            <w:tcMar>
              <w:top w:type="dxa" w:w="50"/>
              <w:left w:type="dxa" w:w="120"/>
              <w:bottom w:type="dxa" w:w="50"/>
              <w:right w:type="dxa" w:w="120"/>
            </w:tcMar>
          </w:tcPr>
          <w:p>
            <w:r>
              <w:rPr>
                <w:sz w:val="18"/>
                <w:szCs w:val="18"/>
              </w:rPr>
              <w:t xml:space="preserve">Boolean precedence fixed</w:t>
            </w:r>
          </w:p>
        </w:tc>
      </w:tr>
    </w:tbl>
    <w:p>
      <w:pPr>
        <w:spacing w:after="120" w:before="0"/>
      </w:pPr>
      <w:r>
        <w:rPr>
          <w:sz w:val="22"/>
          <w:szCs w:val="22"/>
        </w:rPr>
        <w:t xml:space="preserve"/>
      </w:r>
    </w:p>
    <w:p>
      <w:pPr>
        <w:spacing w:after="200" w:before="0"/>
      </w:pPr>
      <w:r>
        <w:rPr>
          <w:i/>
          <w:iCs/>
          <w:color w:val="666666"/>
          <w:sz w:val="20"/>
          <w:szCs w:val="20"/>
        </w:rPr>
        <w:t xml:space="preserve">Summary: 45 queries corrected, 18 unchanged (already well-formed). One change (Bone 03) involved interpreting ambiguous intent — see note at that query.</w:t>
      </w:r>
    </w:p>
    <w:p>
      <w:pPr>
        <w:pStyle w:val="Heading1"/>
        <w:spacing w:after="120" w:before="120"/>
      </w:pPr>
      <w:r>
        <w:rPr>
          <w:b/>
          <w:bCs/>
          <w:color w:val="1F4E79"/>
          <w:sz w:val="30"/>
          <w:szCs w:val="30"/>
        </w:rPr>
        <w:t xml:space="preserve">3.  Corrected queries by domain</w:t>
      </w:r>
    </w:p>
    <w:p>
      <w:pPr>
        <w:spacing w:after="160" w:before="0"/>
      </w:pPr>
      <w:r>
        <w:rPr>
          <w:i/>
          <w:iCs/>
          <w:color w:val="666666"/>
          <w:sz w:val="20"/>
          <w:szCs w:val="20"/>
        </w:rPr>
        <w:t xml:space="preserve">Highlighted cells (amber) indicate a query changed in this revision. Plain cells are unchanged from v5.4.</w:t>
      </w:r>
    </w:p>
    <w:p>
      <w:pPr>
        <w:pStyle w:val="Heading2"/>
        <w:spacing w:after="80" w:before="160"/>
      </w:pPr>
      <w:r>
        <w:rPr>
          <w:b/>
          <w:bCs/>
          <w:color w:val="1F4E79"/>
          <w:sz w:val="24"/>
          <w:szCs w:val="24"/>
        </w:rPr>
        <w:t xml:space="preserve">Diabetes Mellitus   (CORE, 8 subdomains)</w:t>
      </w:r>
    </w:p>
    <w:p>
      <w:pPr>
        <w:spacing w:after="60" w:before="0"/>
      </w:pPr>
      <w:r>
        <w:rPr>
          <w:b/>
          <w:bCs/>
          <w:sz w:val="20"/>
          <w:szCs w:val="20"/>
        </w:rPr>
        <w:t xml:space="preserve">Broad domain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6F8FA" w:val="clear"/>
            <w:tcMar>
              <w:top w:type="dxa" w:w="100"/>
              <w:left w:type="dxa" w:w="140"/>
              <w:bottom w:type="dxa" w:w="100"/>
              <w:right w:type="dxa" w:w="140"/>
            </w:tcMar>
          </w:tcPr>
          <w:p>
            <w:pPr>
              <w:spacing w:after="0"/>
            </w:pPr>
            <w:r>
              <w:rPr>
                <w:rFonts w:ascii="Consolas" w:cs="Consolas" w:eastAsia="Consolas" w:hAnsi="Consolas"/>
                <w:sz w:val="17"/>
                <w:szCs w:val="17"/>
              </w:rPr>
              <w:t xml:space="preserve">("diabetes mellitus"[MH] OR "diabetic ketoacidosis"[MH] OR "hypoglycemia"[MH] OR "prediabetic state"[MH] OR "insulin resistance"[MH])</w:t>
            </w:r>
          </w:p>
        </w:tc>
      </w:tr>
    </w:tbl>
    <w:p>
      <w:pPr>
        <w:spacing w:after="80" w:before="0"/>
      </w:pPr>
      <w:r>
        <w:rPr>
          <w:sz w:val="22"/>
          <w:szCs w:val="22"/>
        </w:rPr>
        <w:t xml:space="preserve"/>
      </w:r>
    </w:p>
    <w:p>
      <w:pPr>
        <w:spacing w:after="60" w:before="60"/>
      </w:pPr>
      <w:r>
        <w:rPr>
          <w:b/>
          <w:bCs/>
          <w:sz w:val="20"/>
          <w:szCs w:val="20"/>
        </w:rPr>
        <w:t xml:space="preserve">01   Type 1 Diabetes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6F8FA" w:val="clear"/>
            <w:tcMar>
              <w:top w:type="dxa" w:w="100"/>
              <w:left w:type="dxa" w:w="140"/>
              <w:bottom w:type="dxa" w:w="100"/>
              <w:right w:type="dxa" w:w="140"/>
            </w:tcMar>
          </w:tcPr>
          <w:p>
            <w:pPr>
              <w:spacing w:after="0"/>
            </w:pPr>
            <w:r>
              <w:rPr>
                <w:rFonts w:ascii="Consolas" w:cs="Consolas" w:eastAsia="Consolas" w:hAnsi="Consolas"/>
                <w:sz w:val="17"/>
                <w:szCs w:val="17"/>
              </w:rPr>
              <w:t xml:space="preserve">("diabetes mellitus, type 1"[MH] OR "type 1 diabetes"[tiab] OR "T1D"[tiab] OR "T1DM"[tiab] OR "autoimmune diabetes"[tiab] OR "LADA"[tiab] OR "latent autoimmune diabetes in adults"[tiab]) NOT ("type 2 diabetes"[tiab] OR "gestational diabetes"[tiab])</w:t>
            </w:r>
          </w:p>
        </w:tc>
      </w:tr>
    </w:tbl>
    <w:p>
      <w:pPr>
        <w:spacing w:after="60" w:before="0"/>
      </w:pPr>
      <w:r>
        <w:rPr>
          <w:sz w:val="22"/>
          <w:szCs w:val="22"/>
        </w:rPr>
        <w:t xml:space="preserve"/>
      </w:r>
    </w:p>
    <w:p>
      <w:pPr>
        <w:spacing w:after="60" w:before="60"/>
      </w:pPr>
      <w:r>
        <w:rPr>
          <w:b/>
          <w:bCs/>
          <w:sz w:val="20"/>
          <w:szCs w:val="20"/>
        </w:rPr>
        <w:t xml:space="preserve">02   Type 2 Diabetes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("diabetes mellitus, type 2"[MH] OR "type 2 diabetes"[tiab] OR "T2DM"[tiab]) AND ("hypoglycemic agents"[MH] OR "metformin"[tiab] OR "SGLT2 inhibitor"[tiab] OR "DPP-4 inhibitor"[tiab] OR "glycaemic control"[tiab] OR "HbA1c"[tiab] OR ("GLP-1"[tiab] AND "type 2"[tiab])) NOT ("diabetes mellitus, type 1"[MH] OR "gestational diabetes"[tiab])</w:t>
            </w:r>
          </w:p>
        </w:tc>
      </w:tr>
    </w:tbl>
    <w:p>
      <w:pPr>
        <w:spacing w:after="60" w:before="0"/>
      </w:pPr>
      <w:r>
        <w:rPr>
          <w:sz w:val="22"/>
          <w:szCs w:val="22"/>
        </w:rPr>
        <w:t xml:space="preserve"/>
      </w:r>
    </w:p>
    <w:p>
      <w:pPr>
        <w:spacing w:after="60" w:before="60"/>
      </w:pPr>
      <w:r>
        <w:rPr>
          <w:b/>
          <w:bCs/>
          <w:sz w:val="20"/>
          <w:szCs w:val="20"/>
        </w:rPr>
        <w:t xml:space="preserve">03   Diabetes in Pregnancy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("diabetes, gestational"[MH] OR "gestational diabetes mellitus"[tiab] OR "GDM"[tiab] OR "gestational diabetes"[tiab] OR "hyperglycaemia in pregnancy"[tiab] OR "hyperglycemia in pregnancy"[tiab] OR ("diabetes mellitus"[MH] AND "pregnancy complications"[MH]) OR ("pre-existing diabetes"[tiab] AND "pregnancy"[MH]))</w:t>
            </w:r>
          </w:p>
        </w:tc>
      </w:tr>
    </w:tbl>
    <w:p>
      <w:pPr>
        <w:spacing w:after="60" w:before="0"/>
      </w:pPr>
      <w:r>
        <w:rPr>
          <w:sz w:val="22"/>
          <w:szCs w:val="22"/>
        </w:rPr>
        <w:t xml:space="preserve"/>
      </w:r>
    </w:p>
    <w:p>
      <w:pPr>
        <w:spacing w:after="60" w:before="60"/>
      </w:pPr>
      <w:r>
        <w:rPr>
          <w:b/>
          <w:bCs/>
          <w:sz w:val="20"/>
          <w:szCs w:val="20"/>
        </w:rPr>
        <w:t xml:space="preserve">04   Youth &amp; Paediatric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6F8FA" w:val="clear"/>
            <w:tcMar>
              <w:top w:type="dxa" w:w="100"/>
              <w:left w:type="dxa" w:w="140"/>
              <w:bottom w:type="dxa" w:w="100"/>
              <w:right w:type="dxa" w:w="140"/>
            </w:tcMar>
          </w:tcPr>
          <w:p>
            <w:pPr>
              <w:spacing w:after="0"/>
            </w:pPr>
            <w:r>
              <w:rPr>
                <w:rFonts w:ascii="Consolas" w:cs="Consolas" w:eastAsia="Consolas" w:hAnsi="Consolas"/>
                <w:sz w:val="17"/>
                <w:szCs w:val="17"/>
              </w:rPr>
              <w:t xml:space="preserve">(("diabetes mellitus"[MH] OR "diabetes"[tiab]) AND ("child"[MH] OR "adolescent"[MH] OR "pediatrics"[MH] OR "paediatric"[tiab] OR "childhood"[tiab] OR "youth"[tiab])) OR "youth-onset diabetes"[tiab] OR "paediatric diabetes"[tiab] OR "young-onset type 2 diabetes"[tiab] OR "ISPAD"[tiab]</w:t>
            </w:r>
          </w:p>
        </w:tc>
      </w:tr>
    </w:tbl>
    <w:p>
      <w:pPr>
        <w:spacing w:after="60" w:before="0"/>
      </w:pPr>
      <w:r>
        <w:rPr>
          <w:sz w:val="22"/>
          <w:szCs w:val="22"/>
        </w:rPr>
        <w:t xml:space="preserve"/>
      </w:r>
    </w:p>
    <w:p>
      <w:pPr>
        <w:spacing w:after="60" w:before="60"/>
      </w:pPr>
      <w:r>
        <w:rPr>
          <w:b/>
          <w:bCs/>
          <w:sz w:val="20"/>
          <w:szCs w:val="20"/>
        </w:rPr>
        <w:t xml:space="preserve">05   Glucose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6F8FA" w:val="clear"/>
            <w:tcMar>
              <w:top w:type="dxa" w:w="100"/>
              <w:left w:type="dxa" w:w="140"/>
              <w:bottom w:type="dxa" w:w="100"/>
              <w:right w:type="dxa" w:w="140"/>
            </w:tcMar>
          </w:tcPr>
          <w:p>
            <w:pPr>
              <w:spacing w:after="0"/>
            </w:pPr>
            <w:r>
              <w:rPr>
                <w:rFonts w:ascii="Consolas" w:cs="Consolas" w:eastAsia="Consolas" w:hAnsi="Consolas"/>
                <w:sz w:val="17"/>
                <w:szCs w:val="17"/>
              </w:rPr>
              <w:t xml:space="preserve">("blood glucose self-monitoring"[MH] OR "continuous glucose monitor"[tiab] OR "CGM"[tiab] OR "flash glucose monitoring"[tiab] OR "FreeStyle Libre"[tiab] OR "automated insulin delivery"[tiab] OR "AID system"[tiab] OR "artificial pancreas"[tiab] OR "closed-loop"[tiab] OR "hybrid closed loop"[tiab] OR "insulin pump"[tiab] OR "CSII"[tiab] OR "time in range"[tiab])</w:t>
            </w:r>
          </w:p>
        </w:tc>
      </w:tr>
    </w:tbl>
    <w:p>
      <w:pPr>
        <w:spacing w:after="60" w:before="0"/>
      </w:pPr>
      <w:r>
        <w:rPr>
          <w:sz w:val="22"/>
          <w:szCs w:val="22"/>
        </w:rPr>
        <w:t xml:space="preserve"/>
      </w:r>
    </w:p>
    <w:p>
      <w:pPr>
        <w:spacing w:after="60" w:before="60"/>
      </w:pPr>
      <w:r>
        <w:rPr>
          <w:b/>
          <w:bCs/>
          <w:sz w:val="20"/>
          <w:szCs w:val="20"/>
        </w:rPr>
        <w:t xml:space="preserve">06   Hypoglycaemia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6F8FA" w:val="clear"/>
            <w:tcMar>
              <w:top w:type="dxa" w:w="100"/>
              <w:left w:type="dxa" w:w="140"/>
              <w:bottom w:type="dxa" w:w="100"/>
              <w:right w:type="dxa" w:w="140"/>
            </w:tcMar>
          </w:tcPr>
          <w:p>
            <w:pPr>
              <w:spacing w:after="0"/>
            </w:pPr>
            <w:r>
              <w:rPr>
                <w:rFonts w:ascii="Consolas" w:cs="Consolas" w:eastAsia="Consolas" w:hAnsi="Consolas"/>
                <w:sz w:val="17"/>
                <w:szCs w:val="17"/>
              </w:rPr>
              <w:t xml:space="preserve">("hypoglycemia"[MH] OR "hypoglycaemia"[tiab] OR "severe hypoglycaemia"[tiab] OR "nocturnal hypoglycaemia"[tiab] OR "hypoglycaemia unawareness"[tiab] OR "impaired awareness of hypoglycaemia"[tiab] OR "glucagon rescue"[tiab] OR "dasiglucagon"[tiab]) AND ("diabetes"[tiab] OR "diabetes mellitus"[MH])</w:t>
            </w:r>
          </w:p>
        </w:tc>
      </w:tr>
    </w:tbl>
    <w:p>
      <w:pPr>
        <w:spacing w:after="60" w:before="0"/>
      </w:pPr>
      <w:r>
        <w:rPr>
          <w:sz w:val="22"/>
          <w:szCs w:val="22"/>
        </w:rPr>
        <w:t xml:space="preserve"/>
      </w:r>
    </w:p>
    <w:p>
      <w:pPr>
        <w:spacing w:after="60" w:before="60"/>
      </w:pPr>
      <w:r>
        <w:rPr>
          <w:b/>
          <w:bCs/>
          <w:sz w:val="20"/>
          <w:szCs w:val="20"/>
        </w:rPr>
        <w:t xml:space="preserve">07   Diabetic Complications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("diabetic nephropathies"[MH] OR "diabetic neuropathies"[MH] OR "diabetic retinopathy"[MH] OR "diabetic foot"[MH] OR "diabetic nephropathy"[tiab] OR "diabetic neuropathy"[tiab] OR "diabetic retinopathy"[tiab] OR "diabetic kidney disease"[tiab] OR "DKD"[tiab] OR ("albuminuria"[tiab] AND "diabetes"[MH]) OR ("cardiovascular disease"[tiab] AND "diabetes mellitus"[MH]))</w:t>
            </w:r>
          </w:p>
        </w:tc>
      </w:tr>
    </w:tbl>
    <w:p>
      <w:pPr>
        <w:spacing w:after="60" w:before="0"/>
      </w:pPr>
      <w:r>
        <w:rPr>
          <w:sz w:val="22"/>
          <w:szCs w:val="22"/>
        </w:rPr>
        <w:t xml:space="preserve"/>
      </w:r>
    </w:p>
    <w:p>
      <w:pPr>
        <w:spacing w:after="60" w:before="60"/>
      </w:pPr>
      <w:r>
        <w:rPr>
          <w:b/>
          <w:bCs/>
          <w:sz w:val="20"/>
          <w:szCs w:val="20"/>
        </w:rPr>
        <w:t xml:space="preserve">08   Inpatient &amp; Perioperative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6F8FA" w:val="clear"/>
            <w:tcMar>
              <w:top w:type="dxa" w:w="100"/>
              <w:left w:type="dxa" w:w="140"/>
              <w:bottom w:type="dxa" w:w="100"/>
              <w:right w:type="dxa" w:w="140"/>
            </w:tcMar>
          </w:tcPr>
          <w:p>
            <w:pPr>
              <w:spacing w:after="0"/>
            </w:pPr>
            <w:r>
              <w:rPr>
                <w:rFonts w:ascii="Consolas" w:cs="Consolas" w:eastAsia="Consolas" w:hAnsi="Consolas"/>
                <w:sz w:val="17"/>
                <w:szCs w:val="17"/>
              </w:rPr>
              <w:t xml:space="preserve">(("hyperglycemia"[MH] OR "hyperglycaemia"[tiab]) AND ("inpatients"[MH] OR "hospitalization"[MH] OR "perioperative"[tiab] OR "surgical"[tiab])) OR "inpatient hyperglycaemia"[tiab] OR "steroid-induced hyperglycaemia"[tiab] OR "enteral nutrition hyperglycaemia"[tiab] OR "insulin infusion protocol"[tiab]</w:t>
            </w:r>
          </w:p>
        </w:tc>
      </w:tr>
    </w:tbl>
    <w:p>
      <w:pPr>
        <w:spacing w:after="60" w:before="0"/>
      </w:pPr>
      <w:r>
        <w:rPr>
          <w:sz w:val="22"/>
          <w:szCs w:val="22"/>
        </w:rPr>
        <w:t xml:space="preserve"/>
      </w:r>
    </w:p>
    <w:p>
      <w:pPr>
        <w:pStyle w:val="Heading2"/>
        <w:spacing w:after="80" w:before="160"/>
      </w:pPr>
      <w:r>
        <w:rPr>
          <w:b/>
          <w:bCs/>
          <w:color w:val="1F4E79"/>
          <w:sz w:val="24"/>
          <w:szCs w:val="24"/>
        </w:rPr>
        <w:t xml:space="preserve">Obesity &amp; Metabolic Syndrome   (CORE, 5 subdomains)</w:t>
      </w:r>
    </w:p>
    <w:p>
      <w:pPr>
        <w:spacing w:after="60" w:before="0"/>
      </w:pPr>
      <w:r>
        <w:rPr>
          <w:b/>
          <w:bCs/>
          <w:sz w:val="20"/>
          <w:szCs w:val="20"/>
        </w:rPr>
        <w:t xml:space="preserve">Broad domain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6F8FA" w:val="clear"/>
            <w:tcMar>
              <w:top w:type="dxa" w:w="100"/>
              <w:left w:type="dxa" w:w="140"/>
              <w:bottom w:type="dxa" w:w="100"/>
              <w:right w:type="dxa" w:w="140"/>
            </w:tcMar>
          </w:tcPr>
          <w:p>
            <w:pPr>
              <w:spacing w:after="0"/>
            </w:pPr>
            <w:r>
              <w:rPr>
                <w:rFonts w:ascii="Consolas" w:cs="Consolas" w:eastAsia="Consolas" w:hAnsi="Consolas"/>
                <w:sz w:val="17"/>
                <w:szCs w:val="17"/>
              </w:rPr>
              <w:t xml:space="preserve">("obesity"[MH] OR "overweight"[MH] OR "metabolic syndrome"[MH]) AND ("weight loss"[MH] OR "anti-obesity"[tiab] OR "weight management"[tiab] OR "obesity management"[tiab])</w:t>
            </w:r>
          </w:p>
        </w:tc>
      </w:tr>
    </w:tbl>
    <w:p>
      <w:pPr>
        <w:spacing w:after="80" w:before="0"/>
      </w:pPr>
      <w:r>
        <w:rPr>
          <w:sz w:val="22"/>
          <w:szCs w:val="22"/>
        </w:rPr>
        <w:t xml:space="preserve"/>
      </w:r>
    </w:p>
    <w:p>
      <w:pPr>
        <w:spacing w:after="60" w:before="60"/>
      </w:pPr>
      <w:r>
        <w:rPr>
          <w:b/>
          <w:bCs/>
          <w:sz w:val="20"/>
          <w:szCs w:val="20"/>
        </w:rPr>
        <w:t xml:space="preserve">01   Pharmacotherapy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(semaglutide[tiab] OR tirzepatide[tiab] OR liraglutide[tiab] OR orforglipron[tiab] OR retatrutide[tiab] OR "GLP-1 receptor agonist"[tiab] OR "GIP receptor"[tiab] OR "dual agonist"[tiab] OR (naltrexone[tiab] AND bupropion[tiab]) OR (phentermine[tiab] AND topiramate[tiab]) OR "anti-obesity medication"[tiab]) AND ("obesity"[MH] OR "overweight"[MH] OR "weight reduction"[tiab])</w:t>
            </w:r>
          </w:p>
        </w:tc>
      </w:tr>
    </w:tbl>
    <w:p>
      <w:pPr>
        <w:spacing w:after="60" w:before="0"/>
      </w:pPr>
      <w:r>
        <w:rPr>
          <w:sz w:val="22"/>
          <w:szCs w:val="22"/>
        </w:rPr>
        <w:t xml:space="preserve"/>
      </w:r>
    </w:p>
    <w:p>
      <w:pPr>
        <w:spacing w:after="60" w:before="60"/>
      </w:pPr>
      <w:r>
        <w:rPr>
          <w:b/>
          <w:bCs/>
          <w:sz w:val="20"/>
          <w:szCs w:val="20"/>
        </w:rPr>
        <w:t xml:space="preserve">02   Bariatric Surgery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6F8FA" w:val="clear"/>
            <w:tcMar>
              <w:top w:type="dxa" w:w="100"/>
              <w:left w:type="dxa" w:w="140"/>
              <w:bottom w:type="dxa" w:w="100"/>
              <w:right w:type="dxa" w:w="140"/>
            </w:tcMar>
          </w:tcPr>
          <w:p>
            <w:pPr>
              <w:spacing w:after="0"/>
            </w:pPr>
            <w:r>
              <w:rPr>
                <w:rFonts w:ascii="Consolas" w:cs="Consolas" w:eastAsia="Consolas" w:hAnsi="Consolas"/>
                <w:sz w:val="17"/>
                <w:szCs w:val="17"/>
              </w:rPr>
              <w:t xml:space="preserve">("bariatric surgery"[MH] OR "gastric bypass"[MH] OR "bariatric surgery"[tiab] OR "sleeve gastrectomy"[tiab] OR "Roux-en-Y gastric bypass"[tiab] OR "RYGB"[tiab] OR "adjustable gastric band"[tiab] OR "metabolic surgery"[tiab] OR "revisional bariatric"[tiab] OR "biliopancreatic diversion"[tiab])</w:t>
            </w:r>
          </w:p>
        </w:tc>
      </w:tr>
    </w:tbl>
    <w:p>
      <w:pPr>
        <w:spacing w:after="60" w:before="0"/>
      </w:pPr>
      <w:r>
        <w:rPr>
          <w:sz w:val="22"/>
          <w:szCs w:val="22"/>
        </w:rPr>
        <w:t xml:space="preserve"/>
      </w:r>
    </w:p>
    <w:p>
      <w:pPr>
        <w:spacing w:after="60" w:before="60"/>
      </w:pPr>
      <w:r>
        <w:rPr>
          <w:b/>
          <w:bCs/>
          <w:sz w:val="20"/>
          <w:szCs w:val="20"/>
        </w:rPr>
        <w:t xml:space="preserve">03   Metabolic Syndrome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("metabolic syndrome"[MH] OR "metabolic syndrome"[tiab] OR "insulin resistance syndrome"[tiab] OR "cardiometabolic risk"[tiab] OR "visceral adiposity"[tiab] OR ("abdominal obesity"[tiab] AND "metabolic"[tiab])) NOT ("bariatric surgery"[tiab])</w:t>
            </w:r>
          </w:p>
        </w:tc>
      </w:tr>
    </w:tbl>
    <w:p>
      <w:pPr>
        <w:spacing w:after="60" w:before="0"/>
      </w:pPr>
      <w:r>
        <w:rPr>
          <w:sz w:val="22"/>
          <w:szCs w:val="22"/>
        </w:rPr>
        <w:t xml:space="preserve"/>
      </w:r>
    </w:p>
    <w:p>
      <w:pPr>
        <w:spacing w:after="60" w:before="60"/>
      </w:pPr>
      <w:r>
        <w:rPr>
          <w:b/>
          <w:bCs/>
          <w:sz w:val="20"/>
          <w:szCs w:val="20"/>
        </w:rPr>
        <w:t xml:space="preserve">04   MASLD / Metabolic Liver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("non-alcoholic fatty liver disease"[MH] OR "NAFLD"[tiab] OR "non-alcoholic steatohepatitis"[tiab] OR "NASH"[tiab] OR "MASLD"[tiab] OR "metabolic associated steatotic liver disease"[tiab] OR "MAFLD"[tiab] OR "metabolic associated fatty liver"[tiab] OR resmetirom[tiab] OR (semaglutide[tiab] AND "MASLD"[tiab]))</w:t>
            </w:r>
          </w:p>
        </w:tc>
      </w:tr>
    </w:tbl>
    <w:p>
      <w:pPr>
        <w:spacing w:after="60" w:before="0"/>
      </w:pPr>
      <w:r>
        <w:rPr>
          <w:sz w:val="22"/>
          <w:szCs w:val="22"/>
        </w:rPr>
        <w:t xml:space="preserve"/>
      </w:r>
    </w:p>
    <w:p>
      <w:pPr>
        <w:spacing w:after="60" w:before="60"/>
      </w:pPr>
      <w:r>
        <w:rPr>
          <w:b/>
          <w:bCs/>
          <w:sz w:val="20"/>
          <w:szCs w:val="20"/>
        </w:rPr>
        <w:t xml:space="preserve">05   Special Populations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6F8FA" w:val="clear"/>
            <w:tcMar>
              <w:top w:type="dxa" w:w="100"/>
              <w:left w:type="dxa" w:w="140"/>
              <w:bottom w:type="dxa" w:w="100"/>
              <w:right w:type="dxa" w:w="140"/>
            </w:tcMar>
          </w:tcPr>
          <w:p>
            <w:pPr>
              <w:spacing w:after="0"/>
            </w:pPr>
            <w:r>
              <w:rPr>
                <w:rFonts w:ascii="Consolas" w:cs="Consolas" w:eastAsia="Consolas" w:hAnsi="Consolas"/>
                <w:sz w:val="17"/>
                <w:szCs w:val="17"/>
              </w:rPr>
              <w:t xml:space="preserve">("obesity"[MH] AND ("pregnancy complications"[MH] OR "child"[MH] OR "adolescent"[MH])) OR "maternal obesity"[tiab] OR "obesity in pregnancy"[tiab] OR "childhood obesity"[tiab] OR "paediatric obesity"[tiab] OR "Prader-Willi"[tiab]</w:t>
            </w:r>
          </w:p>
        </w:tc>
      </w:tr>
    </w:tbl>
    <w:p>
      <w:pPr>
        <w:spacing w:after="60" w:before="0"/>
      </w:pPr>
      <w:r>
        <w:rPr>
          <w:sz w:val="22"/>
          <w:szCs w:val="22"/>
        </w:rPr>
        <w:t xml:space="preserve"/>
      </w:r>
    </w:p>
    <w:p>
      <w:pPr>
        <w:pStyle w:val="Heading2"/>
        <w:spacing w:after="80" w:before="160"/>
      </w:pPr>
      <w:r>
        <w:rPr>
          <w:b/>
          <w:bCs/>
          <w:color w:val="1F4E79"/>
          <w:sz w:val="24"/>
          <w:szCs w:val="24"/>
        </w:rPr>
        <w:t xml:space="preserve">Thyroid Disorders   (CORE, 7 subdomains)</w:t>
      </w:r>
    </w:p>
    <w:p>
      <w:pPr>
        <w:spacing w:after="60" w:before="0"/>
      </w:pPr>
      <w:r>
        <w:rPr>
          <w:b/>
          <w:bCs/>
          <w:sz w:val="20"/>
          <w:szCs w:val="20"/>
        </w:rPr>
        <w:t xml:space="preserve">Broad domain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6F8FA" w:val="clear"/>
            <w:tcMar>
              <w:top w:type="dxa" w:w="100"/>
              <w:left w:type="dxa" w:w="140"/>
              <w:bottom w:type="dxa" w:w="100"/>
              <w:right w:type="dxa" w:w="140"/>
            </w:tcMar>
          </w:tcPr>
          <w:p>
            <w:pPr>
              <w:spacing w:after="0"/>
            </w:pPr>
            <w:r>
              <w:rPr>
                <w:rFonts w:ascii="Consolas" w:cs="Consolas" w:eastAsia="Consolas" w:hAnsi="Consolas"/>
                <w:sz w:val="17"/>
                <w:szCs w:val="17"/>
              </w:rPr>
              <w:t xml:space="preserve">("thyroid diseases"[MH] OR "thyroid neoplasms"[MH] OR thyroiditis[MH])</w:t>
            </w:r>
          </w:p>
        </w:tc>
      </w:tr>
    </w:tbl>
    <w:p>
      <w:pPr>
        <w:spacing w:after="80" w:before="0"/>
      </w:pPr>
      <w:r>
        <w:rPr>
          <w:sz w:val="22"/>
          <w:szCs w:val="22"/>
        </w:rPr>
        <w:t xml:space="preserve"/>
      </w:r>
    </w:p>
    <w:p>
      <w:pPr>
        <w:spacing w:after="60" w:before="60"/>
      </w:pPr>
      <w:r>
        <w:rPr>
          <w:b/>
          <w:bCs/>
          <w:sz w:val="20"/>
          <w:szCs w:val="20"/>
        </w:rPr>
        <w:t xml:space="preserve">01   Hypothyroidism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("hypothyroidism"[MH] OR "hypothyroidism"[tiab] OR "subclinical hypothyroidism"[tiab] OR "overt hypothyroidism"[tiab] OR levothyroxine[tiab] OR liothyronine[tiab] OR "thyroid hormone replacement"[tiab] OR "thyroxine replacement"[tiab] OR ("TSH"[tiab] AND "thyroid hormone replacement"[tiab]))</w:t>
            </w:r>
          </w:p>
        </w:tc>
      </w:tr>
    </w:tbl>
    <w:p>
      <w:pPr>
        <w:spacing w:after="60" w:before="0"/>
      </w:pPr>
      <w:r>
        <w:rPr>
          <w:sz w:val="22"/>
          <w:szCs w:val="22"/>
        </w:rPr>
        <w:t xml:space="preserve"/>
      </w:r>
    </w:p>
    <w:p>
      <w:pPr>
        <w:spacing w:after="60" w:before="60"/>
      </w:pPr>
      <w:r>
        <w:rPr>
          <w:b/>
          <w:bCs/>
          <w:sz w:val="20"/>
          <w:szCs w:val="20"/>
        </w:rPr>
        <w:t xml:space="preserve">02   Hyperthyroidism &amp; Graves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("hyperthyroidism"[MH] OR "Graves disease"[MH] OR "thyrotoxicosis"[MH] OR "hyperthyroidism"[tiab] OR "Graves disease"[tiab] OR "Graves' disease"[tiab] OR "toxic multinodular goitre"[tiab] OR "antithyroid drug"[tiab] OR carbimazole[tiab] OR methimazole[tiab] OR propylthiouracil[tiab] OR ("radioiodine"[tiab] AND "hyperthyroidism"[tiab]))</w:t>
            </w:r>
          </w:p>
        </w:tc>
      </w:tr>
    </w:tbl>
    <w:p>
      <w:pPr>
        <w:spacing w:after="60" w:before="0"/>
      </w:pPr>
      <w:r>
        <w:rPr>
          <w:sz w:val="22"/>
          <w:szCs w:val="22"/>
        </w:rPr>
        <w:t xml:space="preserve"/>
      </w:r>
    </w:p>
    <w:p>
      <w:pPr>
        <w:spacing w:after="60" w:before="60"/>
      </w:pPr>
      <w:r>
        <w:rPr>
          <w:b/>
          <w:bCs/>
          <w:sz w:val="20"/>
          <w:szCs w:val="20"/>
        </w:rPr>
        <w:t xml:space="preserve">03   Nodule &amp; Differentiated Cancer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("thyroid neoplasms"[MH] OR "thyroid nodule"[MH] OR "thyroid cancer"[tiab] OR "papillary thyroid carcinoma"[tiab] OR "follicular thyroid carcinoma"[tiab] OR "differentiated thyroid cancer"[tiab] OR "thyroid nodule"[tiab] OR "Bethesda classification"[tiab] OR ("fine needle aspiration"[tiab] AND "thyroid"[tiab]) OR "radioiodine remnant ablation"[tiab] OR (lenvatinib[tiab] AND "thyroid"[tiab]))</w:t>
            </w:r>
          </w:p>
        </w:tc>
      </w:tr>
    </w:tbl>
    <w:p>
      <w:pPr>
        <w:spacing w:after="60" w:before="0"/>
      </w:pPr>
      <w:r>
        <w:rPr>
          <w:sz w:val="22"/>
          <w:szCs w:val="22"/>
        </w:rPr>
        <w:t xml:space="preserve"/>
      </w:r>
    </w:p>
    <w:p>
      <w:pPr>
        <w:spacing w:after="60" w:before="60"/>
      </w:pPr>
      <w:r>
        <w:rPr>
          <w:b/>
          <w:bCs/>
          <w:sz w:val="20"/>
          <w:szCs w:val="20"/>
        </w:rPr>
        <w:t xml:space="preserve">04   Medullary &amp; Anaplastic Cancer   —  Precedence + outer parenthesis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((("thyroid neoplasms"[MH] OR "thyroid cancer"[tiab]) AND ("carcinoma, medullary"[MH] OR "medullary"[tiab] OR "anaplastic"[tiab])) OR ("MTC"[tiab] AND "thyroid"[tiab]) OR ("calcitonin"[tiab] AND "thyroid cancer"[tiab]) OR vandetanib[tiab] OR cabozantinib[tiab] OR selpercatinib[tiab] OR ("RET"[tiab] AND "thyroid"[tiab]))</w:t>
            </w:r>
          </w:p>
        </w:tc>
      </w:tr>
    </w:tbl>
    <w:p>
      <w:pPr>
        <w:spacing w:after="60" w:before="0"/>
      </w:pPr>
      <w:r>
        <w:rPr>
          <w:sz w:val="22"/>
          <w:szCs w:val="22"/>
        </w:rPr>
        <w:t xml:space="preserve"/>
      </w:r>
    </w:p>
    <w:p>
      <w:pPr>
        <w:spacing w:after="60" w:before="60"/>
      </w:pPr>
      <w:r>
        <w:rPr>
          <w:b/>
          <w:bCs/>
          <w:sz w:val="20"/>
          <w:szCs w:val="20"/>
        </w:rPr>
        <w:t xml:space="preserve">05   Thyroid Eye Disease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("graves ophthalmopathy"[MH] OR "thyroid eye disease"[tiab] OR "thyroid-associated ophthalmopathy"[tiab] OR "Graves orbitopathy"[tiab] OR ("TAO"[tiab] AND "thyroid"[tiab]) OR teprotumumab[tiab] OR ("orbital decompression"[tiab] AND "thyroid"[tiab]) OR ("IGF-1 receptor"[tiab] AND "orbitopathy"[tiab]))</w:t>
            </w:r>
          </w:p>
        </w:tc>
      </w:tr>
    </w:tbl>
    <w:p>
      <w:pPr>
        <w:spacing w:after="60" w:before="0"/>
      </w:pPr>
      <w:r>
        <w:rPr>
          <w:sz w:val="22"/>
          <w:szCs w:val="22"/>
        </w:rPr>
        <w:t xml:space="preserve"/>
      </w:r>
    </w:p>
    <w:p>
      <w:pPr>
        <w:spacing w:after="60" w:before="60"/>
      </w:pPr>
      <w:r>
        <w:rPr>
          <w:b/>
          <w:bCs/>
          <w:sz w:val="20"/>
          <w:szCs w:val="20"/>
        </w:rPr>
        <w:t xml:space="preserve">06   Thyroid in Pregnancy   —  Precedence + outer parenthesis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(("thyroid diseases"[MH] AND "pregnancy"[MH]) OR "thyroid in pregnancy"[tiab] OR "maternal thyroid"[tiab] OR "gestational thyrotoxicosis"[tiab] OR "postpartum thyroiditis"[tiab] OR "hypothyroidism in pregnancy"[tiab] OR ("thyroid antibodies"[tiab] AND "pregnancy"[tiab]))</w:t>
            </w:r>
          </w:p>
        </w:tc>
      </w:tr>
    </w:tbl>
    <w:p>
      <w:pPr>
        <w:spacing w:after="60" w:before="0"/>
      </w:pPr>
      <w:r>
        <w:rPr>
          <w:sz w:val="22"/>
          <w:szCs w:val="22"/>
        </w:rPr>
        <w:t xml:space="preserve"/>
      </w:r>
    </w:p>
    <w:p>
      <w:pPr>
        <w:spacing w:after="60" w:before="60"/>
      </w:pPr>
      <w:r>
        <w:rPr>
          <w:b/>
          <w:bCs/>
          <w:sz w:val="20"/>
          <w:szCs w:val="20"/>
        </w:rPr>
        <w:t xml:space="preserve">07   Thyroiditis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6F8FA" w:val="clear"/>
            <w:tcMar>
              <w:top w:type="dxa" w:w="100"/>
              <w:left w:type="dxa" w:w="140"/>
              <w:bottom w:type="dxa" w:w="100"/>
              <w:right w:type="dxa" w:w="140"/>
            </w:tcMar>
          </w:tcPr>
          <w:p>
            <w:pPr>
              <w:spacing w:after="0"/>
            </w:pPr>
            <w:r>
              <w:rPr>
                <w:rFonts w:ascii="Consolas" w:cs="Consolas" w:eastAsia="Consolas" w:hAnsi="Consolas"/>
                <w:sz w:val="17"/>
                <w:szCs w:val="17"/>
              </w:rPr>
              <w:t xml:space="preserve">(thyroiditis[MH] OR "Hashimoto thyroiditis"[tiab] OR "Hashimoto's thyroiditis"[tiab] OR "autoimmune thyroiditis"[tiab] OR "subacute thyroiditis"[tiab] OR "de Quervain thyroiditis"[tiab] OR "painless thyroiditis"[tiab] OR "postpartum thyroiditis"[tiab]) NOT "thyroid cancer"[tiab]</w:t>
            </w:r>
          </w:p>
        </w:tc>
      </w:tr>
    </w:tbl>
    <w:p>
      <w:pPr>
        <w:spacing w:after="60" w:before="0"/>
      </w:pPr>
      <w:r>
        <w:rPr>
          <w:sz w:val="22"/>
          <w:szCs w:val="22"/>
        </w:rPr>
        <w:t xml:space="preserve"/>
      </w:r>
    </w:p>
    <w:p>
      <w:pPr>
        <w:pStyle w:val="Heading2"/>
        <w:spacing w:after="80" w:before="160"/>
      </w:pPr>
      <w:r>
        <w:rPr>
          <w:b/>
          <w:bCs/>
          <w:color w:val="1F4E79"/>
          <w:sz w:val="24"/>
          <w:szCs w:val="24"/>
        </w:rPr>
        <w:t xml:space="preserve">Adrenal Disorders   (CORE, 6 subdomains)</w:t>
      </w:r>
    </w:p>
    <w:p>
      <w:pPr>
        <w:spacing w:after="60" w:before="0"/>
      </w:pPr>
      <w:r>
        <w:rPr>
          <w:b/>
          <w:bCs/>
          <w:sz w:val="20"/>
          <w:szCs w:val="20"/>
        </w:rPr>
        <w:t xml:space="preserve">Broad domain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6F8FA" w:val="clear"/>
            <w:tcMar>
              <w:top w:type="dxa" w:w="100"/>
              <w:left w:type="dxa" w:w="140"/>
              <w:bottom w:type="dxa" w:w="100"/>
              <w:right w:type="dxa" w:w="140"/>
            </w:tcMar>
          </w:tcPr>
          <w:p>
            <w:pPr>
              <w:spacing w:after="0"/>
            </w:pPr>
            <w:r>
              <w:rPr>
                <w:rFonts w:ascii="Consolas" w:cs="Consolas" w:eastAsia="Consolas" w:hAnsi="Consolas"/>
                <w:sz w:val="17"/>
                <w:szCs w:val="17"/>
              </w:rPr>
              <w:t xml:space="preserve">("adrenal gland diseases"[MH] OR pheochromocytoma[MH] OR "Cushing syndrome"[MH] OR "adrenocortical insufficiency"[MH] OR paraganglioma[MH] OR "hyperaldosteronism"[MH])</w:t>
            </w:r>
          </w:p>
        </w:tc>
      </w:tr>
    </w:tbl>
    <w:p>
      <w:pPr>
        <w:spacing w:after="80" w:before="0"/>
      </w:pPr>
      <w:r>
        <w:rPr>
          <w:sz w:val="22"/>
          <w:szCs w:val="22"/>
        </w:rPr>
        <w:t xml:space="preserve"/>
      </w:r>
    </w:p>
    <w:p>
      <w:pPr>
        <w:spacing w:after="60" w:before="60"/>
      </w:pPr>
      <w:r>
        <w:rPr>
          <w:b/>
          <w:bCs/>
          <w:sz w:val="20"/>
          <w:szCs w:val="20"/>
        </w:rPr>
        <w:t xml:space="preserve">01   Cushing Syndrome &amp; Disease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("Cushing syndrome"[MH] OR "Cushing syndrome"[tiab] OR "Cushing's syndrome"[tiab] OR "Cushing disease"[tiab] OR "hypercortisolism"[tiab] OR "ACTH-dependent Cushing"[tiab] OR osilodrostat[tiab] OR (pasireotide[tiab] AND "Cushing"[tiab]) OR (mifepristone[tiab] AND "Cushing"[tiab]) OR (metyrapone[tiab] AND "Cushing"[tiab]) OR levoketoconazole[tiab])</w:t>
            </w:r>
          </w:p>
        </w:tc>
      </w:tr>
    </w:tbl>
    <w:p>
      <w:pPr>
        <w:spacing w:after="60" w:before="0"/>
      </w:pPr>
      <w:r>
        <w:rPr>
          <w:sz w:val="22"/>
          <w:szCs w:val="22"/>
        </w:rPr>
        <w:t xml:space="preserve"/>
      </w:r>
    </w:p>
    <w:p>
      <w:pPr>
        <w:spacing w:after="60" w:before="60"/>
      </w:pPr>
      <w:r>
        <w:rPr>
          <w:b/>
          <w:bCs/>
          <w:sz w:val="20"/>
          <w:szCs w:val="20"/>
        </w:rPr>
        <w:t xml:space="preserve">02   Adrenal Insufficiency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("adrenocortical insufficiency"[MH] OR "Addison disease"[MH] OR "adrenal insufficiency"[tiab] OR "Addison's disease"[tiab] OR "primary adrenal insufficiency"[tiab] OR "secondary adrenal insufficiency"[tiab] OR "adrenal crisis"[tiab] OR (hydrocortisone[tiab] AND "adrenal insufficiency"[tiab]) OR "glucocorticoid replacement"[tiab] OR "modified-release hydrocortisone"[tiab])</w:t>
            </w:r>
          </w:p>
        </w:tc>
      </w:tr>
    </w:tbl>
    <w:p>
      <w:pPr>
        <w:spacing w:after="60" w:before="0"/>
      </w:pPr>
      <w:r>
        <w:rPr>
          <w:sz w:val="22"/>
          <w:szCs w:val="22"/>
        </w:rPr>
        <w:t xml:space="preserve"/>
      </w:r>
    </w:p>
    <w:p>
      <w:pPr>
        <w:spacing w:after="60" w:before="60"/>
      </w:pPr>
      <w:r>
        <w:rPr>
          <w:b/>
          <w:bCs/>
          <w:sz w:val="20"/>
          <w:szCs w:val="20"/>
        </w:rPr>
        <w:t xml:space="preserve">03   Primary Aldosteronism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("hyperaldosteronism"[MH] OR "primary aldosteronism"[tiab] OR "primary hyperaldosteronism"[tiab] OR "Conn syndrome"[tiab] OR "aldosterone-producing adenoma"[tiab] OR "adrenal vein sampling"[tiab] OR "aldosterone-renin ratio"[tiab] OR ("mineralocorticoid"[tiab] AND "hypertension"[tiab]) OR "bilateral adrenal hyperplasia"[tiab])</w:t>
            </w:r>
          </w:p>
        </w:tc>
      </w:tr>
    </w:tbl>
    <w:p>
      <w:pPr>
        <w:spacing w:after="60" w:before="0"/>
      </w:pPr>
      <w:r>
        <w:rPr>
          <w:sz w:val="22"/>
          <w:szCs w:val="22"/>
        </w:rPr>
        <w:t xml:space="preserve"/>
      </w:r>
    </w:p>
    <w:p>
      <w:pPr>
        <w:spacing w:after="60" w:before="60"/>
      </w:pPr>
      <w:r>
        <w:rPr>
          <w:b/>
          <w:bCs/>
          <w:sz w:val="20"/>
          <w:szCs w:val="20"/>
        </w:rPr>
        <w:t xml:space="preserve">04   Phaeochromocytoma &amp; PGL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(pheochromocytoma[MH] OR paraganglioma[MH] OR "phaeochromocytoma"[tiab] OR "pheochromocytoma"[tiab] OR "paraganglioma"[tiab] OR "PPGL"[tiab] OR "catecholamine-secreting"[tiab] OR ("metaiodobenzylguanidine"[tiab] AND ("phaeochromocytoma"[tiab] OR "paraganglioma"[tiab])) OR "SDHB"[tiab] OR "SDHD"[tiab] OR ("succinate dehydrogenase"[tiab] AND "paraganglioma"[tiab]))</w:t>
            </w:r>
          </w:p>
        </w:tc>
      </w:tr>
    </w:tbl>
    <w:p>
      <w:pPr>
        <w:spacing w:after="60" w:before="0"/>
      </w:pPr>
      <w:r>
        <w:rPr>
          <w:sz w:val="22"/>
          <w:szCs w:val="22"/>
        </w:rPr>
        <w:t xml:space="preserve"/>
      </w:r>
    </w:p>
    <w:p>
      <w:pPr>
        <w:spacing w:after="60" w:before="60"/>
      </w:pPr>
      <w:r>
        <w:rPr>
          <w:b/>
          <w:bCs/>
          <w:sz w:val="20"/>
          <w:szCs w:val="20"/>
        </w:rPr>
        <w:t xml:space="preserve">05   Adrenal Incidentaloma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("adrenal gland neoplasms"[MH] OR "adrenal incidentaloma"[tiab] OR "incidentally discovered adrenal mass"[tiab] OR ("adrenal adenoma"[tiab] AND "incidental"[tiab]) OR "mild autonomous cortisol secretion"[tiab] OR ("MACS"[tiab] AND "adrenal"[tiab]) OR ("subclinical Cushing"[tiab] AND "adrenal"[tiab])) NOT (pheochromocytoma[MH] OR "adrenocortical carcinoma"[tiab])</w:t>
            </w:r>
          </w:p>
        </w:tc>
      </w:tr>
    </w:tbl>
    <w:p>
      <w:pPr>
        <w:spacing w:after="60" w:before="0"/>
      </w:pPr>
      <w:r>
        <w:rPr>
          <w:sz w:val="22"/>
          <w:szCs w:val="22"/>
        </w:rPr>
        <w:t xml:space="preserve"/>
      </w:r>
    </w:p>
    <w:p>
      <w:pPr>
        <w:spacing w:after="60" w:before="60"/>
      </w:pPr>
      <w:r>
        <w:rPr>
          <w:b/>
          <w:bCs/>
          <w:sz w:val="20"/>
          <w:szCs w:val="20"/>
        </w:rPr>
        <w:t xml:space="preserve">06   Congenital Adrenal Hyperplasia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("adrenal hyperplasia, congenital"[MH] OR "congenital adrenal hyperplasia"[tiab] OR ("CAH"[tiab] AND "21-hydroxylase"[tiab]) OR "21-hydroxylase deficiency"[tiab] OR "CYP21A2"[tiab] OR "11-beta hydroxylase deficiency"[tiab] OR crinecerfont[tiab] OR ("glucocorticoid optimization"[tiab] AND "CAH"[tiab]) OR ("androstenedione"[tiab] AND "CAH"[tiab]))</w:t>
            </w:r>
          </w:p>
        </w:tc>
      </w:tr>
    </w:tbl>
    <w:p>
      <w:pPr>
        <w:spacing w:after="60" w:before="0"/>
      </w:pPr>
      <w:r>
        <w:rPr>
          <w:sz w:val="22"/>
          <w:szCs w:val="22"/>
        </w:rPr>
        <w:t xml:space="preserve"/>
      </w:r>
    </w:p>
    <w:p>
      <w:pPr>
        <w:pStyle w:val="Heading2"/>
        <w:spacing w:after="80" w:before="160"/>
      </w:pPr>
      <w:r>
        <w:rPr>
          <w:b/>
          <w:bCs/>
          <w:color w:val="1F4E79"/>
          <w:sz w:val="24"/>
          <w:szCs w:val="24"/>
        </w:rPr>
        <w:t xml:space="preserve">Pituitary &amp; Hypothalamic   (CORE, 6 subdomains)</w:t>
      </w:r>
    </w:p>
    <w:p>
      <w:pPr>
        <w:spacing w:after="60" w:before="0"/>
      </w:pPr>
      <w:r>
        <w:rPr>
          <w:b/>
          <w:bCs/>
          <w:sz w:val="20"/>
          <w:szCs w:val="20"/>
        </w:rPr>
        <w:t xml:space="preserve">Broad domain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6F8FA" w:val="clear"/>
            <w:tcMar>
              <w:top w:type="dxa" w:w="100"/>
              <w:left w:type="dxa" w:w="140"/>
              <w:bottom w:type="dxa" w:w="100"/>
              <w:right w:type="dxa" w:w="140"/>
            </w:tcMar>
          </w:tcPr>
          <w:p>
            <w:pPr>
              <w:spacing w:after="0"/>
            </w:pPr>
            <w:r>
              <w:rPr>
                <w:rFonts w:ascii="Consolas" w:cs="Consolas" w:eastAsia="Consolas" w:hAnsi="Consolas"/>
                <w:sz w:val="17"/>
                <w:szCs w:val="17"/>
              </w:rPr>
              <w:t xml:space="preserve">("pituitary diseases"[MH] OR "hypothalamic diseases"[MH] OR "pituitary neoplasms"[MH])</w:t>
            </w:r>
          </w:p>
        </w:tc>
      </w:tr>
    </w:tbl>
    <w:p>
      <w:pPr>
        <w:spacing w:after="80" w:before="0"/>
      </w:pPr>
      <w:r>
        <w:rPr>
          <w:sz w:val="22"/>
          <w:szCs w:val="22"/>
        </w:rPr>
        <w:t xml:space="preserve"/>
      </w:r>
    </w:p>
    <w:p>
      <w:pPr>
        <w:spacing w:after="60" w:before="60"/>
      </w:pPr>
      <w:r>
        <w:rPr>
          <w:b/>
          <w:bCs/>
          <w:sz w:val="20"/>
          <w:szCs w:val="20"/>
        </w:rPr>
        <w:t xml:space="preserve">01   Acromegaly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(acromegaly[MH] OR "acromegaly"[tiab] OR "growth hormone excess"[tiab] OR "GH-secreting adenoma"[tiab] OR "somatotroph adenoma"[tiab] OR (octreotide[tiab] AND "acromegaly"[tiab]) OR (lanreotide[tiab] AND "acromegaly"[tiab]) OR (pasireotide[tiab] AND "acromegaly"[tiab]) OR pegvisomant[tiab] OR ("stereotactic radiosurgery"[tiab] AND "acromegaly"[tiab]))</w:t>
            </w:r>
          </w:p>
        </w:tc>
      </w:tr>
    </w:tbl>
    <w:p>
      <w:pPr>
        <w:spacing w:after="60" w:before="0"/>
      </w:pPr>
      <w:r>
        <w:rPr>
          <w:sz w:val="22"/>
          <w:szCs w:val="22"/>
        </w:rPr>
        <w:t xml:space="preserve"/>
      </w:r>
    </w:p>
    <w:p>
      <w:pPr>
        <w:spacing w:after="60" w:before="60"/>
      </w:pPr>
      <w:r>
        <w:rPr>
          <w:b/>
          <w:bCs/>
          <w:sz w:val="20"/>
          <w:szCs w:val="20"/>
        </w:rPr>
        <w:t xml:space="preserve">02   Hyperprolactinaemia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(hyperprolactinemia[MH] OR "hyperprolactinaemia"[tiab] OR "hyperprolactinemia"[tiab] OR "prolactinoma"[tiab] OR "macroprolactinoma"[tiab] OR "microprolactinoma"[tiab] OR (cabergoline[tiab] AND "prolactin"[tiab]) OR (bromocriptine[tiab] AND "prolactinoma"[tiab]) OR "drug-induced hyperprolactinaemia"[tiab])</w:t>
            </w:r>
          </w:p>
        </w:tc>
      </w:tr>
    </w:tbl>
    <w:p>
      <w:pPr>
        <w:spacing w:after="60" w:before="0"/>
      </w:pPr>
      <w:r>
        <w:rPr>
          <w:sz w:val="22"/>
          <w:szCs w:val="22"/>
        </w:rPr>
        <w:t xml:space="preserve"/>
      </w:r>
    </w:p>
    <w:p>
      <w:pPr>
        <w:spacing w:after="60" w:before="60"/>
      </w:pPr>
      <w:r>
        <w:rPr>
          <w:b/>
          <w:bCs/>
          <w:sz w:val="20"/>
          <w:szCs w:val="20"/>
        </w:rPr>
        <w:t xml:space="preserve">03   Non-functioning Adenoma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("pituitary neoplasms"[MH] OR "non-functioning pituitary adenoma"[tiab] OR "NFPA"[tiab] OR "clinically non-functioning pituitary adenoma"[tiab] OR "pituitary incidentaloma"[tiab] OR "pituitary apoplexy"[tiab] OR "gonadotroph adenoma"[tiab] OR "silent corticotroph adenoma"[tiab] OR (temozolomide[tiab] AND "pituitary"[tiab]) OR "aggressive pituitary tumour"[tiab])</w:t>
            </w:r>
          </w:p>
        </w:tc>
      </w:tr>
    </w:tbl>
    <w:p>
      <w:pPr>
        <w:spacing w:after="60" w:before="0"/>
      </w:pPr>
      <w:r>
        <w:rPr>
          <w:sz w:val="22"/>
          <w:szCs w:val="22"/>
        </w:rPr>
        <w:t xml:space="preserve"/>
      </w:r>
    </w:p>
    <w:p>
      <w:pPr>
        <w:spacing w:after="60" w:before="60"/>
      </w:pPr>
      <w:r>
        <w:rPr>
          <w:b/>
          <w:bCs/>
          <w:sz w:val="20"/>
          <w:szCs w:val="20"/>
        </w:rPr>
        <w:t xml:space="preserve">04   Hypopituitarism &amp; GHD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(hypopituitarism[MH] OR "hypopituitarism"[tiab] OR "panhypopituitarism"[tiab] OR ("growth hormone deficiency"[MH] AND "adult"[tiab]) OR "adult growth hormone deficiency"[tiab] OR "GH replacement"[tiab] OR ("somatropin"[tiab] AND ("deficiency"[tiab] OR "replacement"[tiab])) OR "pituitary hormone deficiency"[tiab])</w:t>
            </w:r>
          </w:p>
        </w:tc>
      </w:tr>
    </w:tbl>
    <w:p>
      <w:pPr>
        <w:spacing w:after="60" w:before="0"/>
      </w:pPr>
      <w:r>
        <w:rPr>
          <w:sz w:val="22"/>
          <w:szCs w:val="22"/>
        </w:rPr>
        <w:t xml:space="preserve"/>
      </w:r>
    </w:p>
    <w:p>
      <w:pPr>
        <w:spacing w:after="60" w:before="60"/>
      </w:pPr>
      <w:r>
        <w:rPr>
          <w:b/>
          <w:bCs/>
          <w:sz w:val="20"/>
          <w:szCs w:val="20"/>
        </w:rPr>
        <w:t xml:space="preserve">05   AVP Deficiency &amp; Hyponatraemia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("diabetes insipidus"[MH] OR "inappropriate ADH syndrome"[MH] OR "AVP deficiency"[tiab] OR "arginine vasopressin deficiency"[tiab] OR "cranial diabetes insipidus"[tiab] OR (desmopressin[tiab] AND "diabetes insipidus"[tiab]) OR "SIADH"[tiab] OR "hyponatraemia"[tiab] OR "hyponatremia"[tiab] OR tolvaptan[tiab] OR "syndrome of inappropriate antidiuresis"[tiab])</w:t>
            </w:r>
          </w:p>
        </w:tc>
      </w:tr>
    </w:tbl>
    <w:p>
      <w:pPr>
        <w:spacing w:after="60" w:before="0"/>
      </w:pPr>
      <w:r>
        <w:rPr>
          <w:sz w:val="22"/>
          <w:szCs w:val="22"/>
        </w:rPr>
        <w:t xml:space="preserve"/>
      </w:r>
    </w:p>
    <w:p>
      <w:pPr>
        <w:spacing w:after="60" w:before="60"/>
      </w:pPr>
      <w:r>
        <w:rPr>
          <w:b/>
          <w:bCs/>
          <w:sz w:val="20"/>
          <w:szCs w:val="20"/>
        </w:rPr>
        <w:t xml:space="preserve">06   Nelson &amp; Craniopharyngioma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("Nelson syndrome"[tiab] OR "Nelson's syndrome"[tiab] OR "post-adrenalectomy ACTH"[tiab] OR ("bilateral adrenalectomy"[tiab] AND "Cushing"[tiab]) OR "craniopharyngioma"[MH] OR "craniopharyngioma"[tiab] OR "Rathke cleft cyst"[tiab] OR "hypothalamic obesity"[tiab] OR "pituitary Cushing disease"[tiab])</w:t>
            </w:r>
          </w:p>
        </w:tc>
      </w:tr>
    </w:tbl>
    <w:p>
      <w:pPr>
        <w:spacing w:after="60" w:before="0"/>
      </w:pPr>
      <w:r>
        <w:rPr>
          <w:sz w:val="22"/>
          <w:szCs w:val="22"/>
        </w:rPr>
        <w:t xml:space="preserve"/>
      </w:r>
    </w:p>
    <w:p>
      <w:pPr>
        <w:pStyle w:val="Heading2"/>
        <w:spacing w:after="80" w:before="160"/>
      </w:pPr>
      <w:r>
        <w:rPr>
          <w:b/>
          <w:bCs/>
          <w:color w:val="1F4E79"/>
          <w:sz w:val="24"/>
          <w:szCs w:val="24"/>
        </w:rPr>
        <w:t xml:space="preserve">Bone &amp; Mineral Metabolism   (CORE, 5 subdomains)</w:t>
      </w:r>
    </w:p>
    <w:p>
      <w:pPr>
        <w:spacing w:after="60" w:before="0"/>
      </w:pPr>
      <w:r>
        <w:rPr>
          <w:b/>
          <w:bCs/>
          <w:sz w:val="20"/>
          <w:szCs w:val="20"/>
        </w:rPr>
        <w:t xml:space="preserve">Broad domain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6F8FA" w:val="clear"/>
            <w:tcMar>
              <w:top w:type="dxa" w:w="100"/>
              <w:left w:type="dxa" w:w="140"/>
              <w:bottom w:type="dxa" w:w="100"/>
              <w:right w:type="dxa" w:w="140"/>
            </w:tcMar>
          </w:tcPr>
          <w:p>
            <w:pPr>
              <w:spacing w:after="0"/>
            </w:pPr>
            <w:r>
              <w:rPr>
                <w:rFonts w:ascii="Consolas" w:cs="Consolas" w:eastAsia="Consolas" w:hAnsi="Consolas"/>
                <w:sz w:val="17"/>
                <w:szCs w:val="17"/>
              </w:rPr>
              <w:t xml:space="preserve">("bone diseases"[MH] OR osteoporosis[MH] OR "hyperparathyroidism"[MH] OR "calcium metabolism disorders"[MH])</w:t>
            </w:r>
          </w:p>
        </w:tc>
      </w:tr>
    </w:tbl>
    <w:p>
      <w:pPr>
        <w:spacing w:after="80" w:before="0"/>
      </w:pPr>
      <w:r>
        <w:rPr>
          <w:sz w:val="22"/>
          <w:szCs w:val="22"/>
        </w:rPr>
        <w:t xml:space="preserve"/>
      </w:r>
    </w:p>
    <w:p>
      <w:pPr>
        <w:spacing w:after="60" w:before="60"/>
      </w:pPr>
      <w:r>
        <w:rPr>
          <w:b/>
          <w:bCs/>
          <w:sz w:val="20"/>
          <w:szCs w:val="20"/>
        </w:rPr>
        <w:t xml:space="preserve">01   Osteoporosis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6F8FA" w:val="clear"/>
            <w:tcMar>
              <w:top w:type="dxa" w:w="100"/>
              <w:left w:type="dxa" w:w="140"/>
              <w:bottom w:type="dxa" w:w="100"/>
              <w:right w:type="dxa" w:w="140"/>
            </w:tcMar>
          </w:tcPr>
          <w:p>
            <w:pPr>
              <w:spacing w:after="0"/>
            </w:pPr>
            <w:r>
              <w:rPr>
                <w:rFonts w:ascii="Consolas" w:cs="Consolas" w:eastAsia="Consolas" w:hAnsi="Consolas"/>
                <w:sz w:val="17"/>
                <w:szCs w:val="17"/>
              </w:rPr>
              <w:t xml:space="preserve">(osteoporosis[MH] OR "osteoporosis"[tiab] OR "osteopenia"[tiab] OR "osteoporotic fracture"[tiab] OR "fragility fracture"[tiab] OR "bone mineral density"[tiab] OR "FRAX"[tiab] OR denosumab[tiab] OR romosozumab[tiab] OR teriparatide[tiab] OR abaloparatide[tiab] OR bisphosphonate[tiab] OR alendronate[tiab] OR zoledronate[tiab] OR "antiresorptive therapy"[tiab])</w:t>
            </w:r>
          </w:p>
        </w:tc>
      </w:tr>
    </w:tbl>
    <w:p>
      <w:pPr>
        <w:spacing w:after="60" w:before="0"/>
      </w:pPr>
      <w:r>
        <w:rPr>
          <w:sz w:val="22"/>
          <w:szCs w:val="22"/>
        </w:rPr>
        <w:t xml:space="preserve"/>
      </w:r>
    </w:p>
    <w:p>
      <w:pPr>
        <w:spacing w:after="60" w:before="60"/>
      </w:pPr>
      <w:r>
        <w:rPr>
          <w:b/>
          <w:bCs/>
          <w:sz w:val="20"/>
          <w:szCs w:val="20"/>
        </w:rPr>
        <w:t xml:space="preserve">02   Primary Hyperparathyroidism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("hyperparathyroidism, primary"[MH] OR "primary hyperparathyroidism"[tiab] OR "PHPT"[tiab] OR "parathyroid adenoma"[tiab] OR "parathyroid carcinoma"[tiab] OR "parathyroidectomy"[tiab] OR (cinacalcet[tiab] AND "hyperparathyroidism"[tiab]) OR "asymptomatic hyperparathyroidism"[tiab] OR "normocalcaemic hyperparathyroidism"[tiab])</w:t>
            </w:r>
          </w:p>
        </w:tc>
      </w:tr>
    </w:tbl>
    <w:p>
      <w:pPr>
        <w:spacing w:after="60" w:before="0"/>
      </w:pPr>
      <w:r>
        <w:rPr>
          <w:sz w:val="22"/>
          <w:szCs w:val="22"/>
        </w:rPr>
        <w:t xml:space="preserve"/>
      </w:r>
    </w:p>
    <w:p>
      <w:pPr>
        <w:spacing w:after="60" w:before="60"/>
      </w:pPr>
      <w:r>
        <w:rPr>
          <w:b/>
          <w:bCs/>
          <w:sz w:val="20"/>
          <w:szCs w:val="20"/>
        </w:rPr>
        <w:t xml:space="preserve">03   Hypoparathyroidism &amp; CKD-MBD   —  Precedence fixed (intent interpreted — see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("hypoparathyroidism"[MH] OR "hypoparathyroidism"[tiab] OR (("hypocalcaemia"[tiab] OR "hypocalcemia"[tiab]) AND "parathyroid"[tiab]) OR "palopegteriparatide"[tiab] OR "secondary hyperparathyroidism"[tiab] OR "tertiary hyperparathyroidism"[tiab] OR "renal osteodystrophy"[tiab] OR "CKD-MBD"[tiab])</w:t>
            </w:r>
          </w:p>
        </w:tc>
      </w:tr>
    </w:tbl>
    <w:p>
      <w:pPr>
        <w:spacing w:after="60" w:before="0"/>
      </w:pPr>
      <w:r>
        <w:rPr>
          <w:i/>
          <w:iCs/>
          <w:color w:val="666666"/>
          <w:sz w:val="18"/>
          <w:szCs w:val="18"/>
        </w:rPr>
        <w:t xml:space="preserve">Note: in v5.4 the bare AND in "...hypocalcaemia[tiab] OR hypocalcemia[tiab] AND parathyroid[tiab]..." clamped the whole union. Bare hypocalcaemia is far too broad for this subdomain (it would pull in every electrolyte paper), so both spellings are now grouped and required to co-occur with parathyroid. If you would rather keep hypocalcaemia as a standalone term, flag it and it will be split out.</w:t>
      </w:r>
    </w:p>
    <w:p>
      <w:pPr>
        <w:spacing w:after="60" w:before="0"/>
      </w:pPr>
      <w:r>
        <w:rPr>
          <w:sz w:val="22"/>
          <w:szCs w:val="22"/>
        </w:rPr>
        <w:t xml:space="preserve"/>
      </w:r>
    </w:p>
    <w:p>
      <w:pPr>
        <w:spacing w:after="60" w:before="60"/>
      </w:pPr>
      <w:r>
        <w:rPr>
          <w:b/>
          <w:bCs/>
          <w:sz w:val="20"/>
          <w:szCs w:val="20"/>
        </w:rPr>
        <w:t xml:space="preserve">04   Vitamin D Disorders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6F8FA" w:val="clear"/>
            <w:tcMar>
              <w:top w:type="dxa" w:w="100"/>
              <w:left w:type="dxa" w:w="140"/>
              <w:bottom w:type="dxa" w:w="100"/>
              <w:right w:type="dxa" w:w="140"/>
            </w:tcMar>
          </w:tcPr>
          <w:p>
            <w:pPr>
              <w:spacing w:after="0"/>
            </w:pPr>
            <w:r>
              <w:rPr>
                <w:rFonts w:ascii="Consolas" w:cs="Consolas" w:eastAsia="Consolas" w:hAnsi="Consolas"/>
                <w:sz w:val="17"/>
                <w:szCs w:val="17"/>
              </w:rPr>
              <w:t xml:space="preserve">("vitamin D deficiency"[MH] OR "vitamin D deficiency"[tiab] OR "vitamin D insufficiency"[tiab] OR "25-hydroxyvitamin D"[tiab] OR "25(OH)D"[tiab] OR cholecalciferol[tiab] OR "vitamin D supplementation"[tiab] OR osteomalacia[MH] OR "osteomalacia"[tiab] OR rickets[MH] OR "nutritional rickets"[tiab])</w:t>
            </w:r>
          </w:p>
        </w:tc>
      </w:tr>
    </w:tbl>
    <w:p>
      <w:pPr>
        <w:spacing w:after="60" w:before="0"/>
      </w:pPr>
      <w:r>
        <w:rPr>
          <w:sz w:val="22"/>
          <w:szCs w:val="22"/>
        </w:rPr>
        <w:t xml:space="preserve"/>
      </w:r>
    </w:p>
    <w:p>
      <w:pPr>
        <w:spacing w:after="60" w:before="60"/>
      </w:pPr>
      <w:r>
        <w:rPr>
          <w:b/>
          <w:bCs/>
          <w:sz w:val="20"/>
          <w:szCs w:val="20"/>
        </w:rPr>
        <w:t xml:space="preserve">05   Rare Bone Diseases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("Paget disease, bone"[MH] OR "Paget disease of bone"[tiab] OR "X-linked hypophosphataemia"[tiab] OR ("XLH"[tiab] AND "bone"[tiab]) OR burosumab[tiab] OR ("fibrous dysplasia"[tiab] AND "bone"[tiab]) OR "osteogenesis imperfecta"[tiab] OR "hypophosphatasia"[tiab] OR asfotase[tiab] OR "tumour-induced osteomalacia"[tiab])</w:t>
            </w:r>
          </w:p>
        </w:tc>
      </w:tr>
    </w:tbl>
    <w:p>
      <w:pPr>
        <w:spacing w:after="60" w:before="0"/>
      </w:pPr>
      <w:r>
        <w:rPr>
          <w:sz w:val="22"/>
          <w:szCs w:val="22"/>
        </w:rPr>
        <w:t xml:space="preserve"/>
      </w:r>
    </w:p>
    <w:p>
      <w:pPr>
        <w:pStyle w:val="Heading2"/>
        <w:spacing w:after="80" w:before="160"/>
      </w:pPr>
      <w:r>
        <w:rPr>
          <w:b/>
          <w:bCs/>
          <w:color w:val="1F4E79"/>
          <w:sz w:val="24"/>
          <w:szCs w:val="24"/>
        </w:rPr>
        <w:t xml:space="preserve">Reproductive Endocrinology   (SPEC, 5 subdomains)</w:t>
      </w:r>
    </w:p>
    <w:p>
      <w:pPr>
        <w:spacing w:after="60" w:before="0"/>
      </w:pPr>
      <w:r>
        <w:rPr>
          <w:b/>
          <w:bCs/>
          <w:sz w:val="20"/>
          <w:szCs w:val="20"/>
        </w:rPr>
        <w:t xml:space="preserve">Broad domain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6F8FA" w:val="clear"/>
            <w:tcMar>
              <w:top w:type="dxa" w:w="100"/>
              <w:left w:type="dxa" w:w="140"/>
              <w:bottom w:type="dxa" w:w="100"/>
              <w:right w:type="dxa" w:w="140"/>
            </w:tcMar>
          </w:tcPr>
          <w:p>
            <w:pPr>
              <w:spacing w:after="0"/>
            </w:pPr>
            <w:r>
              <w:rPr>
                <w:rFonts w:ascii="Consolas" w:cs="Consolas" w:eastAsia="Consolas" w:hAnsi="Consolas"/>
                <w:sz w:val="17"/>
                <w:szCs w:val="17"/>
              </w:rPr>
              <w:t xml:space="preserve">("gonadal disorders"[MH] OR "polycystic ovary syndrome"[MH] OR hypogonadism[MH] OR "sex chromosome disorders"[MH])</w:t>
            </w:r>
          </w:p>
        </w:tc>
      </w:tr>
    </w:tbl>
    <w:p>
      <w:pPr>
        <w:spacing w:after="80" w:before="0"/>
      </w:pPr>
      <w:r>
        <w:rPr>
          <w:sz w:val="22"/>
          <w:szCs w:val="22"/>
        </w:rPr>
        <w:t xml:space="preserve"/>
      </w:r>
    </w:p>
    <w:p>
      <w:pPr>
        <w:spacing w:after="60" w:before="60"/>
      </w:pPr>
      <w:r>
        <w:rPr>
          <w:b/>
          <w:bCs/>
          <w:sz w:val="20"/>
          <w:szCs w:val="20"/>
        </w:rPr>
        <w:t xml:space="preserve">01   PCOS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("polycystic ovary syndrome"[MH] OR "polycystic ovary syndrome"[tiab] OR "PCOS"[tiab] OR "polycystic ovarian syndrome"[tiab] OR ("hyperandrogenism"[tiab] AND ("ovary"[tiab] OR "anovulation"[tiab])) OR ("letrozole"[tiab] AND "PCOS"[tiab]) OR ("metformin"[tiab] AND "PCOS"[tiab]) OR ("inositol"[tiab] AND "PCOS"[tiab]) OR ("anti-Mullerian hormone"[tiab] AND "PCOS"[tiab]))</w:t>
            </w:r>
          </w:p>
        </w:tc>
      </w:tr>
    </w:tbl>
    <w:p>
      <w:pPr>
        <w:spacing w:after="60" w:before="0"/>
      </w:pPr>
      <w:r>
        <w:rPr>
          <w:sz w:val="22"/>
          <w:szCs w:val="22"/>
        </w:rPr>
        <w:t xml:space="preserve"/>
      </w:r>
    </w:p>
    <w:p>
      <w:pPr>
        <w:spacing w:after="60" w:before="60"/>
      </w:pPr>
      <w:r>
        <w:rPr>
          <w:b/>
          <w:bCs/>
          <w:sz w:val="20"/>
          <w:szCs w:val="20"/>
        </w:rPr>
        <w:t xml:space="preserve">02   Male Hypogonadism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(("hypogonadism"[MH] AND "male"[tiab]) OR "testosterone deficiency"[tiab] OR "male hypogonadism"[tiab] OR "androgen deficiency"[tiab] OR "late-onset hypogonadism"[tiab] OR "testosterone replacement therapy"[tiab] OR "Klinefelter syndrome"[MH] OR "Klinefelter syndrome"[tiab] OR ("Kallmann syndrome"[tiab] AND "male"[tiab]))</w:t>
            </w:r>
          </w:p>
        </w:tc>
      </w:tr>
    </w:tbl>
    <w:p>
      <w:pPr>
        <w:spacing w:after="60" w:before="0"/>
      </w:pPr>
      <w:r>
        <w:rPr>
          <w:sz w:val="22"/>
          <w:szCs w:val="22"/>
        </w:rPr>
        <w:t xml:space="preserve"/>
      </w:r>
    </w:p>
    <w:p>
      <w:pPr>
        <w:spacing w:after="60" w:before="60"/>
      </w:pPr>
      <w:r>
        <w:rPr>
          <w:b/>
          <w:bCs/>
          <w:sz w:val="20"/>
          <w:szCs w:val="20"/>
        </w:rPr>
        <w:t xml:space="preserve">03   POI &amp; Turner Syndrome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("primary ovarian insufficiency"[MH] OR "premature ovarian insufficiency"[tiab] OR ("POI"[tiab] AND ("ovary"[tiab] OR "ovarian"[tiab])) OR "premature ovarian failure"[tiab] OR "menopause, premature"[MH] OR "Turner syndrome"[MH] OR "Turner syndrome"[tiab] OR "45,X"[tiab] OR ("oestrogen replacement"[tiab] AND "POI"[tiab]))</w:t>
            </w:r>
          </w:p>
        </w:tc>
      </w:tr>
    </w:tbl>
    <w:p>
      <w:pPr>
        <w:spacing w:after="60" w:before="0"/>
      </w:pPr>
      <w:r>
        <w:rPr>
          <w:sz w:val="22"/>
          <w:szCs w:val="22"/>
        </w:rPr>
        <w:t xml:space="preserve"/>
      </w:r>
    </w:p>
    <w:p>
      <w:pPr>
        <w:spacing w:after="60" w:before="60"/>
      </w:pPr>
      <w:r>
        <w:rPr>
          <w:b/>
          <w:bCs/>
          <w:sz w:val="20"/>
          <w:szCs w:val="20"/>
        </w:rPr>
        <w:t xml:space="preserve">04   Gender-Affirming Care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("transsexualism"[MH] OR "transgender"[tiab] OR "gender dysphoria"[tiab] OR "gender-affirming hormone therapy"[tiab] OR "GAHT"[tiab] OR "feminising hormone therapy"[tiab] OR "masculinising hormone therapy"[tiab] OR "gender incongruence"[tiab] OR "puberty suppression"[tiab] OR ("GnRH analogue"[tiab] AND "gender"[tiab]))</w:t>
            </w:r>
          </w:p>
        </w:tc>
      </w:tr>
    </w:tbl>
    <w:p>
      <w:pPr>
        <w:spacing w:after="60" w:before="0"/>
      </w:pPr>
      <w:r>
        <w:rPr>
          <w:sz w:val="22"/>
          <w:szCs w:val="22"/>
        </w:rPr>
        <w:t xml:space="preserve"/>
      </w:r>
    </w:p>
    <w:p>
      <w:pPr>
        <w:spacing w:after="60" w:before="60"/>
      </w:pPr>
      <w:r>
        <w:rPr>
          <w:b/>
          <w:bCs/>
          <w:sz w:val="20"/>
          <w:szCs w:val="20"/>
        </w:rPr>
        <w:t xml:space="preserve">05   Menopause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("menopause"[MH] OR "climacteric"[MH] OR "hormone replacement therapy"[MH] OR "menopause"[tiab] OR "perimenopause"[tiab] OR "menopausal hormone therapy"[tiab] OR "MHT"[tiab] OR "vasomotor symptoms"[tiab] OR "hot flush"[tiab] OR "genitourinary syndrome of menopause"[tiab] OR ("oestradiol"[tiab] AND "menopause"[tiab]))</w:t>
            </w:r>
          </w:p>
        </w:tc>
      </w:tr>
    </w:tbl>
    <w:p>
      <w:pPr>
        <w:spacing w:after="60" w:before="0"/>
      </w:pPr>
      <w:r>
        <w:rPr>
          <w:sz w:val="22"/>
          <w:szCs w:val="22"/>
        </w:rPr>
        <w:t xml:space="preserve"/>
      </w:r>
    </w:p>
    <w:p>
      <w:pPr>
        <w:pStyle w:val="Heading2"/>
        <w:spacing w:after="80" w:before="160"/>
      </w:pPr>
      <w:r>
        <w:rPr>
          <w:b/>
          <w:bCs/>
          <w:color w:val="1F4E79"/>
          <w:sz w:val="24"/>
          <w:szCs w:val="24"/>
        </w:rPr>
        <w:t xml:space="preserve">Lipids &amp; Cardiovascular Risk   (SPEC, 4 subdomains)</w:t>
      </w:r>
    </w:p>
    <w:p>
      <w:pPr>
        <w:spacing w:after="60" w:before="0"/>
      </w:pPr>
      <w:r>
        <w:rPr>
          <w:b/>
          <w:bCs/>
          <w:sz w:val="20"/>
          <w:szCs w:val="20"/>
        </w:rPr>
        <w:t xml:space="preserve">Broad domain query  —  Broad query restructured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("dyslipidemias"[MH] OR ("lipoproteins"[MH] AND "cardiovascular diseases"[MH]) OR ("cardiovascular risk"[tiab] AND "lipid"[tiab]))</w:t>
            </w:r>
          </w:p>
        </w:tc>
      </w:tr>
    </w:tbl>
    <w:p>
      <w:pPr>
        <w:spacing w:after="80" w:before="0"/>
      </w:pPr>
      <w:r>
        <w:rPr>
          <w:sz w:val="22"/>
          <w:szCs w:val="22"/>
        </w:rPr>
        <w:t xml:space="preserve"/>
      </w:r>
    </w:p>
    <w:p>
      <w:pPr>
        <w:spacing w:after="60" w:before="60"/>
      </w:pPr>
      <w:r>
        <w:rPr>
          <w:b/>
          <w:bCs/>
          <w:sz w:val="20"/>
          <w:szCs w:val="20"/>
        </w:rPr>
        <w:t xml:space="preserve">01   Dyslipidaemia Management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("dyslipidemias"[MH] OR "dyslipidaemia"[tiab] OR "dyslipidemia"[tiab] OR "hypercholesterolaemia"[tiab] OR "LDL cholesterol"[tiab] OR "LDL-C"[tiab] OR statin[tiab] OR atorvastatin[tiab] OR rosuvastatin[tiab] OR ezetimibe[tiab] OR "lipid-lowering therapy"[tiab] OR ("cardiovascular risk reduction"[tiab] AND "lipid"[tiab]))</w:t>
            </w:r>
          </w:p>
        </w:tc>
      </w:tr>
    </w:tbl>
    <w:p>
      <w:pPr>
        <w:spacing w:after="60" w:before="0"/>
      </w:pPr>
      <w:r>
        <w:rPr>
          <w:sz w:val="22"/>
          <w:szCs w:val="22"/>
        </w:rPr>
        <w:t xml:space="preserve"/>
      </w:r>
    </w:p>
    <w:p>
      <w:pPr>
        <w:spacing w:after="60" w:before="60"/>
      </w:pPr>
      <w:r>
        <w:rPr>
          <w:b/>
          <w:bCs/>
          <w:sz w:val="20"/>
          <w:szCs w:val="20"/>
        </w:rPr>
        <w:t xml:space="preserve">02   Familial Hypercholesterolaemia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("hyperlipoproteinemia type II"[MH] OR "familial hypercholesterolaemia"[tiab] OR "familial hypercholesterolemia"[tiab] OR ("FH"[tiab] AND "cholesterol"[tiab]) OR "heterozygous FH"[tiab] OR "homozygous FH"[tiab] OR "HoFH"[tiab] OR ("LDL receptor"[tiab] AND "mutation"[tiab]) OR ("cascade screening"[tiab] AND "cholesterol"[tiab]) OR "Dutch Lipid Clinic Network"[tiab] OR lomitapide[tiab] OR evinacumab[tiab])</w:t>
            </w:r>
          </w:p>
        </w:tc>
      </w:tr>
    </w:tbl>
    <w:p>
      <w:pPr>
        <w:spacing w:after="60" w:before="0"/>
      </w:pPr>
      <w:r>
        <w:rPr>
          <w:sz w:val="22"/>
          <w:szCs w:val="22"/>
        </w:rPr>
        <w:t xml:space="preserve"/>
      </w:r>
    </w:p>
    <w:p>
      <w:pPr>
        <w:spacing w:after="60" w:before="60"/>
      </w:pPr>
      <w:r>
        <w:rPr>
          <w:b/>
          <w:bCs/>
          <w:sz w:val="20"/>
          <w:szCs w:val="20"/>
        </w:rPr>
        <w:t xml:space="preserve">03   Novel Lipid Therapies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("PCSK9 inhibitor"[tiab] OR "proprotein convertase subtilisin"[MH] OR evolocumab[tiab] OR alirocumab[tiab] OR inclisiran[tiab] OR "bempedoic acid"[tiab] OR ("icosapentaenoic acid"[tiab] AND "cardiovascular"[tiab]) OR "lipoprotein(a)"[tiab] OR ("Lp(a)"[tiab] AND "cardiovascular"[tiab]) OR pelacarsen[tiab] OR obicetrapib[tiab] OR "ANGPTL3 inhibitor"[tiab])</w:t>
            </w:r>
          </w:p>
        </w:tc>
      </w:tr>
    </w:tbl>
    <w:p>
      <w:pPr>
        <w:spacing w:after="60" w:before="0"/>
      </w:pPr>
      <w:r>
        <w:rPr>
          <w:sz w:val="22"/>
          <w:szCs w:val="22"/>
        </w:rPr>
        <w:t xml:space="preserve"/>
      </w:r>
    </w:p>
    <w:p>
      <w:pPr>
        <w:spacing w:after="60" w:before="60"/>
      </w:pPr>
      <w:r>
        <w:rPr>
          <w:b/>
          <w:bCs/>
          <w:sz w:val="20"/>
          <w:szCs w:val="20"/>
        </w:rPr>
        <w:t xml:space="preserve">04   Hypertriglyceridaemia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("hypertriglyceridemia"[MH] OR "hypertriglyceridaemia"[tiab] OR "chylomicronemia"[tiab] OR "familial chylomicronemia syndrome"[tiab] OR (fenofibrate[tiab] AND "triglyceride"[tiab]) OR ("omega-3"[tiab] AND "triglyceride"[tiab]) OR volanesorsen[tiab] OR ("pancreatitis"[tiab] AND "hypertriglyceridaemia"[tiab]))</w:t>
            </w:r>
          </w:p>
        </w:tc>
      </w:tr>
    </w:tbl>
    <w:p>
      <w:pPr>
        <w:spacing w:after="60" w:before="0"/>
      </w:pPr>
      <w:r>
        <w:rPr>
          <w:sz w:val="22"/>
          <w:szCs w:val="22"/>
        </w:rPr>
        <w:t xml:space="preserve"/>
      </w:r>
    </w:p>
    <w:p>
      <w:pPr>
        <w:pStyle w:val="Heading2"/>
        <w:spacing w:after="80" w:before="160"/>
      </w:pPr>
      <w:r>
        <w:rPr>
          <w:b/>
          <w:bCs/>
          <w:color w:val="1F4E79"/>
          <w:sz w:val="24"/>
          <w:szCs w:val="24"/>
        </w:rPr>
        <w:t xml:space="preserve">Neuroendocrine Tumours   (SPEC, 4 subdomains)</w:t>
      </w:r>
    </w:p>
    <w:p>
      <w:pPr>
        <w:spacing w:after="60" w:before="0"/>
      </w:pPr>
      <w:r>
        <w:rPr>
          <w:b/>
          <w:bCs/>
          <w:sz w:val="20"/>
          <w:szCs w:val="20"/>
        </w:rPr>
        <w:t xml:space="preserve">Broad domain query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("neuroendocrine tumors"[MH] OR "carcinoid tumor"[MH] OR "neuroendocrine neoplasm"[tiab] OR ("NET"[tiab] AND "neuroendocrine"[tiab]))</w:t>
            </w:r>
          </w:p>
        </w:tc>
      </w:tr>
    </w:tbl>
    <w:p>
      <w:pPr>
        <w:spacing w:after="80" w:before="0"/>
      </w:pPr>
      <w:r>
        <w:rPr>
          <w:sz w:val="22"/>
          <w:szCs w:val="22"/>
        </w:rPr>
        <w:t xml:space="preserve"/>
      </w:r>
    </w:p>
    <w:p>
      <w:pPr>
        <w:spacing w:after="60" w:before="60"/>
      </w:pPr>
      <w:r>
        <w:rPr>
          <w:b/>
          <w:bCs/>
          <w:sz w:val="20"/>
          <w:szCs w:val="20"/>
        </w:rPr>
        <w:t xml:space="preserve">01   Functioning GEP-NETs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6F8FA" w:val="clear"/>
            <w:tcMar>
              <w:top w:type="dxa" w:w="100"/>
              <w:left w:type="dxa" w:w="140"/>
              <w:bottom w:type="dxa" w:w="100"/>
              <w:right w:type="dxa" w:w="140"/>
            </w:tcMar>
          </w:tcPr>
          <w:p>
            <w:pPr>
              <w:spacing w:after="0"/>
            </w:pPr>
            <w:r>
              <w:rPr>
                <w:rFonts w:ascii="Consolas" w:cs="Consolas" w:eastAsia="Consolas" w:hAnsi="Consolas"/>
                <w:sz w:val="17"/>
                <w:szCs w:val="17"/>
              </w:rPr>
              <w:t xml:space="preserve">(("neuroendocrine tumors"[MH] OR "carcinoid tumor"[MH]) AND ("gastrointestinal"[tiab] OR "pancreas"[tiab] OR "functional"[tiab])) OR "insulinoma"[tiab] OR "gastrinoma"[tiab] OR "Zollinger-Ellison syndrome"[tiab] OR "VIPoma"[tiab] OR "glucagonoma"[tiab] OR "carcinoid syndrome"[tiab] OR "carcinoid heart disease"[tiab] OR "telotristat"[tiab]</w:t>
            </w:r>
          </w:p>
        </w:tc>
      </w:tr>
    </w:tbl>
    <w:p>
      <w:pPr>
        <w:spacing w:after="60" w:before="0"/>
      </w:pPr>
      <w:r>
        <w:rPr>
          <w:sz w:val="22"/>
          <w:szCs w:val="22"/>
        </w:rPr>
        <w:t xml:space="preserve"/>
      </w:r>
    </w:p>
    <w:p>
      <w:pPr>
        <w:spacing w:after="60" w:before="60"/>
      </w:pPr>
      <w:r>
        <w:rPr>
          <w:b/>
          <w:bCs/>
          <w:sz w:val="20"/>
          <w:szCs w:val="20"/>
        </w:rPr>
        <w:t xml:space="preserve">02   Non-functioning &amp; Pancreatic   —  Precedence + outer parenthesis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(("neuroendocrine tumors"[MH] AND ("pancreas"[tiab] OR "pancreatic"[tiab])) OR "pancreatic neuroendocrine tumour"[tiab] OR "pNET"[tiab] OR "non-functioning NET"[tiab] OR "Gallium-68 DOTATATE"[tiab] OR ("somatostatin receptor scintigraphy"[tiab] AND "NET"[tiab]) OR ("Ki-67"[tiab] AND "NET"[tiab]) OR "WHO 2022 NET classification"[tiab])</w:t>
            </w:r>
          </w:p>
        </w:tc>
      </w:tr>
    </w:tbl>
    <w:p>
      <w:pPr>
        <w:spacing w:after="60" w:before="0"/>
      </w:pPr>
      <w:r>
        <w:rPr>
          <w:sz w:val="22"/>
          <w:szCs w:val="22"/>
        </w:rPr>
        <w:t xml:space="preserve"/>
      </w:r>
    </w:p>
    <w:p>
      <w:pPr>
        <w:spacing w:after="60" w:before="60"/>
      </w:pPr>
      <w:r>
        <w:rPr>
          <w:b/>
          <w:bCs/>
          <w:sz w:val="20"/>
          <w:szCs w:val="20"/>
        </w:rPr>
        <w:t xml:space="preserve">03   MEN Syndromes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("multiple endocrine neoplasia"[MH] OR "MEN1"[tiab] OR "MEN 1"[tiab] OR "multiple endocrine neoplasia type 1"[tiab] OR "MEN2"[tiab] OR "MEN2A"[tiab] OR "MEN2B"[tiab] OR "multiple endocrine neoplasia type 2"[tiab] OR "menin"[tiab] OR ("RET proto-oncogene"[tiab] AND "MEN"[tiab]) OR "MEN4"[tiab] OR ("CDKN1B"[tiab] AND "endocrine"[tiab]))</w:t>
            </w:r>
          </w:p>
        </w:tc>
      </w:tr>
    </w:tbl>
    <w:p>
      <w:pPr>
        <w:spacing w:after="60" w:before="0"/>
      </w:pPr>
      <w:r>
        <w:rPr>
          <w:sz w:val="22"/>
          <w:szCs w:val="22"/>
        </w:rPr>
        <w:t xml:space="preserve"/>
      </w:r>
    </w:p>
    <w:p>
      <w:pPr>
        <w:spacing w:after="60" w:before="60"/>
      </w:pPr>
      <w:r>
        <w:rPr>
          <w:b/>
          <w:bCs/>
          <w:sz w:val="20"/>
          <w:szCs w:val="20"/>
        </w:rPr>
        <w:t xml:space="preserve">04   PRRT &amp; Systemic Therapy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("peptide receptor radionuclide therapy"[tiab] OR "PRRT"[tiab] OR "lutetium-177 DOTATATE"[tiab] OR ("Lu-177"[tiab] AND "NET"[tiab]) OR "177Lu-DOTATATE"[tiab] OR (everolimus[tiab] AND ("NET"[tiab] OR "neuroendocrine"[tiab])) OR (sunitinib[tiab] AND ("NET"[tiab] OR "neuroendocrine"[tiab])) OR "NETTER-1"[tiab] OR "NETTER-2"[tiab])</w:t>
            </w:r>
          </w:p>
        </w:tc>
      </w:tr>
    </w:tbl>
    <w:p>
      <w:pPr>
        <w:spacing w:after="60" w:before="0"/>
      </w:pPr>
      <w:r>
        <w:rPr>
          <w:sz w:val="22"/>
          <w:szCs w:val="22"/>
        </w:rPr>
        <w:t xml:space="preserve"/>
      </w:r>
    </w:p>
    <w:p>
      <w:pPr>
        <w:pStyle w:val="Heading2"/>
        <w:spacing w:after="80" w:before="160"/>
      </w:pPr>
      <w:r>
        <w:rPr>
          <w:b/>
          <w:bCs/>
          <w:color w:val="1F4E79"/>
          <w:sz w:val="24"/>
          <w:szCs w:val="24"/>
        </w:rPr>
        <w:t xml:space="preserve">Endocrine Oncology   (SPEC, 3 subdomains)</w:t>
      </w:r>
    </w:p>
    <w:p>
      <w:pPr>
        <w:spacing w:after="60" w:before="0"/>
      </w:pPr>
      <w:r>
        <w:rPr>
          <w:b/>
          <w:bCs/>
          <w:sz w:val="20"/>
          <w:szCs w:val="20"/>
        </w:rPr>
        <w:t xml:space="preserve">Broad domain query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("adrenocortical carcinoma"[tiab] OR ("immune checkpoint"[tiab] AND "endocrinopathy"[tiab]) OR ("cancer treatment"[tiab] AND ("endocrine"[tiab] OR "gonadotoxicity"[tiab])) OR ("paraneoplastic"[tiab] AND "endocrine"[tiab]))</w:t>
            </w:r>
          </w:p>
        </w:tc>
      </w:tr>
    </w:tbl>
    <w:p>
      <w:pPr>
        <w:spacing w:after="80" w:before="0"/>
      </w:pPr>
      <w:r>
        <w:rPr>
          <w:sz w:val="22"/>
          <w:szCs w:val="22"/>
        </w:rPr>
        <w:t xml:space="preserve"/>
      </w:r>
    </w:p>
    <w:p>
      <w:pPr>
        <w:spacing w:after="60" w:before="60"/>
      </w:pPr>
      <w:r>
        <w:rPr>
          <w:b/>
          <w:bCs/>
          <w:sz w:val="20"/>
          <w:szCs w:val="20"/>
        </w:rPr>
        <w:t xml:space="preserve">01   Adrenocortical Carcinoma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("adrenocortical carcinoma"[MH] OR "adrenocortical carcinoma"[tiab] OR ("ACC"[tiab] AND "adrenal"[tiab]) OR "adrenal cortex carcinoma"[tiab] OR mitotane[tiab] OR "ENSAT staging"[tiab] OR "adjuvant mitotane"[tiab] OR "adrenocortical malignancy"[tiab])</w:t>
            </w:r>
          </w:p>
        </w:tc>
      </w:tr>
    </w:tbl>
    <w:p>
      <w:pPr>
        <w:spacing w:after="60" w:before="0"/>
      </w:pPr>
      <w:r>
        <w:rPr>
          <w:sz w:val="22"/>
          <w:szCs w:val="22"/>
        </w:rPr>
        <w:t xml:space="preserve"/>
      </w:r>
    </w:p>
    <w:p>
      <w:pPr>
        <w:spacing w:after="60" w:before="60"/>
      </w:pPr>
      <w:r>
        <w:rPr>
          <w:b/>
          <w:bCs/>
          <w:sz w:val="20"/>
          <w:szCs w:val="20"/>
        </w:rPr>
        <w:t xml:space="preserve">02   ICI Endocrinopathies   —  Precedence + outer parenthesis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(("immune checkpoint inhibitor"[tiab] AND ("endocrinopathy"[tiab] OR "hypophysitis"[tiab] OR "thyroiditis"[tiab] OR "adrenalitis"[tiab] OR "diabetes mellitus"[tiab] OR "hyponatraemia"[tiab] OR "hypogonadism"[tiab])) OR "checkpoint inhibitor endocrinopathy"[tiab] OR ("irAE"[tiab] AND ("endocrine"[tiab] OR "thyroid"[tiab] OR "pituitary"[tiab] OR "adrenal"[tiab])) OR (ipilimumab[tiab] AND "hypophysitis"[tiab]))</w:t>
            </w:r>
          </w:p>
        </w:tc>
      </w:tr>
    </w:tbl>
    <w:p>
      <w:pPr>
        <w:spacing w:after="60" w:before="0"/>
      </w:pPr>
      <w:r>
        <w:rPr>
          <w:sz w:val="22"/>
          <w:szCs w:val="22"/>
        </w:rPr>
        <w:t xml:space="preserve"/>
      </w:r>
    </w:p>
    <w:p>
      <w:pPr>
        <w:spacing w:after="60" w:before="60"/>
      </w:pPr>
      <w:r>
        <w:rPr>
          <w:b/>
          <w:bCs/>
          <w:sz w:val="20"/>
          <w:szCs w:val="20"/>
        </w:rPr>
        <w:t xml:space="preserve">03   Cancer Treatment Sequelae   —  Boolean precedence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5DD" w:sz="2"/>
              <w:left w:val="single" w:color="D0D5DD" w:sz="2"/>
              <w:bottom w:val="single" w:color="D0D5DD" w:sz="2"/>
              <w:right w:val="single" w:color="D0D5DD" w:sz="2"/>
            </w:tcBorders>
            <w:shd w:fill="FFF4E5" w:val="clear"/>
            <w:tcMar>
              <w:top w:type="dxa" w:w="100"/>
              <w:left w:type="dxa" w:w="140"/>
              <w:bottom w:type="dxa" w:w="100"/>
              <w:right w:type="dxa" w:w="140"/>
            </w:tcMar>
          </w:tcPr>
          <w:p>
            <w:pPr>
              <w:spacing w:after="0"/>
            </w:pPr>
            <w:r>
              <w:rPr>
                <w:rFonts w:ascii="Consolas" w:cs="Consolas" w:eastAsia="Consolas" w:hAnsi="Consolas"/>
                <w:sz w:val="17"/>
                <w:szCs w:val="17"/>
              </w:rPr>
              <w:t xml:space="preserve">("gonadotoxicity"[tiab] OR "chemotherapy-induced hypogonadism"[tiab] OR ("cancer treatment"[tiab] AND ("bone loss"[tiab] OR "osteoporosis"[tiab] OR "hypogonadism"[tiab])) OR ("aromatase inhibitor"[tiab] AND "bone"[tiab]) OR ("androgen deprivation therapy"[tiab] AND ("bone"[tiab] OR "metabolic"[tiab])) OR ("cancer survivor"[tiab] AND "endocrine"[tiab]) OR "radiation-induced hypothyroidism"[tiab] OR "radiation-induced hypopituitarism"[tiab])</w:t>
            </w:r>
          </w:p>
        </w:tc>
      </w:tr>
    </w:tbl>
    <w:p>
      <w:pPr>
        <w:spacing w:after="60" w:before="0"/>
      </w:pPr>
      <w:r>
        <w:rPr>
          <w:sz w:val="22"/>
          <w:szCs w:val="22"/>
        </w:rPr>
        <w:t xml:space="preserve"/>
      </w:r>
    </w:p>
    <w:p>
      <w:pPr>
        <w:pStyle w:val="Heading1"/>
        <w:spacing w:after="120" w:before="160"/>
      </w:pPr>
      <w:r>
        <w:rPr>
          <w:b/>
          <w:bCs/>
          <w:color w:val="1F4E79"/>
          <w:sz w:val="30"/>
          <w:szCs w:val="30"/>
        </w:rPr>
        <w:t xml:space="preserve">4.  Proposed enhancements — pending sign-off (NOT applied)</w:t>
      </w:r>
    </w:p>
    <w:p>
      <w:pPr>
        <w:spacing w:after="120" w:before="0"/>
      </w:pPr>
      <w:r>
        <w:rPr>
          <w:sz w:val="22"/>
          <w:szCs w:val="22"/>
        </w:rPr>
        <w:t xml:space="preserve">The following are judgement calls that change recall/precision rather than fix defects. They are listed for your decision and are deliberately not baked into the corrected queries above.</w:t>
      </w:r>
    </w:p>
    <w:p>
      <w:pPr>
        <w:spacing w:after="40" w:before="80"/>
      </w:pPr>
      <w:r>
        <w:rPr>
          <w:b/>
          <w:bCs/>
          <w:sz w:val="21"/>
          <w:szCs w:val="21"/>
        </w:rPr>
        <w:t xml:space="preserve">Spelling variants in [tiab]</w:t>
      </w:r>
    </w:p>
    <w:p>
      <w:pPr>
        <w:spacing w:after="40" w:before="0"/>
      </w:pPr>
      <w:r>
        <w:rPr>
          <w:sz w:val="20"/>
          <w:szCs w:val="20"/>
        </w:rPr>
        <w:t xml:space="preserve">Tagging a term [tiab] suppresses PubMed’s automatic British/American mapping, so single-spelling tiab terms silently miss the other spelling. Candidates to dual-spell: "glycaemic control"/"glycemic", "goitre"/"goiter", "tumour"/"tumor" (NFPA, pNET), "oestrogen"/"estrogen", "oestradiol"/"estradiol", "paediatric"/"pediatric", "hypercholesterolaemia"/"hypercholesterolemia", "haematological" etc.</w:t>
      </w:r>
    </w:p>
    <w:p>
      <w:pPr>
        <w:spacing w:after="40" w:before="80"/>
      </w:pPr>
      <w:r>
        <w:rPr>
          <w:b/>
          <w:bCs/>
          <w:sz w:val="21"/>
          <w:szCs w:val="21"/>
        </w:rPr>
        <w:t xml:space="preserve">Gender-Affirming Care MeSH</w:t>
      </w:r>
    </w:p>
    <w:p>
      <w:pPr>
        <w:spacing w:after="40" w:before="0"/>
      </w:pPr>
      <w:r>
        <w:rPr>
          <w:sz w:val="20"/>
          <w:szCs w:val="20"/>
        </w:rPr>
        <w:t xml:space="preserve">"transsexualism"[MH] is dated. Consider adding "gender dysphoria"[MH], "transgender persons"[MH], and "health services for transgender persons"[MH] for current indexing coverage.</w:t>
      </w:r>
    </w:p>
    <w:p>
      <w:pPr>
        <w:spacing w:after="40" w:before="80"/>
      </w:pPr>
      <w:r>
        <w:rPr>
          <w:b/>
          <w:bCs/>
          <w:sz w:val="21"/>
          <w:szCs w:val="21"/>
        </w:rPr>
        <w:t xml:space="preserve">MeSH descriptors to verify</w:t>
      </w:r>
    </w:p>
    <w:p>
      <w:pPr>
        <w:spacing w:after="40" w:before="0"/>
      </w:pPr>
      <w:r>
        <w:rPr>
          <w:sz w:val="20"/>
          <w:szCs w:val="20"/>
        </w:rPr>
        <w:t xml:space="preserve">A handful of [MH] tags may not resolve to valid descriptors and warrant a MeSH Browser check: "growth hormone deficiency"[MH] (no exact descriptor — likely Human Growth Hormone/deficiency or Dwarfism, Pituitary), "gonadal disorders"[MH], "proprotein convertase subtilisin"[MH] (likely should be "Proprotein Convertase 9"[MH] for PCSK9). Where the [MH] is invalid the tiab fallback still fires, so recall degrades quietly rather than failing loudly.</w:t>
      </w:r>
    </w:p>
    <w:p>
      <w:pPr>
        <w:spacing w:after="40" w:before="80"/>
      </w:pPr>
      <w:r>
        <w:rPr>
          <w:b/>
          <w:bCs/>
          <w:sz w:val="21"/>
          <w:szCs w:val="21"/>
        </w:rPr>
        <w:t xml:space="preserve">Acronym safety</w:t>
      </w:r>
    </w:p>
    <w:p>
      <w:pPr>
        <w:spacing w:after="40" w:before="0"/>
      </w:pPr>
      <w:r>
        <w:rPr>
          <w:sz w:val="20"/>
          <w:szCs w:val="20"/>
        </w:rPr>
        <w:t xml:space="preserve">High-ambiguity acronyms now correctly require a context AND (ACC, NET, MTC, FH, POI, MACS). Worth periodically auditing the audit panel’s query-translation to confirm PubMed isn’t auto-mapping the acronym to an unrelated MeSH term.</w:t>
      </w:r>
    </w:p>
    <w:p>
      <w:pPr>
        <w:spacing w:after="40" w:before="80"/>
      </w:pPr>
      <w:r>
        <w:rPr>
          <w:b/>
          <w:bCs/>
          <w:sz w:val="21"/>
          <w:szCs w:val="21"/>
        </w:rPr>
        <w:t xml:space="preserve">"lipoprotein(a)" / "Lp(a)"</w:t>
      </w:r>
    </w:p>
    <w:p>
      <w:pPr>
        <w:spacing w:after="40" w:before="0"/>
      </w:pPr>
      <w:r>
        <w:rPr>
          <w:sz w:val="20"/>
          <w:szCs w:val="20"/>
        </w:rPr>
        <w:t xml:space="preserve">Parentheses inside a search token can be misread by PubMed even when quoted. Confirm via the audit panel’s query translation that these are treated as phrases; if not, consider "lipoprotein a"[tiab] forms.</w:t>
      </w:r>
    </w:p>
    <w:p>
      <w:pPr>
        <w:spacing w:after="40" w:before="80"/>
      </w:pPr>
      <w:r>
        <w:rPr>
          <w:b/>
          <w:bCs/>
          <w:sz w:val="21"/>
          <w:szCs w:val="21"/>
        </w:rPr>
        <w:t xml:space="preserve">NOT over-exclusion</w:t>
      </w:r>
    </w:p>
    <w:p>
      <w:pPr>
        <w:spacing w:after="40" w:before="0"/>
      </w:pPr>
      <w:r>
        <w:rPr>
          <w:sz w:val="20"/>
          <w:szCs w:val="20"/>
        </w:rPr>
        <w:t xml:space="preserve">The T1D NOT (type 2 / gestational) and Thyroiditis NOT "thyroid cancer" clauses intentionally trade recall for precision and will drop genuinely comparative papers. Documented as accepted, but revisit if weekly yield feels thin.</w:t>
      </w:r>
    </w:p>
    <w:p>
      <w:pPr>
        <w:pStyle w:val="Heading1"/>
        <w:spacing w:after="120" w:before="160"/>
      </w:pPr>
      <w:r>
        <w:rPr>
          <w:b/>
          <w:bCs/>
          <w:color w:val="1F4E79"/>
          <w:sz w:val="30"/>
          <w:szCs w:val="30"/>
        </w:rPr>
        <w:t xml:space="preserve">5.  Method &amp; limitations</w:t>
      </w:r>
    </w:p>
    <w:p>
      <w:pPr>
        <w:spacing w:after="120" w:before="0"/>
      </w:pPr>
      <w:r>
        <w:rPr>
          <w:sz w:val="22"/>
          <w:szCs w:val="22"/>
        </w:rPr>
        <w:t xml:space="preserve">This audit was conducted against PubMed’s documented Boolean and field-tag behaviour and endocrine domain knowledge. It was not validated against live PubMed result counts. Before shipping, each corrected query should be spot-checked via the in-app audit panel (“Verify on PubMed” + query translation): confirm MeSH terms expand as expected, confirm the count is plausible, and confirm acronym disambiguation is holding. Generated from make-queries-v5.6.js — regenerate from that source rather than hand-editing this document.</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pPr>
    <w:r>
      <w:rPr>
        <w:color w:val="666666"/>
        <w:sz w:val="16"/>
        <w:szCs w:val="16"/>
      </w:rPr>
      <w:t xml:space="preserve">Endo Digest v5.6  —  Search Strategy Reference &amp; Audit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2026-06-11T20:19:34.994Z</dcterms:created>
  <dcterms:modified xsi:type="dcterms:W3CDTF">2026-06-11T20:19:35.009Z</dcterms:modified>
</cp:coreProperties>
</file>

<file path=docProps/custom.xml><?xml version="1.0" encoding="utf-8"?>
<Properties xmlns="http://schemas.openxmlformats.org/officeDocument/2006/custom-properties" xmlns:vt="http://schemas.openxmlformats.org/officeDocument/2006/docPropsVTypes"/>
</file>