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C1F35"/>
          <w:sz w:val="56"/>
          <w:szCs w:val="56"/>
        </w:rPr>
        <w:t xml:space="preserve">ENDO DIGEST</w:t>
      </w:r>
    </w:p>
    <w:p>
      <w:pPr>
        <w:spacing w:after="80" w:before="0"/>
        <w:jc w:val="center"/>
      </w:pPr>
      <w:r>
        <w:rPr>
          <w:rFonts w:ascii="Arial" w:cs="Arial" w:eastAsia="Arial" w:hAnsi="Arial"/>
          <w:color w:val="1D6BB8"/>
          <w:sz w:val="36"/>
          <w:szCs w:val="36"/>
        </w:rPr>
        <w:t xml:space="preserve">v5.4</w:t>
      </w:r>
    </w:p>
    <w:p>
      <w:pPr>
        <w:spacing w:after="120" w:before="0"/>
        <w:jc w:val="center"/>
      </w:pPr>
      <w:r>
        <w:rPr>
          <w:rFonts w:ascii="Arial" w:cs="Arial" w:eastAsia="Arial" w:hAnsi="Arial"/>
          <w:i/>
          <w:iCs/>
          <w:color w:val="0C1F35"/>
          <w:sz w:val="26"/>
          <w:szCs w:val="26"/>
        </w:rPr>
        <w:t xml:space="preserve">Application Specification &amp; Design Document</w:t>
      </w:r>
    </w:p>
    <w:p>
      <w:pPr>
        <w:spacing w:after="200" w:before="0"/>
        <w:jc w:val="center"/>
      </w:pPr>
      <w:r>
        <w:rPr>
          <w:rFonts w:ascii="Arial" w:cs="Arial" w:eastAsia="Arial" w:hAnsi="Arial"/>
          <w:i/>
          <w:iCs/>
          <w:color w:val="475569"/>
          <w:sz w:val="22"/>
          <w:szCs w:val="22"/>
        </w:rPr>
        <w:t xml:space="preserve">RACP Advanced Training in Endocrinology &amp; Metabolism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6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Version</w:t>
            </w:r>
          </w:p>
        </w:tc>
        <w:tc>
          <w:tcPr>
            <w:tcW w:type="dxa" w:w="66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v5.4 (May 2026)</w:t>
            </w:r>
          </w:p>
        </w:tc>
      </w:tr>
      <w:tr>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Document type</w:t>
            </w:r>
          </w:p>
        </w:tc>
        <w:tc>
          <w:tcPr>
            <w:tcW w:type="dxa" w:w="66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Specification &amp; Design Record</w:t>
            </w:r>
          </w:p>
        </w:tc>
      </w:tr>
      <w:tr>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Domain</w:t>
            </w:r>
          </w:p>
        </w:tc>
        <w:tc>
          <w:tcPr>
            <w:tcW w:type="dxa" w:w="66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RACP Endocrinology &amp; Metabolism CPD</w:t>
            </w:r>
          </w:p>
        </w:tc>
      </w:tr>
      <w:tr>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Technology</w:t>
            </w:r>
          </w:p>
        </w:tc>
        <w:tc>
          <w:tcPr>
            <w:tcW w:type="dxa" w:w="66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Standalone HTML5 — no server required</w:t>
            </w:r>
          </w:p>
        </w:tc>
      </w:tr>
      <w:tr>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Data source</w:t>
            </w:r>
          </w:p>
        </w:tc>
        <w:tc>
          <w:tcPr>
            <w:tcW w:type="dxa" w:w="66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PubMed / NCBI E-utilities (open access)</w:t>
            </w:r>
          </w:p>
        </w:tc>
      </w:tr>
      <w:tr>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IF database</w:t>
            </w:r>
          </w:p>
        </w:tc>
        <w:tc>
          <w:tcPr>
            <w:tcW w:type="dxa" w:w="66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~475 journals, 2024 JCR approximate</w:t>
            </w:r>
          </w:p>
        </w:tc>
      </w:tr>
      <w:tr>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Status</w:t>
            </w:r>
          </w:p>
        </w:tc>
        <w:tc>
          <w:tcPr>
            <w:tcW w:type="dxa" w:w="66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Production — active iteration</w:t>
            </w:r>
          </w:p>
        </w:tc>
      </w:tr>
    </w:tbl>
    <w:p>
      <w:pPr>
        <w:spacing w:after="0" w:before="80"/>
      </w:pPr>
      <w:r>
        <w:t xml:space="preserve"/>
      </w:r>
    </w:p>
    <w:p>
      <w:pPr>
        <w:pStyle w:val="Heading1"/>
        <w:spacing w:after="120" w:before="320"/>
      </w:pPr>
      <w:r>
        <w:rPr>
          <w:rFonts w:ascii="Arial" w:cs="Arial" w:eastAsia="Arial" w:hAnsi="Arial"/>
          <w:b/>
          <w:bCs/>
          <w:color w:val="0C1F35"/>
          <w:sz w:val="28"/>
          <w:szCs w:val="28"/>
        </w:rPr>
        <w:t xml:space="preserve">1. Executive Summary</w:t>
      </w:r>
    </w:p>
    <w:p>
      <w:pPr>
        <w:spacing w:after="80" w:before="60"/>
      </w:pPr>
      <w:r>
        <w:rPr>
          <w:rFonts w:ascii="Arial" w:cs="Arial" w:eastAsia="Arial" w:hAnsi="Arial"/>
          <w:sz w:val="22"/>
          <w:szCs w:val="22"/>
        </w:rPr>
        <w:t xml:space="preserve">Endo Digest is a browser-based, zero-cost, weekly literature digest designed for clinicians undertaking or maintaining competency in endocrinology and diabetes. It addresses a specific practical problem: the endocrine literature is large, rapidly evolving, and distributed across dozens of journals and subspecialties. No existing free tool provides structured, CPD-aligned, weekly surveillance of this literature at the domain and subdomain level.</w:t>
      </w:r>
    </w:p>
    <w:p>
      <w:pPr>
        <w:spacing w:after="80" w:before="60"/>
      </w:pPr>
      <w:r>
        <w:rPr>
          <w:rFonts w:ascii="Arial" w:cs="Arial" w:eastAsia="Arial" w:hAnsi="Arial"/>
          <w:sz w:val="22"/>
          <w:szCs w:val="22"/>
        </w:rPr>
        <w:t xml:space="preserve">The application runs as a single HTML file opened directly in a web browser. It queries PubMed's open-access E-utilities API in real time, returning verbatim abstracts from indexed articles. There is no server infrastructure, no subscription, no AI-generated content, and no hallucination risk. The search strategies are derived from published guideline search methodologies, and every article links directly to its PubMed record and, where available, the journal full text via DOI.</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ED8" w:sz="1"/>
              <w:left w:val="single" w:color="C0CED8" w:sz="1"/>
              <w:bottom w:val="single" w:color="C0CED8" w:sz="1"/>
              <w:right w:val="single" w:color="C0CED8" w:sz="1"/>
            </w:tcBorders>
            <w:shd w:fill="D5E8F0" w:val="clear"/>
            <w:tcMar>
              <w:top w:type="dxa" w:w="100"/>
              <w:left w:type="dxa" w:w="160"/>
              <w:bottom w:type="dxa" w:w="100"/>
              <w:right w:type="dxa" w:w="160"/>
            </w:tcMar>
          </w:tcPr>
          <w:p>
            <w:pPr>
              <w:spacing w:after="40" w:before="40"/>
            </w:pPr>
            <w:r>
              <w:rPr>
                <w:rFonts w:ascii="Arial" w:cs="Arial" w:eastAsia="Arial" w:hAnsi="Arial"/>
                <w:i/>
                <w:iCs/>
                <w:color w:val="0C1F35"/>
                <w:sz w:val="20"/>
                <w:szCs w:val="20"/>
              </w:rPr>
              <w:t xml:space="preserve">Key design principle: This tool is a literature surveillance aid, not a clinical decision support system. All content is sourced verbatim from PubMed. No AI summarisation or interpretation is applied at any point. The clinician reads primary abstracts and makes their own judgement about relevance and quality.</w:t>
            </w:r>
          </w:p>
        </w:tc>
      </w:tr>
    </w:tbl>
    <w:p>
      <w:pPr>
        <w:spacing w:after="0" w:before="80"/>
      </w:pPr>
      <w:r>
        <w:t xml:space="preserve"/>
      </w:r>
    </w:p>
    <w:p>
      <w:pPr>
        <w:pStyle w:val="Heading2"/>
        <w:spacing w:after="80" w:before="240"/>
      </w:pPr>
      <w:r>
        <w:rPr>
          <w:rFonts w:ascii="Arial" w:cs="Arial" w:eastAsia="Arial" w:hAnsi="Arial"/>
          <w:b/>
          <w:bCs/>
          <w:color w:val="1D6BB8"/>
          <w:sz w:val="24"/>
          <w:szCs w:val="24"/>
        </w:rPr>
        <w:t xml:space="preserve">Lay-level description</w:t>
      </w:r>
    </w:p>
    <w:p>
      <w:pPr>
        <w:spacing w:after="80" w:before="60"/>
      </w:pPr>
      <w:r>
        <w:rPr>
          <w:rFonts w:ascii="Arial" w:cs="Arial" w:eastAsia="Arial" w:hAnsi="Arial"/>
          <w:sz w:val="22"/>
          <w:szCs w:val="22"/>
        </w:rPr>
        <w:t xml:space="preserve">Think of Endo Digest as a structured, personalised journal table of contents that arrives weekly, organised by the topics that matter to your practice. Instead of manually searching PubMed or relying on journal alerts across a dozen different sources, the digest pulls together the most recent literature across ten RACP-aligned clinical domains — from Diabetes and Thyroid to Neuroendocrine Tumours and Endocrine Oncology — and presents it in a clean, readable interface. Each article shows the journal name, study type badge, impact factor, and publication date at a glance. Clicking an article reveals the full abstract. Articles can be saved for later or marked as read. Filters let you narrow to specific study types or high-impact journals. The whole thing opens like a document on your computer; there is no login, no app store, and no ongoing cost.</w:t>
      </w:r>
    </w:p>
    <w:p>
      <w:pPr>
        <w:pStyle w:val="Heading2"/>
        <w:spacing w:after="80" w:before="240"/>
      </w:pPr>
      <w:r>
        <w:rPr>
          <w:rFonts w:ascii="Arial" w:cs="Arial" w:eastAsia="Arial" w:hAnsi="Arial"/>
          <w:b/>
          <w:bCs/>
          <w:color w:val="1D6BB8"/>
          <w:sz w:val="24"/>
          <w:szCs w:val="24"/>
        </w:rPr>
        <w:t xml:space="preserve">Technical-level description</w:t>
      </w:r>
    </w:p>
    <w:p>
      <w:pPr>
        <w:spacing w:after="80" w:before="60"/>
      </w:pPr>
      <w:r>
        <w:rPr>
          <w:rFonts w:ascii="Arial" w:cs="Arial" w:eastAsia="Arial" w:hAnsi="Arial"/>
          <w:sz w:val="22"/>
          <w:szCs w:val="22"/>
        </w:rPr>
        <w:t xml:space="preserve">Endo Digest is a self-contained HTML5 single-page application. The data layer is entirely client-side: the application constructs PubMed Entrez E-utilities API queries (esearch + efetch endpoints, both CORS-permissive) from pre-defined, RACP-curriculum-aligned MeSH and tiab search strategies, fetches XML responses, parses them via the browser's native DOMParser, and renders the result. State (bookmarks, read status, theme preference, subdomain selection) is persisted in browser localStorage where available. A six-hour in-memory cache prevents redundant fetches within a session. The application has no build step, no dependency on npm or any framework, and no external CDN dependencies at runtime. It works fully offline for cached topics.</w:t>
      </w:r>
    </w:p>
    <w:p>
      <w:pPr>
        <w:pStyle w:val="Heading1"/>
        <w:spacing w:after="120" w:before="320"/>
      </w:pPr>
      <w:r>
        <w:rPr>
          <w:rFonts w:ascii="Arial" w:cs="Arial" w:eastAsia="Arial" w:hAnsi="Arial"/>
          <w:b/>
          <w:bCs/>
          <w:color w:val="0C1F35"/>
          <w:sz w:val="28"/>
          <w:szCs w:val="28"/>
        </w:rPr>
        <w:t xml:space="preserve">2. Clinical Purpose &amp; Rationale</w:t>
      </w:r>
    </w:p>
    <w:p>
      <w:pPr>
        <w:pStyle w:val="Heading2"/>
        <w:spacing w:after="80" w:before="240"/>
      </w:pPr>
      <w:r>
        <w:rPr>
          <w:rFonts w:ascii="Arial" w:cs="Arial" w:eastAsia="Arial" w:hAnsi="Arial"/>
          <w:b/>
          <w:bCs/>
          <w:color w:val="1D6BB8"/>
          <w:sz w:val="24"/>
          <w:szCs w:val="24"/>
        </w:rPr>
        <w:t xml:space="preserve">The problem</w:t>
      </w:r>
    </w:p>
    <w:p>
      <w:pPr>
        <w:spacing w:after="80" w:before="60"/>
      </w:pPr>
      <w:r>
        <w:rPr>
          <w:rFonts w:ascii="Arial" w:cs="Arial" w:eastAsia="Arial" w:hAnsi="Arial"/>
          <w:sz w:val="22"/>
          <w:szCs w:val="22"/>
        </w:rPr>
        <w:t xml:space="preserve">Endocrinology and diabetes is a broad specialty with high-velocity literature across multiple subspecialties. A Fellow or Consultant maintaining RACP Advanced Training competency must monitor developments in at least ten distinct clinical domains simultaneously. The practical barriers to doing this are:</w:t>
      </w:r>
    </w:p>
    <w:p>
      <w:pPr>
        <w:pStyle w:val="ListParagraph"/>
        <w:numPr>
          <w:ilvl w:val="0"/>
          <w:numId w:val="2"/>
        </w:numPr>
        <w:spacing w:after="40" w:before="40"/>
      </w:pPr>
      <w:r>
        <w:rPr>
          <w:rFonts w:ascii="Arial" w:cs="Arial" w:eastAsia="Arial" w:hAnsi="Arial"/>
          <w:sz w:val="22"/>
          <w:szCs w:val="22"/>
        </w:rPr>
        <w:t xml:space="preserve">Journal alert proliferation — receiving emails from a dozen journals creates inbox noise without clinical structure</w:t>
      </w:r>
    </w:p>
    <w:p>
      <w:pPr>
        <w:pStyle w:val="ListParagraph"/>
        <w:numPr>
          <w:ilvl w:val="0"/>
          <w:numId w:val="2"/>
        </w:numPr>
        <w:spacing w:after="40" w:before="40"/>
      </w:pPr>
      <w:r>
        <w:rPr>
          <w:rFonts w:ascii="Arial" w:cs="Arial" w:eastAsia="Arial" w:hAnsi="Arial"/>
          <w:sz w:val="22"/>
          <w:szCs w:val="22"/>
        </w:rPr>
        <w:t xml:space="preserve">Domain fragmentation — a study on SGLT2 inhibitors in type 2 diabetes, a case series on ICI-induced hypophysitis, and a trial of romosozumab in postmenopausal osteoporosis all require different alert strategies</w:t>
      </w:r>
    </w:p>
    <w:p>
      <w:pPr>
        <w:pStyle w:val="ListParagraph"/>
        <w:numPr>
          <w:ilvl w:val="0"/>
          <w:numId w:val="2"/>
        </w:numPr>
        <w:spacing w:after="40" w:before="40"/>
      </w:pPr>
      <w:r>
        <w:rPr>
          <w:rFonts w:ascii="Arial" w:cs="Arial" w:eastAsia="Arial" w:hAnsi="Arial"/>
          <w:sz w:val="22"/>
          <w:szCs w:val="22"/>
        </w:rPr>
        <w:t xml:space="preserve">Study type signal/noise — PubMed returns case reports, letters, and editorials alongside high-impact trials without automatic prioritisation</w:t>
      </w:r>
    </w:p>
    <w:p>
      <w:pPr>
        <w:pStyle w:val="ListParagraph"/>
        <w:numPr>
          <w:ilvl w:val="0"/>
          <w:numId w:val="2"/>
        </w:numPr>
        <w:spacing w:after="40" w:before="40"/>
      </w:pPr>
      <w:r>
        <w:rPr>
          <w:rFonts w:ascii="Arial" w:cs="Arial" w:eastAsia="Arial" w:hAnsi="Arial"/>
          <w:sz w:val="22"/>
          <w:szCs w:val="22"/>
        </w:rPr>
        <w:t xml:space="preserve">Time constraint — the practical window for literature review in a busy clinical week is short; tools must be fast and friction-free</w:t>
      </w:r>
    </w:p>
    <w:p>
      <w:pPr>
        <w:pStyle w:val="Heading2"/>
        <w:spacing w:after="80" w:before="240"/>
      </w:pPr>
      <w:r>
        <w:rPr>
          <w:rFonts w:ascii="Arial" w:cs="Arial" w:eastAsia="Arial" w:hAnsi="Arial"/>
          <w:b/>
          <w:bCs/>
          <w:color w:val="1D6BB8"/>
          <w:sz w:val="24"/>
          <w:szCs w:val="24"/>
        </w:rPr>
        <w:t xml:space="preserve">The solution</w:t>
      </w:r>
    </w:p>
    <w:p>
      <w:pPr>
        <w:spacing w:after="80" w:before="60"/>
      </w:pPr>
      <w:r>
        <w:rPr>
          <w:rFonts w:ascii="Arial" w:cs="Arial" w:eastAsia="Arial" w:hAnsi="Arial"/>
          <w:sz w:val="22"/>
          <w:szCs w:val="22"/>
        </w:rPr>
        <w:t xml:space="preserve">Endo Digest addresses each barrier directly. It is structured around RACP curriculum domains rather than journals. Each domain has pre-built search queries derived from published guideline literature search strategies, minimising query construction time and maximising recall. Study type filters (RCT, systematic review, meta-analysis, guideline, review) allow rapid signal prioritisation. The journal impact factor display and filter allow quality stratification without requiring the user to know journal rankings. The weekly workflow requires opening one file and clicking a tab.</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ED8" w:sz="1"/>
              <w:left w:val="single" w:color="C0CED8" w:sz="1"/>
              <w:bottom w:val="single" w:color="C0CED8" w:sz="1"/>
              <w:right w:val="single" w:color="C0CED8" w:sz="1"/>
            </w:tcBorders>
            <w:shd w:fill="D5E8F0" w:val="clear"/>
            <w:tcMar>
              <w:top w:type="dxa" w:w="100"/>
              <w:left w:type="dxa" w:w="160"/>
              <w:bottom w:type="dxa" w:w="100"/>
              <w:right w:type="dxa" w:w="160"/>
            </w:tcMar>
          </w:tcPr>
          <w:p>
            <w:pPr>
              <w:spacing w:after="40" w:before="40"/>
            </w:pPr>
            <w:r>
              <w:rPr>
                <w:rFonts w:ascii="Arial" w:cs="Arial" w:eastAsia="Arial" w:hAnsi="Arial"/>
                <w:i/>
                <w:iCs/>
                <w:color w:val="0C1F35"/>
                <w:sz w:val="20"/>
                <w:szCs w:val="20"/>
              </w:rPr>
              <w:t xml:space="preserve">CPD relevance: RACP Maintenance of Professional Standards (MOPS) requires documented engagement with the medical literature as part of continuing professional development. Endo Digest provides a structured, domain-specific mechanism for this engagement. The saved articles and read-tracking features provide a record of literature reviewed that can support CPD documentation.</w:t>
            </w:r>
          </w:p>
        </w:tc>
      </w:tr>
    </w:tbl>
    <w:p>
      <w:pPr>
        <w:spacing w:after="0" w:before="80"/>
      </w:pPr>
      <w:r>
        <w:t xml:space="preserve"/>
      </w:r>
    </w:p>
    <w:p>
      <w:pPr>
        <w:pStyle w:val="Heading1"/>
        <w:spacing w:after="120" w:before="320"/>
      </w:pPr>
      <w:r>
        <w:rPr>
          <w:rFonts w:ascii="Arial" w:cs="Arial" w:eastAsia="Arial" w:hAnsi="Arial"/>
          <w:b/>
          <w:bCs/>
          <w:color w:val="0C1F35"/>
          <w:sz w:val="28"/>
          <w:szCs w:val="28"/>
        </w:rPr>
        <w:t xml:space="preserve">3. RACP Curriculum Alignment</w:t>
      </w:r>
    </w:p>
    <w:p>
      <w:pPr>
        <w:spacing w:after="80" w:before="60"/>
      </w:pPr>
      <w:r>
        <w:rPr>
          <w:rFonts w:ascii="Arial" w:cs="Arial" w:eastAsia="Arial" w:hAnsi="Arial"/>
          <w:sz w:val="22"/>
          <w:szCs w:val="22"/>
        </w:rPr>
        <w:t xml:space="preserve">The ten topic domains in Endo Digest map directly to the capability domains of the RACP Advanced Training Curriculum in Endocrinology and Metabolism. Each domain is divided into clinical subdomains, each with an independently queryable PubMed search strategy.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8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Clinical Subdomains</w:t>
            </w:r>
          </w:p>
        </w:tc>
        <w:tc>
          <w:tcPr>
            <w:tcW w:type="dxa" w:w="30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Search Strategy Source</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Diabetes Mellitus</w:t>
            </w:r>
          </w:p>
        </w:tc>
        <w:tc>
          <w:tcPr>
            <w:tcW w:type="dxa" w:w="3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T1D, T2D, GDM, Youth, Technology, Hypoglycaemia, Complications, Inpatient</w:t>
            </w:r>
          </w:p>
        </w:tc>
        <w:tc>
          <w:tcPr>
            <w:tcW w:type="dxa" w:w="3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Cochrane; ADA; NICE NG28; ISPAD</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Obesity &amp; Metabolic Syndrome</w:t>
            </w:r>
          </w:p>
        </w:tc>
        <w:tc>
          <w:tcPr>
            <w:tcW w:type="dxa" w:w="3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Pharmacotherapy, Bariatric surgery, Metabolic syndrome, MASLD, Special populations</w:t>
            </w:r>
          </w:p>
        </w:tc>
        <w:tc>
          <w:tcPr>
            <w:tcW w:type="dxa" w:w="3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Cochrane; NICE TA; WHO; Rinella 2023</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Thyroid Disorders</w:t>
            </w:r>
          </w:p>
        </w:tc>
        <w:tc>
          <w:tcPr>
            <w:tcW w:type="dxa" w:w="3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Hypothyroid, Hyperthyroid/Graves, Nodule/DTC, Medullary/Anaplastic, TED, Pregnancy, Thyroiditis</w:t>
            </w:r>
          </w:p>
        </w:tc>
        <w:tc>
          <w:tcPr>
            <w:tcW w:type="dxa" w:w="3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ATA 2015/2016/2022; EUGOGO; ETA 2014</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Adrenal Disorders</w:t>
            </w:r>
          </w:p>
        </w:tc>
        <w:tc>
          <w:tcPr>
            <w:tcW w:type="dxa" w:w="3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Cushing, AI, Primary aldosteronism, PPGL, Incidentaloma, CAH</w:t>
            </w:r>
          </w:p>
        </w:tc>
        <w:tc>
          <w:tcPr>
            <w:tcW w:type="dxa" w:w="3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Endocrine Society CPG series (2014-2018)</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Pituitary &amp; Hypothalamic</w:t>
            </w:r>
          </w:p>
        </w:tc>
        <w:tc>
          <w:tcPr>
            <w:tcW w:type="dxa" w:w="3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Acromegaly, Hyperprolactinaemia, NFPA, Hypopituitarism/GHD, AVP-D/Hyponatraemia, Nelson/Craniopharyngioma</w:t>
            </w:r>
          </w:p>
        </w:tc>
        <w:tc>
          <w:tcPr>
            <w:tcW w:type="dxa" w:w="3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Endocrine Society; ESE; EJE 2022</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Bone &amp; Mineral Metabolism</w:t>
            </w:r>
          </w:p>
        </w:tc>
        <w:tc>
          <w:tcPr>
            <w:tcW w:type="dxa" w:w="3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Osteoporosis, Primary HPT, Hypo-HPT/CKD-MBD, Vitamin D, Rare bone diseases</w:t>
            </w:r>
          </w:p>
        </w:tc>
        <w:tc>
          <w:tcPr>
            <w:tcW w:type="dxa" w:w="3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IOF/ESCEO; NOGG; ASBMR 2022; KDIGO</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Reproductive Endocrinology</w:t>
            </w:r>
          </w:p>
        </w:tc>
        <w:tc>
          <w:tcPr>
            <w:tcW w:type="dxa" w:w="3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PCOS, Male hypogonadism, POI/Turner, Gender-affirming care, Menopause</w:t>
            </w:r>
          </w:p>
        </w:tc>
        <w:tc>
          <w:tcPr>
            <w:tcW w:type="dxa" w:w="3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Teede 2023; Endocrine Society 2018; ESHRE 2024</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Lipids &amp; Cardiovascular Risk</w:t>
            </w:r>
          </w:p>
        </w:tc>
        <w:tc>
          <w:tcPr>
            <w:tcW w:type="dxa" w:w="3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Dyslipidaemia, Familial HC, Novel therapies, Hypertriglyceridaemia</w:t>
            </w:r>
          </w:p>
        </w:tc>
        <w:tc>
          <w:tcPr>
            <w:tcW w:type="dxa" w:w="3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ESC/EAS LIPID4; NICE CG181; EAS FH Panel</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Neuroendocrine Tumours</w:t>
            </w:r>
          </w:p>
        </w:tc>
        <w:tc>
          <w:tcPr>
            <w:tcW w:type="dxa" w:w="3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Functioning GEP-NETs, Non-functioning/pNETs, MEN syndromes, PRRT/systemic therapy</w:t>
            </w:r>
          </w:p>
        </w:tc>
        <w:tc>
          <w:tcPr>
            <w:tcW w:type="dxa" w:w="3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ENETS Consensus; NANETS; Cochrane NET</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Endocrine Oncology</w:t>
            </w:r>
          </w:p>
        </w:tc>
        <w:tc>
          <w:tcPr>
            <w:tcW w:type="dxa" w:w="3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ACC, ICI endocrinopathies, Cancer treatment sequelae</w:t>
            </w:r>
          </w:p>
        </w:tc>
        <w:tc>
          <w:tcPr>
            <w:tcW w:type="dxa" w:w="3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Custom (ENSAT; Barroso-Sousa 2018)</w:t>
            </w:r>
          </w:p>
        </w:tc>
      </w:tr>
    </w:tbl>
    <w:p>
      <w:pPr>
        <w:spacing w:after="0" w:before="80"/>
      </w:pPr>
      <w:r>
        <w:t xml:space="preserve"/>
      </w:r>
    </w:p>
    <w:p>
      <w:pPr>
        <w:pStyle w:val="Heading1"/>
        <w:spacing w:after="120" w:before="320"/>
      </w:pPr>
      <w:r>
        <w:rPr>
          <w:rFonts w:ascii="Arial" w:cs="Arial" w:eastAsia="Arial" w:hAnsi="Arial"/>
          <w:b/>
          <w:bCs/>
          <w:color w:val="0C1F35"/>
          <w:sz w:val="28"/>
          <w:szCs w:val="28"/>
        </w:rPr>
        <w:t xml:space="preserve">4. Application Architecture</w:t>
      </w:r>
    </w:p>
    <w:p>
      <w:pPr>
        <w:pStyle w:val="Heading2"/>
        <w:spacing w:after="80" w:before="240"/>
      </w:pPr>
      <w:r>
        <w:rPr>
          <w:rFonts w:ascii="Arial" w:cs="Arial" w:eastAsia="Arial" w:hAnsi="Arial"/>
          <w:b/>
          <w:bCs/>
          <w:color w:val="1D6BB8"/>
          <w:sz w:val="24"/>
          <w:szCs w:val="24"/>
        </w:rPr>
        <w:t xml:space="preserve">Design philosophy</w:t>
      </w:r>
    </w:p>
    <w:p>
      <w:pPr>
        <w:spacing w:after="80" w:before="60"/>
      </w:pPr>
      <w:r>
        <w:rPr>
          <w:rFonts w:ascii="Arial" w:cs="Arial" w:eastAsia="Arial" w:hAnsi="Arial"/>
          <w:sz w:val="22"/>
          <w:szCs w:val="22"/>
        </w:rPr>
        <w:t xml:space="preserve">The application is designed around three constraints that shaped every technical decision:</w:t>
      </w:r>
    </w:p>
    <w:p>
      <w:pPr>
        <w:pStyle w:val="ListParagraph"/>
        <w:numPr>
          <w:ilvl w:val="0"/>
          <w:numId w:val="2"/>
        </w:numPr>
        <w:spacing w:after="40" w:before="40"/>
      </w:pPr>
      <w:r>
        <w:rPr>
          <w:rFonts w:ascii="Arial" w:cs="Arial" w:eastAsia="Arial" w:hAnsi="Arial"/>
          <w:sz w:val="22"/>
          <w:szCs w:val="22"/>
        </w:rPr>
        <w:t xml:space="preserve">Zero infrastructure — no server, no database, no authentication service, no build pipeline. The file must be openable by any clinician on any computer with a browser.</w:t>
      </w:r>
    </w:p>
    <w:p>
      <w:pPr>
        <w:pStyle w:val="ListParagraph"/>
        <w:numPr>
          <w:ilvl w:val="0"/>
          <w:numId w:val="2"/>
        </w:numPr>
        <w:spacing w:after="40" w:before="40"/>
      </w:pPr>
      <w:r>
        <w:rPr>
          <w:rFonts w:ascii="Arial" w:cs="Arial" w:eastAsia="Arial" w:hAnsi="Arial"/>
          <w:sz w:val="22"/>
          <w:szCs w:val="22"/>
        </w:rPr>
        <w:t xml:space="preserve">Zero hallucination — all article content is verbatim from PubMed. No AI summarisation, paraphrasing, or interpretation is applied at any stage. This is non-negotiable for a CPD tool.</w:t>
      </w:r>
    </w:p>
    <w:p>
      <w:pPr>
        <w:pStyle w:val="ListParagraph"/>
        <w:numPr>
          <w:ilvl w:val="0"/>
          <w:numId w:val="2"/>
        </w:numPr>
        <w:spacing w:after="40" w:before="40"/>
      </w:pPr>
      <w:r>
        <w:rPr>
          <w:rFonts w:ascii="Arial" w:cs="Arial" w:eastAsia="Arial" w:hAnsi="Arial"/>
          <w:sz w:val="22"/>
          <w:szCs w:val="22"/>
        </w:rPr>
        <w:t xml:space="preserve">Zero cost at scale — NCBI E-utilities is a free public API with permissive CORS headers. The application will continue to function without any ongoing expenditure.</w:t>
      </w:r>
    </w:p>
    <w:p>
      <w:pPr>
        <w:pStyle w:val="Heading2"/>
        <w:spacing w:after="80" w:before="240"/>
      </w:pPr>
      <w:r>
        <w:rPr>
          <w:rFonts w:ascii="Arial" w:cs="Arial" w:eastAsia="Arial" w:hAnsi="Arial"/>
          <w:b/>
          <w:bCs/>
          <w:color w:val="1D6BB8"/>
          <w:sz w:val="24"/>
          <w:szCs w:val="24"/>
        </w:rPr>
        <w:t xml:space="preserve">Data flow</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400"/>
        <w:gridCol w:w="4126"/>
      </w:tblGrid>
      <w:tr>
        <w:tc>
          <w:tcPr>
            <w:tcW w:type="dxa" w:w="5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1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Topic/subdomain selected</w:t>
            </w:r>
          </w:p>
        </w:tc>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User clicks tab or pill button</w:t>
            </w:r>
          </w:p>
        </w:tc>
        <w:tc>
          <w:tcPr>
            <w:tcW w:type="dxa" w:w="41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Triggers loadTopic()</w:t>
            </w:r>
          </w:p>
        </w:tc>
      </w:tr>
      <w:tr>
        <w:tc>
          <w:tcPr>
            <w:tcW w:type="dxa" w:w="5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2</w:t>
            </w:r>
          </w:p>
        </w:tc>
        <w:tc>
          <w:tcPr>
            <w:tcW w:type="dxa" w:w="2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Cache check</w:t>
            </w:r>
          </w:p>
        </w:tc>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cKey() generates cache key</w:t>
            </w:r>
          </w:p>
        </w:tc>
        <w:tc>
          <w:tcPr>
            <w:tcW w:type="dxa" w:w="41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Includes: topic, subdomain, date range, study filter, journal filter. TTL = 6 hours</w:t>
            </w:r>
          </w:p>
        </w:tc>
      </w:tr>
      <w:tr>
        <w:tc>
          <w:tcPr>
            <w:tcW w:type="dxa" w:w="5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esearch query</w:t>
            </w:r>
          </w:p>
        </w:tc>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fetch() to NCBI esearch.fcgi</w:t>
            </w:r>
          </w:p>
        </w:tc>
        <w:tc>
          <w:tcPr>
            <w:tcW w:type="dxa" w:w="41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Returns PMIDs, total count, NCBI query translation. retmax = 50</w:t>
            </w:r>
          </w:p>
        </w:tc>
      </w:tr>
      <w:tr>
        <w:tc>
          <w:tcPr>
            <w:tcW w:type="dxa" w:w="5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4</w:t>
            </w:r>
          </w:p>
        </w:tc>
        <w:tc>
          <w:tcPr>
            <w:tcW w:type="dxa" w:w="2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efetch articles</w:t>
            </w:r>
          </w:p>
        </w:tc>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fetch() to NCBI efetch.fcgi</w:t>
            </w:r>
          </w:p>
        </w:tc>
        <w:tc>
          <w:tcPr>
            <w:tcW w:type="dxa" w:w="41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Returns PubMed XML for all PMIDs in single request</w:t>
            </w:r>
          </w:p>
        </w:tc>
      </w:tr>
      <w:tr>
        <w:tc>
          <w:tcPr>
            <w:tcW w:type="dxa" w:w="5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XML parse</w:t>
            </w:r>
          </w:p>
        </w:tc>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parseXML() via DOMParser</w:t>
            </w:r>
          </w:p>
        </w:tc>
        <w:tc>
          <w:tcPr>
            <w:tcW w:type="dxa" w:w="41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Extracts: PMID, title, journal, authors, date, abstract (structured), pubTypes, DOI</w:t>
            </w:r>
          </w:p>
        </w:tc>
      </w:tr>
      <w:tr>
        <w:tc>
          <w:tcPr>
            <w:tcW w:type="dxa" w:w="5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6</w:t>
            </w:r>
          </w:p>
        </w:tc>
        <w:tc>
          <w:tcPr>
            <w:tcW w:type="dxa" w:w="2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Sanitisation</w:t>
            </w:r>
          </w:p>
        </w:tc>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clean() / safeJSON()</w:t>
            </w:r>
          </w:p>
        </w:tc>
        <w:tc>
          <w:tcPr>
            <w:tcW w:type="dxa" w:w="41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Strips control characters illegal in JSON. Prevents localStorage corruption</w:t>
            </w:r>
          </w:p>
        </w:tc>
      </w:tr>
      <w:tr>
        <w:tc>
          <w:tcPr>
            <w:tcW w:type="dxa" w:w="5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Cache store</w:t>
            </w:r>
          </w:p>
        </w:tc>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setCached() to in-memory object</w:t>
            </w:r>
          </w:p>
        </w:tc>
        <w:tc>
          <w:tcPr>
            <w:tcW w:type="dxa" w:w="41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Also stores audit metadata: count, NCBI translation, active subdomain</w:t>
            </w:r>
          </w:p>
        </w:tc>
      </w:tr>
      <w:tr>
        <w:tc>
          <w:tcPr>
            <w:tcW w:type="dxa" w:w="5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8</w:t>
            </w:r>
          </w:p>
        </w:tc>
        <w:tc>
          <w:tcPr>
            <w:tcW w:type="dxa" w:w="2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IF lookup</w:t>
            </w:r>
          </w:p>
        </w:tc>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getIF() against IF_MAP</w:t>
            </w:r>
          </w:p>
        </w:tc>
        <w:tc>
          <w:tcPr>
            <w:tcW w:type="dxa" w:w="41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475-entry table. Strips parentheticals. Falls back to partial match</w:t>
            </w:r>
          </w:p>
        </w:tc>
      </w:tr>
      <w:tr>
        <w:tc>
          <w:tcPr>
            <w:tcW w:type="dxa" w:w="5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9</w:t>
            </w:r>
          </w:p>
        </w:tc>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Render</w:t>
            </w:r>
          </w:p>
        </w:tc>
        <w:tc>
          <w:tcPr>
            <w:tcW w:type="dxa" w:w="24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articleHTML() to innerHTML</w:t>
            </w:r>
          </w:p>
        </w:tc>
        <w:tc>
          <w:tcPr>
            <w:tcW w:type="dxa" w:w="41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All PubMed strings HTML-escaped via esc(). Data-action event delegation</w:t>
            </w:r>
          </w:p>
        </w:tc>
      </w:tr>
      <w:tr>
        <w:tc>
          <w:tcPr>
            <w:tcW w:type="dxa" w:w="5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10</w:t>
            </w:r>
          </w:p>
        </w:tc>
        <w:tc>
          <w:tcPr>
            <w:tcW w:type="dxa" w:w="2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Persistence</w:t>
            </w:r>
          </w:p>
        </w:tc>
        <w:tc>
          <w:tcPr>
            <w:tcW w:type="dxa" w:w="24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localStorage via localStore()</w:t>
            </w:r>
          </w:p>
        </w:tc>
        <w:tc>
          <w:tcPr>
            <w:tcW w:type="dxa" w:w="41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Bookmarks, read state, journal selection, theme, subdomain state. Availability checked on init.</w:t>
            </w:r>
          </w:p>
        </w:tc>
      </w:tr>
    </w:tbl>
    <w:p>
      <w:pPr>
        <w:spacing w:after="0" w:before="80"/>
      </w:pPr>
      <w:r>
        <w:t xml:space="preserve"/>
      </w:r>
    </w:p>
    <w:p>
      <w:pPr>
        <w:pStyle w:val="Heading2"/>
        <w:spacing w:after="80" w:before="240"/>
      </w:pPr>
      <w:r>
        <w:rPr>
          <w:rFonts w:ascii="Arial" w:cs="Arial" w:eastAsia="Arial" w:hAnsi="Arial"/>
          <w:b/>
          <w:bCs/>
          <w:color w:val="1D6BB8"/>
          <w:sz w:val="24"/>
          <w:szCs w:val="24"/>
        </w:rPr>
        <w:t xml:space="preserve">File structure</w:t>
      </w:r>
    </w:p>
    <w:p>
      <w:pPr>
        <w:spacing w:after="80" w:before="60"/>
      </w:pPr>
      <w:r>
        <w:rPr>
          <w:rFonts w:ascii="Arial" w:cs="Arial" w:eastAsia="Arial" w:hAnsi="Arial"/>
          <w:sz w:val="22"/>
          <w:szCs w:val="22"/>
        </w:rPr>
        <w:t xml:space="preserve">The application is a single HTML file (~90 KB). There are no external dependencies at runtime beyond the PubMed E-utilities API. All fonts are served from system font stacks (no external font CDN required).</w:t>
      </w:r>
    </w:p>
    <w:p>
      <w:pPr>
        <w:pStyle w:val="ListParagraph"/>
        <w:numPr>
          <w:ilvl w:val="0"/>
          <w:numId w:val="2"/>
        </w:numPr>
        <w:spacing w:after="40" w:before="40"/>
      </w:pPr>
      <w:r>
        <w:rPr>
          <w:rFonts w:ascii="Arial" w:cs="Arial" w:eastAsia="Arial" w:hAnsi="Arial"/>
          <w:sz w:val="22"/>
          <w:szCs w:val="22"/>
        </w:rPr>
        <w:t xml:space="preserve">CSS: Embedded in &lt;style&gt; tag. Four themes (Midnight, Clinical, Slate, Amber) implemented via CSS custom properties. Theme switching requires only a data-theme attribute change on &lt;html&gt;. Font families defined as CSS variables (--ff-serif, --ff-mono, --ff-sans) using system font stacks.</w:t>
      </w:r>
    </w:p>
    <w:p>
      <w:pPr>
        <w:pStyle w:val="ListParagraph"/>
        <w:numPr>
          <w:ilvl w:val="0"/>
          <w:numId w:val="2"/>
        </w:numPr>
        <w:spacing w:after="40" w:before="40"/>
      </w:pPr>
      <w:r>
        <w:rPr>
          <w:rFonts w:ascii="Arial" w:cs="Arial" w:eastAsia="Arial" w:hAnsi="Arial"/>
          <w:sz w:val="22"/>
          <w:szCs w:val="22"/>
        </w:rPr>
        <w:t xml:space="preserve">JavaScript: Embedded in &lt;script&gt; tag. No framework, no transpilation, no bundler. ES5-compatible syntax throughout (no optional chaining, no nullish coalescing) to ensure compatibility with iOS Safari &lt; 13.4 and older Android WebView.</w:t>
      </w:r>
    </w:p>
    <w:p>
      <w:pPr>
        <w:pStyle w:val="ListParagraph"/>
        <w:numPr>
          <w:ilvl w:val="0"/>
          <w:numId w:val="2"/>
        </w:numPr>
        <w:spacing w:after="40" w:before="40"/>
      </w:pPr>
      <w:r>
        <w:rPr>
          <w:rFonts w:ascii="Arial" w:cs="Arial" w:eastAsia="Arial" w:hAnsi="Arial"/>
          <w:sz w:val="22"/>
          <w:szCs w:val="22"/>
        </w:rPr>
        <w:t xml:space="preserve">Data: TOPICS array (~10 objects), JOURNAL_GROUPS array (~180 journal entries), IF_MAP object (~475 entries). All embedded in the script.</w:t>
      </w:r>
    </w:p>
    <w:p>
      <w:pPr>
        <w:pStyle w:val="Heading1"/>
        <w:spacing w:after="120" w:before="320"/>
      </w:pPr>
      <w:r>
        <w:rPr>
          <w:rFonts w:ascii="Arial" w:cs="Arial" w:eastAsia="Arial" w:hAnsi="Arial"/>
          <w:b/>
          <w:bCs/>
          <w:color w:val="0C1F35"/>
          <w:sz w:val="28"/>
          <w:szCs w:val="28"/>
        </w:rPr>
        <w:t xml:space="preserve">5. Feature Catalogue</w:t>
      </w:r>
    </w:p>
    <w:p>
      <w:pPr>
        <w:pStyle w:val="Heading2"/>
        <w:spacing w:after="80" w:before="240"/>
      </w:pPr>
      <w:r>
        <w:rPr>
          <w:rFonts w:ascii="Arial" w:cs="Arial" w:eastAsia="Arial" w:hAnsi="Arial"/>
          <w:b/>
          <w:bCs/>
          <w:color w:val="1D6BB8"/>
          <w:sz w:val="24"/>
          <w:szCs w:val="24"/>
        </w:rPr>
        <w:t xml:space="preserve">Topic lanes &amp; subdomain pills</w:t>
      </w:r>
    </w:p>
    <w:p>
      <w:pPr>
        <w:spacing w:after="80" w:before="60"/>
      </w:pPr>
      <w:r>
        <w:rPr>
          <w:rFonts w:ascii="Arial" w:cs="Arial" w:eastAsia="Arial" w:hAnsi="Arial"/>
          <w:sz w:val="22"/>
          <w:szCs w:val="22"/>
        </w:rPr>
        <w:t xml:space="preserve">The tab bar contains one tab per RACP domain. A vertical divider separates the six primary domains (Diabetes through Bone) from the four extended domains (Reproductive through Endocrine Oncology). Clicking a tab loads the broad domain query. A row of scrollable pill buttons beneath the topic title allows selection of individual subdomains, each with its own validated PubMed query. Subdomain selection, date range, study type filter, and journal filter are all independent cache dimensions.</w:t>
      </w:r>
    </w:p>
    <w:p>
      <w:pPr>
        <w:pStyle w:val="Heading2"/>
        <w:spacing w:after="80" w:before="240"/>
      </w:pPr>
      <w:r>
        <w:rPr>
          <w:rFonts w:ascii="Arial" w:cs="Arial" w:eastAsia="Arial" w:hAnsi="Arial"/>
          <w:b/>
          <w:bCs/>
          <w:color w:val="1D6BB8"/>
          <w:sz w:val="24"/>
          <w:szCs w:val="24"/>
        </w:rPr>
        <w:t xml:space="preserve">Filters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32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0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Date range</w:t>
            </w:r>
          </w:p>
        </w:tc>
        <w:tc>
          <w:tcPr>
            <w:tcW w:type="dxa" w:w="3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Past 7, 14, or 30 days</w:t>
            </w:r>
          </w:p>
        </w:tc>
        <w:tc>
          <w:tcPr>
            <w:tcW w:type="dxa" w:w="4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reldate parameter in esearch URL. Clears cache on change.</w:t>
            </w:r>
          </w:p>
        </w:tc>
      </w:tr>
      <w:tr>
        <w:tc>
          <w:tcPr>
            <w:tcW w:type="dxa" w:w="1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Study type</w:t>
            </w:r>
          </w:p>
        </w:tc>
        <w:tc>
          <w:tcPr>
            <w:tcW w:type="dxa" w:w="3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All / RCT / Systematic review / Meta-analysis / Guideline / Review</w:t>
            </w:r>
          </w:p>
        </w:tc>
        <w:tc>
          <w:tcPr>
            <w:tcW w:type="dxa" w:w="4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Publication type filter appended to esearch query [pt]. Clears cache on change.</w:t>
            </w:r>
          </w:p>
        </w:tc>
      </w:tr>
      <w:tr>
        <w:tc>
          <w:tcPr>
            <w:tcW w:type="dxa" w:w="1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Impact factor</w:t>
            </w:r>
          </w:p>
        </w:tc>
        <w:tc>
          <w:tcPr>
            <w:tcW w:type="dxa" w:w="3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Any / &gt;=5 / &gt;=10 / &gt;=20 / &gt;=40 (flagship)</w:t>
            </w:r>
          </w:p>
        </w:tc>
        <w:tc>
          <w:tcPr>
            <w:tcW w:type="dxa" w:w="4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Post-fetch client-side filter. Journals not in IF_MAP always shown. No re-fetch required.</w:t>
            </w:r>
          </w:p>
        </w:tc>
      </w:tr>
      <w:tr>
        <w:tc>
          <w:tcPr>
            <w:tcW w:type="dxa" w:w="1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Journal filter</w:t>
            </w:r>
          </w:p>
        </w:tc>
        <w:tc>
          <w:tcPr>
            <w:tcW w:type="dxa" w:w="3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Multi-select from ~180 curated journals in 5 groups</w:t>
            </w:r>
          </w:p>
        </w:tc>
        <w:tc>
          <w:tcPr>
            <w:tcW w:type="dxa" w:w="4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Appends AND ("[ta]" OR "[ta]") to esearch query. Journal view tab activates. Persisted to localStorage.</w:t>
            </w:r>
          </w:p>
        </w:tc>
      </w:tr>
    </w:tbl>
    <w:p>
      <w:pPr>
        <w:spacing w:after="0" w:before="80"/>
      </w:pPr>
      <w:r>
        <w:t xml:space="preserve"/>
      </w:r>
    </w:p>
    <w:p>
      <w:pPr>
        <w:pStyle w:val="Heading2"/>
        <w:spacing w:after="80" w:before="240"/>
      </w:pPr>
      <w:r>
        <w:rPr>
          <w:rFonts w:ascii="Arial" w:cs="Arial" w:eastAsia="Arial" w:hAnsi="Arial"/>
          <w:b/>
          <w:bCs/>
          <w:color w:val="1D6BB8"/>
          <w:sz w:val="24"/>
          <w:szCs w:val="24"/>
        </w:rPr>
        <w:t xml:space="preserve">Impact factor display</w:t>
      </w:r>
    </w:p>
    <w:p>
      <w:pPr>
        <w:spacing w:after="80" w:before="60"/>
      </w:pPr>
      <w:r>
        <w:rPr>
          <w:rFonts w:ascii="Arial" w:cs="Arial" w:eastAsia="Arial" w:hAnsi="Arial"/>
          <w:sz w:val="22"/>
          <w:szCs w:val="22"/>
        </w:rPr>
        <w:t xml:space="preserve">Each article card displays a colour-coded impact factor badge derived from the journal's PubMed ISOAbbreviation. Four tiers:</w:t>
      </w:r>
    </w:p>
    <w:p>
      <w:pPr>
        <w:pStyle w:val="ListParagraph"/>
        <w:numPr>
          <w:ilvl w:val="0"/>
          <w:numId w:val="2"/>
        </w:numPr>
        <w:spacing w:after="40" w:before="40"/>
      </w:pPr>
      <w:r>
        <w:rPr>
          <w:rFonts w:ascii="Arial" w:cs="Arial" w:eastAsia="Arial" w:hAnsi="Arial"/>
          <w:sz w:val="22"/>
          <w:szCs w:val="22"/>
        </w:rPr>
        <w:t xml:space="preserve">Gold — IF &gt;=40 (flagship general journals: NEJM, Lancet, JAMA, Nature Medicine)</w:t>
      </w:r>
    </w:p>
    <w:p>
      <w:pPr>
        <w:pStyle w:val="ListParagraph"/>
        <w:numPr>
          <w:ilvl w:val="0"/>
          <w:numId w:val="2"/>
        </w:numPr>
        <w:spacing w:after="40" w:before="40"/>
      </w:pPr>
      <w:r>
        <w:rPr>
          <w:rFonts w:ascii="Arial" w:cs="Arial" w:eastAsia="Arial" w:hAnsi="Arial"/>
          <w:sz w:val="22"/>
          <w:szCs w:val="22"/>
        </w:rPr>
        <w:t xml:space="preserve">Blue — IF 10-39.9 (high-impact subspecialty: Diabetes Care, J Hepatol, Lancet Diabetes Endocrinol)</w:t>
      </w:r>
    </w:p>
    <w:p>
      <w:pPr>
        <w:pStyle w:val="ListParagraph"/>
        <w:numPr>
          <w:ilvl w:val="0"/>
          <w:numId w:val="2"/>
        </w:numPr>
        <w:spacing w:after="40" w:before="40"/>
      </w:pPr>
      <w:r>
        <w:rPr>
          <w:rFonts w:ascii="Arial" w:cs="Arial" w:eastAsia="Arial" w:hAnsi="Arial"/>
          <w:sz w:val="22"/>
          <w:szCs w:val="22"/>
        </w:rPr>
        <w:t xml:space="preserve">Green — IF 5-9.9 (solid specialist tier: Diabetologia, Thyroid, Front Endocrinol)</w:t>
      </w:r>
    </w:p>
    <w:p>
      <w:pPr>
        <w:pStyle w:val="ListParagraph"/>
        <w:numPr>
          <w:ilvl w:val="0"/>
          <w:numId w:val="2"/>
        </w:numPr>
        <w:spacing w:after="40" w:before="40"/>
      </w:pPr>
      <w:r>
        <w:rPr>
          <w:rFonts w:ascii="Arial" w:cs="Arial" w:eastAsia="Arial" w:hAnsi="Arial"/>
          <w:sz w:val="22"/>
          <w:szCs w:val="22"/>
        </w:rPr>
        <w:t xml:space="preserve">Grey — IF &lt;5 (accessible specialist and open-access journals)</w:t>
      </w:r>
    </w:p>
    <w:p>
      <w:pPr>
        <w:pStyle w:val="ListParagraph"/>
        <w:numPr>
          <w:ilvl w:val="0"/>
          <w:numId w:val="2"/>
        </w:numPr>
        <w:spacing w:after="40" w:before="40"/>
      </w:pPr>
      <w:r>
        <w:rPr>
          <w:rFonts w:ascii="Arial" w:cs="Arial" w:eastAsia="Arial" w:hAnsi="Arial"/>
          <w:sz w:val="22"/>
          <w:szCs w:val="22"/>
        </w:rPr>
        <w:t xml:space="preserve">IF ? — Journal recognised by name but not yet in the IF database</w:t>
      </w:r>
    </w:p>
    <w:p>
      <w:pPr>
        <w:pStyle w:val="Heading2"/>
        <w:spacing w:after="80" w:before="240"/>
      </w:pPr>
      <w:r>
        <w:rPr>
          <w:rFonts w:ascii="Arial" w:cs="Arial" w:eastAsia="Arial" w:hAnsi="Arial"/>
          <w:b/>
          <w:bCs/>
          <w:color w:val="1D6BB8"/>
          <w:sz w:val="24"/>
          <w:szCs w:val="24"/>
        </w:rPr>
        <w:t xml:space="preserve">Article cards</w:t>
      </w:r>
    </w:p>
    <w:p>
      <w:pPr>
        <w:spacing w:after="80" w:before="60"/>
      </w:pPr>
      <w:r>
        <w:rPr>
          <w:rFonts w:ascii="Arial" w:cs="Arial" w:eastAsia="Arial" w:hAnsi="Arial"/>
          <w:sz w:val="22"/>
          <w:szCs w:val="22"/>
        </w:rPr>
        <w:t xml:space="preserve">Each article card displays: abbreviated journal name (coloured by topic), IF badge, study type badge (RCT / Meta-analysis / Systematic Review / Guideline / Clinical Trial / Review), publication date, and PMID. Correspondence items (Letter, Comment, Editorial, Erratum) are identified from PubMed PublicationType and displayed with a dashed left border, grey badge, and reduced opacity. Clicking the title or Abstract button expands the full structured abstract verbatim.</w:t>
      </w:r>
    </w:p>
    <w:p>
      <w:pPr>
        <w:pStyle w:val="Heading2"/>
        <w:spacing w:after="80" w:before="240"/>
      </w:pPr>
      <w:r>
        <w:rPr>
          <w:rFonts w:ascii="Arial" w:cs="Arial" w:eastAsia="Arial" w:hAnsi="Arial"/>
          <w:b/>
          <w:bCs/>
          <w:color w:val="1D6BB8"/>
          <w:sz w:val="24"/>
          <w:szCs w:val="24"/>
        </w:rPr>
        <w:t xml:space="preserve">Saved articles &amp; read tracking</w:t>
      </w:r>
    </w:p>
    <w:p>
      <w:pPr>
        <w:spacing w:after="80" w:before="60"/>
      </w:pPr>
      <w:r>
        <w:rPr>
          <w:rFonts w:ascii="Arial" w:cs="Arial" w:eastAsia="Arial" w:hAnsi="Arial"/>
          <w:sz w:val="22"/>
          <w:szCs w:val="22"/>
        </w:rPr>
        <w:t xml:space="preserve">Articles can be bookmarked across sessions using browser localStorage. A star tab in the top-right shows all saved articles regardless of topic. Articles are marked as read when their abstract is expanded or their PubMed link is clicked; read articles display at reduced opacity. Unread counts appear as badges on each topic tab. All state persists to localStorage where available; a warning banner is displayed if localStorage is unavailable (Private Mode or restricted context).</w:t>
      </w:r>
    </w:p>
    <w:p>
      <w:pPr>
        <w:pStyle w:val="Heading2"/>
        <w:spacing w:after="80" w:before="240"/>
      </w:pPr>
      <w:r>
        <w:rPr>
          <w:rFonts w:ascii="Arial" w:cs="Arial" w:eastAsia="Arial" w:hAnsi="Arial"/>
          <w:b/>
          <w:bCs/>
          <w:color w:val="1D6BB8"/>
          <w:sz w:val="24"/>
          <w:szCs w:val="24"/>
        </w:rPr>
        <w:t xml:space="preserve">Search strategy audit panel</w:t>
      </w:r>
    </w:p>
    <w:p>
      <w:pPr>
        <w:spacing w:after="80" w:before="60"/>
      </w:pPr>
      <w:r>
        <w:rPr>
          <w:rFonts w:ascii="Arial" w:cs="Arial" w:eastAsia="Arial" w:hAnsi="Arial"/>
          <w:sz w:val="22"/>
          <w:szCs w:val="22"/>
        </w:rPr>
        <w:t xml:space="preserve">A dedicated audit panel (magnifying glass icon) opens a side panel showing all topic lanes with: the shown/total result count (orange if many results are truncated, green if coverage is likely adequate), a "Verify on PubMed" link that opens the exact query on pubmed.ncbi.nlm.nih.gov, the raw query string sent to NCBI, and the NCBI query translation. Each panel row is expandable and only populates after the topic has been loaded at least once. The panel is fully responsive and constrained to viewport width on all screen sizes.</w:t>
      </w:r>
    </w:p>
    <w:p>
      <w:pPr>
        <w:pStyle w:val="Heading2"/>
        <w:spacing w:after="80" w:before="240"/>
      </w:pPr>
      <w:r>
        <w:rPr>
          <w:rFonts w:ascii="Arial" w:cs="Arial" w:eastAsia="Arial" w:hAnsi="Arial"/>
          <w:b/>
          <w:bCs/>
          <w:color w:val="1D6BB8"/>
          <w:sz w:val="24"/>
          <w:szCs w:val="24"/>
        </w:rPr>
        <w:t xml:space="preserve">Themes</w:t>
      </w:r>
    </w:p>
    <w:p>
      <w:pPr>
        <w:spacing w:after="80" w:before="60"/>
      </w:pPr>
      <w:r>
        <w:rPr>
          <w:rFonts w:ascii="Arial" w:cs="Arial" w:eastAsia="Arial" w:hAnsi="Arial"/>
          <w:sz w:val="22"/>
          <w:szCs w:val="22"/>
        </w:rPr>
        <w:t xml:space="preserve">Four visual themes are available via the palette icon: Midnight (dark navy, cold blue accent), Clinical (white, navy text), Slate (dark charcoal, lavender accent), Amber (warm dark, golden accent). Theme selection persists to localStorage.</w:t>
      </w:r>
    </w:p>
    <w:p>
      <w:pPr>
        <w:pStyle w:val="Heading1"/>
        <w:spacing w:after="120" w:before="320"/>
      </w:pPr>
      <w:r>
        <w:rPr>
          <w:rFonts w:ascii="Arial" w:cs="Arial" w:eastAsia="Arial" w:hAnsi="Arial"/>
          <w:b/>
          <w:bCs/>
          <w:color w:val="0C1F35"/>
          <w:sz w:val="28"/>
          <w:szCs w:val="28"/>
        </w:rPr>
        <w:t xml:space="preserve">6. Search Strategy Framework</w:t>
      </w:r>
    </w:p>
    <w:p>
      <w:pPr>
        <w:pStyle w:val="Heading2"/>
        <w:spacing w:after="80" w:before="240"/>
      </w:pPr>
      <w:r>
        <w:rPr>
          <w:rFonts w:ascii="Arial" w:cs="Arial" w:eastAsia="Arial" w:hAnsi="Arial"/>
          <w:b/>
          <w:bCs/>
          <w:color w:val="1D6BB8"/>
          <w:sz w:val="24"/>
          <w:szCs w:val="24"/>
        </w:rPr>
        <w:t xml:space="preserve">Approach to query construction</w:t>
      </w:r>
    </w:p>
    <w:p>
      <w:pPr>
        <w:spacing w:after="80" w:before="60"/>
      </w:pPr>
      <w:r>
        <w:rPr>
          <w:rFonts w:ascii="Arial" w:cs="Arial" w:eastAsia="Arial" w:hAnsi="Arial"/>
          <w:sz w:val="22"/>
          <w:szCs w:val="22"/>
        </w:rPr>
        <w:t xml:space="preserve">Each domain has two query tiers: a broad domain-level query (union of all subdomain heads) and individual subdomain queries. Where a published search strategy exists from a major guideline or systematic review, that strategy is adopted as the base and extended with tiab terms for recently coined terminology not yet indexed in MeSH.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ED8" w:sz="1"/>
              <w:left w:val="single" w:color="C0CED8" w:sz="1"/>
              <w:bottom w:val="single" w:color="C0CED8" w:sz="1"/>
              <w:right w:val="single" w:color="C0CED8" w:sz="1"/>
            </w:tcBorders>
            <w:shd w:fill="D5E8F0" w:val="clear"/>
            <w:tcMar>
              <w:top w:type="dxa" w:w="100"/>
              <w:left w:type="dxa" w:w="160"/>
              <w:bottom w:type="dxa" w:w="100"/>
              <w:right w:type="dxa" w:w="160"/>
            </w:tcMar>
          </w:tcPr>
          <w:p>
            <w:pPr>
              <w:spacing w:after="40" w:before="40"/>
            </w:pPr>
            <w:r>
              <w:rPr>
                <w:rFonts w:ascii="Arial" w:cs="Arial" w:eastAsia="Arial" w:hAnsi="Arial"/>
                <w:i/>
                <w:iCs/>
                <w:color w:val="0C1F35"/>
                <w:sz w:val="20"/>
                <w:szCs w:val="20"/>
              </w:rPr>
              <w:t xml:space="preserve">Why published strategies? Validated guideline search strategies are constructed by trained information specialists and peer-reviewed alongside the clinical content. They are tested for sensitivity and specificity against known evidence bases. Using them as the foundation minimises recall failures and false positives, and provides a documentable methodological basis.</w:t>
            </w:r>
          </w:p>
        </w:tc>
      </w:tr>
    </w:tbl>
    <w:p>
      <w:pPr>
        <w:spacing w:after="0" w:before="80"/>
      </w:pPr>
      <w:r>
        <w:t xml:space="preserve"/>
      </w:r>
    </w:p>
    <w:p>
      <w:pPr>
        <w:pStyle w:val="Heading2"/>
        <w:spacing w:after="80" w:before="240"/>
      </w:pPr>
      <w:r>
        <w:rPr>
          <w:rFonts w:ascii="Arial" w:cs="Arial" w:eastAsia="Arial" w:hAnsi="Arial"/>
          <w:b/>
          <w:bCs/>
          <w:color w:val="1D6BB8"/>
          <w:sz w:val="24"/>
          <w:szCs w:val="24"/>
        </w:rPr>
        <w:t xml:space="preserve">MeSH versus tiab</w:t>
      </w:r>
    </w:p>
    <w:p>
      <w:pPr>
        <w:spacing w:after="80" w:before="60"/>
      </w:pPr>
      <w:r>
        <w:rPr>
          <w:rFonts w:ascii="Arial" w:cs="Arial" w:eastAsia="Arial" w:hAnsi="Arial"/>
          <w:sz w:val="22"/>
          <w:szCs w:val="22"/>
        </w:rPr>
        <w:t xml:space="preserve">MeSH terms anchor the established literature; tiab terms capture new terminology and recently published articles before MeSH indexing occurs. This dual approach is essential for: MASLD/MAFLD (2023 nomenclature change), crinecerfont for CAH (approved 2024), palopegteriparatide for hypoparathyroidism (approved 2024), ICI endocrinopathy terminology, and AVP deficiency (replaced CDI terminology per 2022 consensus).</w:t>
      </w:r>
    </w:p>
    <w:p>
      <w:pPr>
        <w:pStyle w:val="Heading1"/>
        <w:spacing w:after="120" w:before="320"/>
      </w:pPr>
      <w:r>
        <w:rPr>
          <w:rFonts w:ascii="Arial" w:cs="Arial" w:eastAsia="Arial" w:hAnsi="Arial"/>
          <w:b/>
          <w:bCs/>
          <w:color w:val="0C1F35"/>
          <w:sz w:val="28"/>
          <w:szCs w:val="28"/>
        </w:rPr>
        <w:t xml:space="preserve">7. Security Implementation</w:t>
      </w:r>
    </w:p>
    <w:p>
      <w:pPr>
        <w:pStyle w:val="Heading2"/>
        <w:spacing w:after="80" w:before="240"/>
      </w:pPr>
      <w:r>
        <w:rPr>
          <w:rFonts w:ascii="Arial" w:cs="Arial" w:eastAsia="Arial" w:hAnsi="Arial"/>
          <w:b/>
          <w:bCs/>
          <w:color w:val="1D6BB8"/>
          <w:sz w:val="24"/>
          <w:szCs w:val="24"/>
        </w:rPr>
        <w:t xml:space="preserve">Controls implemented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8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c>
          <w:tcPr>
            <w:tcW w:type="dxa" w:w="40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HTML escaping (esc())</w:t>
            </w:r>
          </w:p>
        </w:tc>
        <w:tc>
          <w:tcPr>
            <w:tcW w:type="dxa" w:w="2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XSS via malicious PubMed metadata</w:t>
            </w:r>
          </w:p>
        </w:tc>
        <w:tc>
          <w:tcPr>
            <w:tcW w:type="dxa" w:w="4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All PubMed-sourced strings passed through esc() before innerHTML insertion.</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Control character sanitisation (clean())</w:t>
            </w:r>
          </w:p>
        </w:tc>
        <w:tc>
          <w:tcPr>
            <w:tcW w:type="dxa" w:w="2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localStorage corruption / JSON.parse failure</w:t>
            </w:r>
          </w:p>
        </w:tc>
        <w:tc>
          <w:tcPr>
            <w:tcW w:type="dxa" w:w="4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Strips Unicode codepoints 0x00-0x08, 0x0B, 0x0C, 0x0E-0x1F, 0x7F, 0x85, 0x2028, 0x2029.</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Safe JSON parsing (safeJSON())</w:t>
            </w:r>
          </w:p>
        </w:tc>
        <w:tc>
          <w:tcPr>
            <w:tcW w:type="dxa" w:w="2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Application crash from malformed API response</w:t>
            </w:r>
          </w:p>
        </w:tc>
        <w:tc>
          <w:tcPr>
            <w:tcW w:type="dxa" w:w="4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Two-pass parser: fast path then char-by-char scrub. Returns null rather than throwing.</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Event delegation (data-action)</w:t>
            </w:r>
          </w:p>
        </w:tc>
        <w:tc>
          <w:tcPr>
            <w:tcW w:type="dxa" w:w="2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onclick string injection via dynamic content</w:t>
            </w:r>
          </w:p>
        </w:tc>
        <w:tc>
          <w:tcPr>
            <w:tcW w:type="dxa" w:w="4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No inline onclick on article cards. Single delegated listener on #content.</w:t>
            </w:r>
          </w:p>
        </w:tc>
      </w:tr>
      <w:tr>
        <w:tc>
          <w:tcPr>
            <w:tcW w:type="dxa" w:w="2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DOI validation</w:t>
            </w:r>
          </w:p>
        </w:tc>
        <w:tc>
          <w:tcPr>
            <w:tcW w:type="dxa" w:w="2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href injection via malformed DOI</w:t>
            </w:r>
          </w:p>
        </w:tc>
        <w:tc>
          <w:tcPr>
            <w:tcW w:type="dxa" w:w="4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DOI validated against /^[\w./:;()-]+$/ before encodeURIComponent().</w:t>
            </w:r>
          </w:p>
        </w:tc>
      </w:tr>
      <w:tr>
        <w:tc>
          <w:tcPr>
            <w:tcW w:type="dxa" w:w="2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localStorage availability check</w:t>
            </w:r>
          </w:p>
        </w:tc>
        <w:tc>
          <w:tcPr>
            <w:tcW w:type="dxa" w:w="2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Silent data loss in Private Mode</w:t>
            </w:r>
          </w:p>
        </w:tc>
        <w:tc>
          <w:tcPr>
            <w:tcW w:type="dxa" w:w="4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STORAGE_OK probe on init; warning banner displayed if unavailable.</w:t>
            </w:r>
          </w:p>
        </w:tc>
      </w:tr>
    </w:tbl>
    <w:p>
      <w:pPr>
        <w:spacing w:after="0" w:before="80"/>
      </w:pPr>
      <w:r>
        <w:t xml:space="preserve"/>
      </w:r>
    </w:p>
    <w:p>
      <w:pPr>
        <w:pStyle w:val="Heading1"/>
        <w:spacing w:after="120" w:before="320"/>
      </w:pPr>
      <w:r>
        <w:rPr>
          <w:rFonts w:ascii="Arial" w:cs="Arial" w:eastAsia="Arial" w:hAnsi="Arial"/>
          <w:b/>
          <w:bCs/>
          <w:color w:val="0C1F35"/>
          <w:sz w:val="28"/>
          <w:szCs w:val="28"/>
        </w:rPr>
        <w:t xml:space="preserve">8. Version History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6926"/>
      </w:tblGrid>
      <w:tr>
        <w:tc>
          <w:tcPr>
            <w:tcW w:type="dxa" w:w="12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9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v1</w:t>
            </w:r>
          </w:p>
        </w:tc>
        <w:tc>
          <w:tcPr>
            <w:tcW w:type="dxa" w:w="9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Initial concept: React artifact using Anthropic API + PubMed MCP. Blocked by artifact sandbox network restrictions.</w:t>
            </w:r>
          </w:p>
        </w:tc>
      </w:tr>
      <w:tr>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v2</w:t>
            </w:r>
          </w:p>
        </w:tc>
        <w:tc>
          <w:tcPr>
            <w:tcW w:type="dxa" w:w="9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Switched to standalone HTML + direct PubMed E-utilities fetch. 7 topic lanes, basic article cards, localStorage persistence.</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v3</w:t>
            </w:r>
          </w:p>
        </w:tc>
        <w:tc>
          <w:tcPr>
            <w:tcW w:type="dxa" w:w="9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Added journal filter panel (30 journals, 5 groups), IF filter dropdown, 4 visual themes, unread count badges, 2024 JCR IF lookup (~25 entries).</w:t>
            </w:r>
          </w:p>
        </w:tc>
      </w:tr>
      <w:tr>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v4 (clean rebuild)</w:t>
            </w:r>
          </w:p>
        </w:tc>
        <w:tc>
          <w:tcPr>
            <w:tcW w:type="dxa" w:w="9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Security hardening: esc() HTML sanitiser, safeJSON(), clean(), event delegation. Correspondence flagging. Search audit panel with NCBI query translation and count display.</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v5</w:t>
            </w:r>
          </w:p>
        </w:tc>
        <w:tc>
          <w:tcPr>
            <w:tcW w:type="dxa" w:w="9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Major architecture update: 10 RACP curriculum domains, subdomain pill selectors with independent query cache. Journal View virtual tab. IF lookup expanded to ~100 entries. retmax 12 → 30.</w:t>
            </w:r>
          </w:p>
        </w:tc>
      </w:tr>
      <w:tr>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v5.1</w:t>
            </w:r>
          </w:p>
        </w:tc>
        <w:tc>
          <w:tcPr>
            <w:tcW w:type="dxa" w:w="9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IF lookup expanded to ~180 entries (BMC, MDPI, Frontiers, Springer series). Version badge in UI.</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v5.2</w:t>
            </w:r>
          </w:p>
        </w:tc>
        <w:tc>
          <w:tcPr>
            <w:tcW w:type="dxa" w:w="9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IF badge rendering fix: rgba() colours (replacing 8-digit hex alpha — inconsistent browser support). Added display:inline-block. retmax 30 → 50.</w:t>
            </w:r>
          </w:p>
        </w:tc>
      </w:tr>
      <w:tr>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v5.3</w:t>
            </w:r>
          </w:p>
        </w:tc>
        <w:tc>
          <w:tcPr>
            <w:tcW w:type="dxa" w:w="9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IF_MAP expanded to ~180 entries with additional endocrine journals. IF ? chip for unrecognised journals. ifBadge() accepts journal name parameter for fallback display.</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v5.4</w:t>
            </w:r>
          </w:p>
        </w:tc>
        <w:tc>
          <w:tcPr>
            <w:tcW w:type="dxa" w:w="9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May 2026</w:t>
            </w:r>
          </w:p>
        </w:tc>
        <w:tc>
          <w:tcPr>
            <w:tcW w:type="dxa" w:w="69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Comprehensive IF table rebuild: ~475 entries across 25 specialty tiers in IIFE pattern. Two-stage getIF() normalisation (dot removal, parenthetical stripping). Full-name aliases for all major journals. Cross-browser/iOS compatibility: Google Fonts removed — all fonts now system font stacks (no FOIT, no external request). iOS Safari crash fix: all ES2020 optional chaining (?.) replaced with ES5-compatible null guards — resolves complete JS failure on iOS Safari &lt; 13.4. Mobile panel fix: floating panels constrained with max-width: calc(100vw - 16px), audit panel no longer clips off-screen on narrow viewports. localStorage availability detection: STORAGE_OK probe on init, warning banner displayed in Private Mode or restricted storage contexts. iOS viewport fix: select elements get font-size: 16px on mobile to prevent iOS auto-zoom. -webkit-text-size-adjust: 100% added to body.</w:t>
            </w:r>
          </w:p>
        </w:tc>
      </w:tr>
    </w:tbl>
    <w:p>
      <w:pPr>
        <w:spacing w:after="0" w:before="80"/>
      </w:pPr>
      <w:r>
        <w:t xml:space="preserve"/>
      </w:r>
    </w:p>
    <w:p>
      <w:pPr>
        <w:pStyle w:val="Heading1"/>
        <w:spacing w:after="120" w:before="320"/>
      </w:pPr>
      <w:r>
        <w:rPr>
          <w:rFonts w:ascii="Arial" w:cs="Arial" w:eastAsia="Arial" w:hAnsi="Arial"/>
          <w:b/>
          <w:bCs/>
          <w:color w:val="0C1F35"/>
          <w:sz w:val="28"/>
          <w:szCs w:val="28"/>
        </w:rPr>
        <w:t xml:space="preserve">9. Future Development Roadmap</w:t>
      </w:r>
    </w:p>
    <w:p>
      <w:pPr>
        <w:pStyle w:val="Heading2"/>
        <w:spacing w:after="80" w:before="240"/>
      </w:pPr>
      <w:r>
        <w:rPr>
          <w:rFonts w:ascii="Arial" w:cs="Arial" w:eastAsia="Arial" w:hAnsi="Arial"/>
          <w:b/>
          <w:bCs/>
          <w:color w:val="1D6BB8"/>
          <w:sz w:val="24"/>
          <w:szCs w:val="24"/>
        </w:rPr>
        <w:t xml:space="preserve">Identified for next iteration</w:t>
      </w:r>
    </w:p>
    <w:p>
      <w:pPr>
        <w:spacing w:after="80" w:before="60"/>
      </w:pPr>
      <w:r>
        <w:rPr>
          <w:rFonts w:ascii="Arial" w:cs="Arial" w:eastAsia="Arial" w:hAnsi="Arial"/>
          <w:sz w:val="22"/>
          <w:szCs w:val="22"/>
        </w:rPr>
        <w:t xml:space="preserve">The following items have been identified during use and are prioritised for the next development session:</w:t>
      </w:r>
    </w:p>
    <w:p>
      <w:pPr>
        <w:pStyle w:val="ListParagraph"/>
        <w:numPr>
          <w:ilvl w:val="0"/>
          <w:numId w:val="2"/>
        </w:numPr>
        <w:spacing w:after="40" w:before="40"/>
      </w:pPr>
      <w:r>
        <w:rPr>
          <w:rFonts w:ascii="Arial" w:cs="Arial" w:eastAsia="Arial" w:hAnsi="Arial"/>
          <w:sz w:val="22"/>
          <w:szCs w:val="22"/>
        </w:rPr>
        <w:t xml:space="preserve">Save files — improved bookmark persistence; consider IndexedDB as a more robust alternative to localStorage for cross-session saving across Private Mode and local file contexts</w:t>
      </w:r>
    </w:p>
    <w:p>
      <w:pPr>
        <w:pStyle w:val="ListParagraph"/>
        <w:numPr>
          <w:ilvl w:val="0"/>
          <w:numId w:val="2"/>
        </w:numPr>
        <w:spacing w:after="40" w:before="40"/>
      </w:pPr>
      <w:r>
        <w:rPr>
          <w:rFonts w:ascii="Arial" w:cs="Arial" w:eastAsia="Arial" w:hAnsi="Arial"/>
          <w:sz w:val="22"/>
          <w:szCs w:val="22"/>
        </w:rPr>
        <w:t xml:space="preserve">Visual interface and contrast — systematic review of foreground/background contrast ratios across all four themes against WCAG AA standards; muted and faint colours in dark themes are currently near-invisible</w:t>
      </w:r>
    </w:p>
    <w:p>
      <w:pPr>
        <w:pStyle w:val="ListParagraph"/>
        <w:numPr>
          <w:ilvl w:val="0"/>
          <w:numId w:val="2"/>
        </w:numPr>
        <w:spacing w:after="40" w:before="40"/>
      </w:pPr>
      <w:r>
        <w:rPr>
          <w:rFonts w:ascii="Arial" w:cs="Arial" w:eastAsia="Arial" w:hAnsi="Arial"/>
          <w:sz w:val="22"/>
          <w:szCs w:val="22"/>
        </w:rPr>
        <w:t xml:space="preserve">Theme consolidation — rationalise to one well-calibrated dark theme and one well-calibrated light theme rather than four partially differentiated variants</w:t>
      </w:r>
    </w:p>
    <w:p>
      <w:pPr>
        <w:pStyle w:val="ListParagraph"/>
        <w:numPr>
          <w:ilvl w:val="0"/>
          <w:numId w:val="2"/>
        </w:numPr>
        <w:spacing w:after="40" w:before="40"/>
      </w:pPr>
      <w:r>
        <w:rPr>
          <w:rFonts w:ascii="Arial" w:cs="Arial" w:eastAsia="Arial" w:hAnsi="Arial"/>
          <w:sz w:val="22"/>
          <w:szCs w:val="22"/>
        </w:rPr>
        <w:t xml:space="preserve">Audit panel deep review — verify query coverage against PubMed's actual MeSH expansion for all 10 domains; cross-check subdomain query recall against known landmark trials; identify any domains where retmax=50 is routinely insufficient</w:t>
      </w:r>
    </w:p>
    <w:p>
      <w:pPr>
        <w:pStyle w:val="ListParagraph"/>
        <w:numPr>
          <w:ilvl w:val="0"/>
          <w:numId w:val="2"/>
        </w:numPr>
        <w:spacing w:after="40" w:before="40"/>
      </w:pPr>
      <w:r>
        <w:rPr>
          <w:rFonts w:ascii="Arial" w:cs="Arial" w:eastAsia="Arial" w:hAnsi="Arial"/>
          <w:sz w:val="22"/>
          <w:szCs w:val="22"/>
        </w:rPr>
        <w:t xml:space="preserve">Build-time validation — the static pre-flight checker (preflight-v5.4.py) is now available and should be run against every candidate build before release; integrate it as a mandatory gate (see Section 12)</w:t>
      </w:r>
    </w:p>
    <w:p>
      <w:pPr>
        <w:pStyle w:val="Heading2"/>
        <w:spacing w:after="80" w:before="240"/>
      </w:pPr>
      <w:r>
        <w:rPr>
          <w:rFonts w:ascii="Arial" w:cs="Arial" w:eastAsia="Arial" w:hAnsi="Arial"/>
          <w:b/>
          <w:bCs/>
          <w:color w:val="1D6BB8"/>
          <w:sz w:val="24"/>
          <w:szCs w:val="24"/>
        </w:rPr>
        <w:t xml:space="preserve">Near-term</w:t>
      </w:r>
    </w:p>
    <w:p>
      <w:pPr>
        <w:pStyle w:val="ListParagraph"/>
        <w:numPr>
          <w:ilvl w:val="0"/>
          <w:numId w:val="2"/>
        </w:numPr>
        <w:spacing w:after="40" w:before="40"/>
      </w:pPr>
      <w:r>
        <w:rPr>
          <w:rFonts w:ascii="Arial" w:cs="Arial" w:eastAsia="Arial" w:hAnsi="Arial"/>
          <w:sz w:val="22"/>
          <w:szCs w:val="22"/>
        </w:rPr>
        <w:t xml:space="preserve">NCBI API key support — user-configurable constant lifting rate limit from 3 to 10 requests/second</w:t>
      </w:r>
    </w:p>
    <w:p>
      <w:pPr>
        <w:pStyle w:val="ListParagraph"/>
        <w:numPr>
          <w:ilvl w:val="0"/>
          <w:numId w:val="2"/>
        </w:numPr>
        <w:spacing w:after="40" w:before="40"/>
      </w:pPr>
      <w:r>
        <w:rPr>
          <w:rFonts w:ascii="Arial" w:cs="Arial" w:eastAsia="Arial" w:hAnsi="Arial"/>
          <w:sz w:val="22"/>
          <w:szCs w:val="22"/>
        </w:rPr>
        <w:t xml:space="preserve">Abstract annotation — inline text notes on saved articles for CPD documentation</w:t>
      </w:r>
    </w:p>
    <w:p>
      <w:pPr>
        <w:pStyle w:val="ListParagraph"/>
        <w:numPr>
          <w:ilvl w:val="0"/>
          <w:numId w:val="2"/>
        </w:numPr>
        <w:spacing w:after="40" w:before="40"/>
      </w:pPr>
      <w:r>
        <w:rPr>
          <w:rFonts w:ascii="Arial" w:cs="Arial" w:eastAsia="Arial" w:hAnsi="Arial"/>
          <w:sz w:val="22"/>
          <w:szCs w:val="22"/>
        </w:rPr>
        <w:t xml:space="preserve">Export saved articles — formatted PDF or CSV for CPD portfolio; currently removed pending a more reliable implementation</w:t>
      </w:r>
    </w:p>
    <w:p>
      <w:pPr>
        <w:pStyle w:val="ListParagraph"/>
        <w:numPr>
          <w:ilvl w:val="0"/>
          <w:numId w:val="2"/>
        </w:numPr>
        <w:spacing w:after="40" w:before="40"/>
      </w:pPr>
      <w:r>
        <w:rPr>
          <w:rFonts w:ascii="Arial" w:cs="Arial" w:eastAsia="Arial" w:hAnsi="Arial"/>
          <w:sz w:val="22"/>
          <w:szCs w:val="22"/>
        </w:rPr>
        <w:t xml:space="preserve">Custom query lanes — user-defined topic lanes beyond the ten RACP domains</w:t>
      </w:r>
    </w:p>
    <w:p>
      <w:pPr>
        <w:pStyle w:val="Heading2"/>
        <w:spacing w:after="80" w:before="240"/>
      </w:pPr>
      <w:r>
        <w:rPr>
          <w:rFonts w:ascii="Arial" w:cs="Arial" w:eastAsia="Arial" w:hAnsi="Arial"/>
          <w:b/>
          <w:bCs/>
          <w:color w:val="1D6BB8"/>
          <w:sz w:val="24"/>
          <w:szCs w:val="24"/>
        </w:rPr>
        <w:t xml:space="preserve">Longer-term considerations</w:t>
      </w:r>
    </w:p>
    <w:p>
      <w:pPr>
        <w:pStyle w:val="ListParagraph"/>
        <w:numPr>
          <w:ilvl w:val="0"/>
          <w:numId w:val="2"/>
        </w:numPr>
        <w:spacing w:after="40" w:before="40"/>
      </w:pPr>
      <w:r>
        <w:rPr>
          <w:rFonts w:ascii="Arial" w:cs="Arial" w:eastAsia="Arial" w:hAnsi="Arial"/>
          <w:sz w:val="22"/>
          <w:szCs w:val="22"/>
        </w:rPr>
        <w:t xml:space="preserve">SJR integration — Scimago Journal Rank free annual downloads (~27,000 journals) replacing curated 475-entry IF table</w:t>
      </w:r>
    </w:p>
    <w:p>
      <w:pPr>
        <w:pStyle w:val="ListParagraph"/>
        <w:numPr>
          <w:ilvl w:val="0"/>
          <w:numId w:val="2"/>
        </w:numPr>
        <w:spacing w:after="40" w:before="40"/>
      </w:pPr>
      <w:r>
        <w:rPr>
          <w:rFonts w:ascii="Arial" w:cs="Arial" w:eastAsia="Arial" w:hAnsi="Arial"/>
          <w:sz w:val="22"/>
          <w:szCs w:val="22"/>
        </w:rPr>
        <w:t xml:space="preserve">Full-text integration — Europe PMC and PubMed Central open-access full text</w:t>
      </w:r>
    </w:p>
    <w:p>
      <w:pPr>
        <w:pStyle w:val="ListParagraph"/>
        <w:numPr>
          <w:ilvl w:val="0"/>
          <w:numId w:val="2"/>
        </w:numPr>
        <w:spacing w:after="40" w:before="40"/>
      </w:pPr>
      <w:r>
        <w:rPr>
          <w:rFonts w:ascii="Arial" w:cs="Arial" w:eastAsia="Arial" w:hAnsi="Arial"/>
          <w:sz w:val="22"/>
          <w:szCs w:val="22"/>
        </w:rPr>
        <w:t xml:space="preserve">Email delivery — companion Python script with cron job for weekly inbox delivery</w:t>
      </w:r>
    </w:p>
    <w:p>
      <w:pPr>
        <w:pStyle w:val="Heading1"/>
        <w:spacing w:after="120" w:before="320"/>
      </w:pPr>
      <w:r>
        <w:rPr>
          <w:rFonts w:ascii="Arial" w:cs="Arial" w:eastAsia="Arial" w:hAnsi="Arial"/>
          <w:b/>
          <w:bCs/>
          <w:color w:val="0C1F35"/>
          <w:sz w:val="28"/>
          <w:szCs w:val="28"/>
        </w:rPr>
        <w:t xml:space="preserve">10. Technical Reference</w:t>
      </w:r>
    </w:p>
    <w:p>
      <w:pPr>
        <w:pStyle w:val="Heading2"/>
        <w:spacing w:after="80" w:before="240"/>
      </w:pPr>
      <w:r>
        <w:rPr>
          <w:rFonts w:ascii="Arial" w:cs="Arial" w:eastAsia="Arial" w:hAnsi="Arial"/>
          <w:b/>
          <w:bCs/>
          <w:color w:val="1D6BB8"/>
          <w:sz w:val="24"/>
          <w:szCs w:val="24"/>
        </w:rPr>
        <w:t xml:space="preserve">Dependencies &amp; requirements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8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Version/Source</w:t>
            </w:r>
          </w:p>
        </w:tc>
        <w:tc>
          <w:tcPr>
            <w:tcW w:type="dxa" w:w="42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Web browser</w:t>
            </w:r>
          </w:p>
        </w:tc>
        <w:tc>
          <w:tcPr>
            <w:tcW w:type="dxa" w:w="2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Chrome 80+, Firefox 74+, Safari 13.1+, iOS Safari 13.x+, Edge 80+</w:t>
            </w:r>
          </w:p>
        </w:tc>
        <w:tc>
          <w:tcPr>
            <w:tcW w:type="dxa" w:w="42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ES5-compatible JS; fetch API; DOMParser; CSS custom properties; localStorage</w:t>
            </w:r>
          </w:p>
        </w:tc>
      </w:tr>
      <w:tr>
        <w:tc>
          <w:tcPr>
            <w:tcW w:type="dxa" w:w="2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Internet connection</w:t>
            </w:r>
          </w:p>
        </w:tc>
        <w:tc>
          <w:tcPr>
            <w:tcW w:type="dxa" w:w="2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Required for initial fetch</w:t>
            </w:r>
          </w:p>
        </w:tc>
        <w:tc>
          <w:tcPr>
            <w:tcW w:type="dxa" w:w="42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Cached topics work offline for 6 hours. No external font CDN required.</w:t>
            </w:r>
          </w:p>
        </w:tc>
      </w:tr>
      <w:tr>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PubMed E-utilities</w:t>
            </w:r>
          </w:p>
        </w:tc>
        <w:tc>
          <w:tcPr>
            <w:tcW w:type="dxa" w:w="2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NCBI free public API</w:t>
            </w:r>
          </w:p>
        </w:tc>
        <w:tc>
          <w:tcPr>
            <w:tcW w:type="dxa" w:w="42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esearch.fcgi and efetch.fcgi. No authentication. CORS: Access-Control-Allow-Origin: *</w:t>
            </w:r>
          </w:p>
        </w:tc>
      </w:tr>
      <w:tr>
        <w:tc>
          <w:tcPr>
            <w:tcW w:type="dxa" w:w="2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External fonts</w:t>
            </w:r>
          </w:p>
        </w:tc>
        <w:tc>
          <w:tcPr>
            <w:tcW w:type="dxa" w:w="28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None</w:t>
            </w:r>
          </w:p>
        </w:tc>
        <w:tc>
          <w:tcPr>
            <w:tcW w:type="dxa" w:w="42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System font stacks: Georgia/Times (serif), ui-monospace/SF Mono/Menlo (mono), system-ui/-apple-system (sans)</w:t>
            </w:r>
          </w:p>
        </w:tc>
      </w:tr>
      <w:tr>
        <w:tc>
          <w:tcPr>
            <w:tcW w:type="dxa" w:w="2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No server required</w:t>
            </w:r>
          </w:p>
        </w:tc>
        <w:tc>
          <w:tcPr>
            <w:tcW w:type="dxa" w:w="28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42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file:// protocol works. Can be served from any web server or network share.</w:t>
            </w:r>
          </w:p>
        </w:tc>
      </w:tr>
    </w:tbl>
    <w:p>
      <w:pPr>
        <w:spacing w:after="0" w:before="80"/>
      </w:pPr>
      <w:r>
        <w:t xml:space="preserve"/>
      </w:r>
    </w:p>
    <w:p>
      <w:pPr>
        <w:pStyle w:val="Heading2"/>
        <w:spacing w:after="80" w:before="240"/>
      </w:pPr>
      <w:r>
        <w:rPr>
          <w:rFonts w:ascii="Arial" w:cs="Arial" w:eastAsia="Arial" w:hAnsi="Arial"/>
          <w:b/>
          <w:bCs/>
          <w:color w:val="1D6BB8"/>
          <w:sz w:val="24"/>
          <w:szCs w:val="24"/>
        </w:rPr>
        <w:t xml:space="preserve">Key JavaScript functions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0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loadTopic(id, force)</w:t>
            </w:r>
          </w:p>
        </w:tc>
        <w:tc>
          <w:tcPr>
            <w:tcW w:type="dxa" w:w="6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Checks cache, queries PubMed (esearch + efetch), stores result, triggers render. Force=true bypasses cache.</w:t>
            </w:r>
          </w:p>
        </w:tc>
      </w:tr>
      <w:tr>
        <w:tc>
          <w:tcPr>
            <w:tcW w:type="dxa" w:w="3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getActiveQuery(id)</w:t>
            </w:r>
          </w:p>
        </w:tc>
        <w:tc>
          <w:tcPr>
            <w:tcW w:type="dxa" w:w="6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Returns subdomain query if a pill is selected, otherwise broad domain query.</w:t>
            </w:r>
          </w:p>
        </w:tc>
      </w:tr>
      <w:tr>
        <w:tc>
          <w:tcPr>
            <w:tcW w:type="dxa" w:w="3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pmSearch(query, days, study, jFilter)</w:t>
            </w:r>
          </w:p>
        </w:tc>
        <w:tc>
          <w:tcPr>
            <w:tcW w:type="dxa" w:w="6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Constructs and fires esearch URL. Returns {idlist, count, querytranslation}.</w:t>
            </w:r>
          </w:p>
        </w:tc>
      </w:tr>
      <w:tr>
        <w:tc>
          <w:tcPr>
            <w:tcW w:type="dxa" w:w="3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pmFetch(ids)</w:t>
            </w:r>
          </w:p>
        </w:tc>
        <w:tc>
          <w:tcPr>
            <w:tcW w:type="dxa" w:w="6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Fires efetch for an array of PMIDs. Returns parsed article array.</w:t>
            </w:r>
          </w:p>
        </w:tc>
      </w:tr>
      <w:tr>
        <w:tc>
          <w:tcPr>
            <w:tcW w:type="dxa" w:w="3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parseXML(xml)</w:t>
            </w:r>
          </w:p>
        </w:tc>
        <w:tc>
          <w:tcPr>
            <w:tcW w:type="dxa" w:w="6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Parses PubMed efetch XML via DOMParser. ES5-compatible — no optional chaining.</w:t>
            </w:r>
          </w:p>
        </w:tc>
      </w:tr>
      <w:tr>
        <w:tc>
          <w:tcPr>
            <w:tcW w:type="dxa" w:w="3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safeJSON(str)</w:t>
            </w:r>
          </w:p>
        </w:tc>
        <w:tc>
          <w:tcPr>
            <w:tcW w:type="dxa" w:w="6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Two-pass JSON parser: fast path, then char-by-char scrub. Returns null on failure.</w:t>
            </w:r>
          </w:p>
        </w:tc>
      </w:tr>
      <w:tr>
        <w:tc>
          <w:tcPr>
            <w:tcW w:type="dxa" w:w="3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clean(s)</w:t>
            </w:r>
          </w:p>
        </w:tc>
        <w:tc>
          <w:tcPr>
            <w:tcW w:type="dxa" w:w="6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Filters illegal JSON string codepoints using Array.from() for astral-plane safety.</w:t>
            </w:r>
          </w:p>
        </w:tc>
      </w:tr>
      <w:tr>
        <w:tc>
          <w:tcPr>
            <w:tcW w:type="dxa" w:w="3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esc(s)</w:t>
            </w:r>
          </w:p>
        </w:tc>
        <w:tc>
          <w:tcPr>
            <w:tcW w:type="dxa" w:w="6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HTML-escapes &amp;, &lt;, &gt;, ", ' for safe innerHTML insertion.</w:t>
            </w:r>
          </w:p>
        </w:tc>
      </w:tr>
      <w:tr>
        <w:tc>
          <w:tcPr>
            <w:tcW w:type="dxa" w:w="3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getIF(journal)</w:t>
            </w:r>
          </w:p>
        </w:tc>
        <w:tc>
          <w:tcPr>
            <w:tcW w:type="dxa" w:w="6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Two-stage normalisation: dot removal + whitespace collapse, then parenthetical stripping. Looks up IF_MAP.</w:t>
            </w:r>
          </w:p>
        </w:tc>
      </w:tr>
      <w:tr>
        <w:tc>
          <w:tcPr>
            <w:tcW w:type="dxa" w:w="3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ifBadge(v, journal)</w:t>
            </w:r>
          </w:p>
        </w:tc>
        <w:tc>
          <w:tcPr>
            <w:tcW w:type="dxa" w:w="6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Returns colour-coded IF badge HTML using rgba() colours. Returns IF? chip for unrecognised journals.</w:t>
            </w:r>
          </w:p>
        </w:tc>
      </w:tr>
      <w:tr>
        <w:tc>
          <w:tcPr>
            <w:tcW w:type="dxa" w:w="30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buildAudit()</w:t>
            </w:r>
          </w:p>
        </w:tc>
        <w:tc>
          <w:tcPr>
            <w:tcW w:type="dxa" w:w="60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Renders audit panel showing count, query translation, subdomain label, and Verify link for each topic.</w:t>
            </w:r>
          </w:p>
        </w:tc>
      </w:tr>
      <w:tr>
        <w:tc>
          <w:tcPr>
            <w:tcW w:type="dxa" w:w="30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cKey(id)</w:t>
            </w:r>
          </w:p>
        </w:tc>
        <w:tc>
          <w:tcPr>
            <w:tcW w:type="dxa" w:w="60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Cache key: topic id + subdomain index + date range + study filter + journal selection.</w:t>
            </w:r>
          </w:p>
        </w:tc>
      </w:tr>
    </w:tbl>
    <w:p>
      <w:pPr>
        <w:spacing w:after="0" w:before="80"/>
      </w:pPr>
      <w:r>
        <w:t xml:space="preserve"/>
      </w:r>
    </w:p>
    <w:p>
      <w:pPr>
        <w:pStyle w:val="Heading2"/>
        <w:spacing w:after="80" w:before="240"/>
      </w:pPr>
      <w:r>
        <w:rPr>
          <w:rFonts w:ascii="Arial" w:cs="Arial" w:eastAsia="Arial" w:hAnsi="Arial"/>
          <w:b/>
          <w:bCs/>
          <w:color w:val="1D6BB8"/>
          <w:sz w:val="24"/>
          <w:szCs w:val="24"/>
        </w:rPr>
        <w:t xml:space="preserve">localStorage keys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626"/>
            <w:tcBorders>
              <w:top w:val="single" w:color="C0CED8" w:sz="1"/>
              <w:left w:val="single" w:color="C0CED8" w:sz="1"/>
              <w:bottom w:val="single" w:color="C0CED8" w:sz="1"/>
              <w:right w:val="single" w:color="C0CED8" w:sz="1"/>
            </w:tcBorders>
            <w:shd w:fill="1D6BB8"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e_bm</w:t>
            </w:r>
          </w:p>
        </w:tc>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Array</w:t>
            </w:r>
          </w:p>
        </w:tc>
        <w:tc>
          <w:tcPr>
            <w:tcW w:type="dxa" w:w="66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Saved article PMIDs (bookmarks)</w:t>
            </w:r>
          </w:p>
        </w:tc>
      </w:tr>
      <w:tr>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e_rd</w:t>
            </w:r>
          </w:p>
        </w:tc>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Array</w:t>
            </w:r>
          </w:p>
        </w:tc>
        <w:tc>
          <w:tcPr>
            <w:tcW w:type="dxa" w:w="66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Read article PMIDs</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e_jf</w:t>
            </w:r>
          </w:p>
        </w:tc>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Array</w:t>
            </w:r>
          </w:p>
        </w:tc>
        <w:tc>
          <w:tcPr>
            <w:tcW w:type="dxa" w:w="66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Selected journal ta strings (journal filter)</w:t>
            </w:r>
          </w:p>
        </w:tc>
      </w:tr>
      <w:tr>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e_th</w:t>
            </w:r>
          </w:p>
        </w:tc>
        <w:tc>
          <w:tcPr>
            <w:tcW w:type="dxa" w:w="1200"/>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String</w:t>
            </w:r>
          </w:p>
        </w:tc>
        <w:tc>
          <w:tcPr>
            <w:tcW w:type="dxa" w:w="6626"/>
            <w:tcBorders>
              <w:top w:val="single" w:color="C0CED8" w:sz="1"/>
              <w:left w:val="single" w:color="C0CED8" w:sz="1"/>
              <w:bottom w:val="single" w:color="C0CED8" w:sz="1"/>
              <w:right w:val="single" w:color="C0CED8" w:sz="1"/>
            </w:tcBorders>
            <w:shd w:fill="F4F7FC" w:val="clear"/>
            <w:tcMar>
              <w:top w:type="dxa" w:w="60"/>
              <w:left w:type="dxa" w:w="120"/>
              <w:bottom w:type="dxa" w:w="60"/>
              <w:right w:type="dxa" w:w="120"/>
            </w:tcMar>
          </w:tcPr>
          <w:p>
            <w:r>
              <w:rPr>
                <w:rFonts w:ascii="Arial" w:cs="Arial" w:eastAsia="Arial" w:hAnsi="Arial"/>
                <w:sz w:val="19"/>
                <w:szCs w:val="19"/>
              </w:rPr>
              <w:t xml:space="preserve">Active theme name (midnight / clinical / slate / amber)</w:t>
            </w:r>
          </w:p>
        </w:tc>
      </w:tr>
      <w:tr>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e_ss</w:t>
            </w:r>
          </w:p>
        </w:tc>
        <w:tc>
          <w:tcPr>
            <w:tcW w:type="dxa" w:w="1200"/>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Object</w:t>
            </w:r>
          </w:p>
        </w:tc>
        <w:tc>
          <w:tcPr>
            <w:tcW w:type="dxa" w:w="6626"/>
            <w:tcBorders>
              <w:top w:val="single" w:color="C0CED8" w:sz="1"/>
              <w:left w:val="single" w:color="C0CED8" w:sz="1"/>
              <w:bottom w:val="single" w:color="C0CED8" w:sz="1"/>
              <w:right w:val="single" w:color="C0CED8" w:sz="1"/>
            </w:tcBorders>
            <w:shd w:fill="FFFFFF" w:val="clear"/>
            <w:tcMar>
              <w:top w:type="dxa" w:w="60"/>
              <w:left w:type="dxa" w:w="120"/>
              <w:bottom w:type="dxa" w:w="60"/>
              <w:right w:type="dxa" w:w="120"/>
            </w:tcMar>
          </w:tcPr>
          <w:p>
            <w:r>
              <w:rPr>
                <w:rFonts w:ascii="Arial" w:cs="Arial" w:eastAsia="Arial" w:hAnsi="Arial"/>
                <w:sz w:val="19"/>
                <w:szCs w:val="19"/>
              </w:rPr>
              <w:t xml:space="preserve">Subdomain selection state: { topicId: subdomainIndex | null }</w:t>
            </w:r>
          </w:p>
        </w:tc>
      </w:tr>
    </w:tbl>
    <w:p>
      <w:pPr>
        <w:spacing w:after="0" w:before="80"/>
      </w:pPr>
      <w:r>
        <w:t xml:space="preserve"/>
      </w:r>
    </w:p>
    <w:p>
      <w:pPr>
        <w:pStyle w:val="Heading1"/>
        <w:spacing w:after="120" w:before="320"/>
      </w:pPr>
      <w:r>
        <w:rPr>
          <w:rFonts w:ascii="Arial" w:cs="Arial" w:eastAsia="Arial" w:hAnsi="Arial"/>
          <w:b/>
          <w:bCs/>
          <w:color w:val="0C1F35"/>
          <w:sz w:val="28"/>
          <w:szCs w:val="28"/>
        </w:rPr>
        <w:t xml:space="preserve">11. Recapitulation Guide</w:t>
      </w:r>
    </w:p>
    <w:p>
      <w:pPr>
        <w:spacing w:after="80" w:before="60"/>
      </w:pPr>
      <w:r>
        <w:rPr>
          <w:rFonts w:ascii="Arial" w:cs="Arial" w:eastAsia="Arial" w:hAnsi="Arial"/>
          <w:sz w:val="22"/>
          <w:szCs w:val="22"/>
        </w:rPr>
        <w:t xml:space="preserve">This section provides sufficient information to recreate the application from scratch if the HTML file is lost.</w:t>
      </w:r>
    </w:p>
    <w:p>
      <w:pPr>
        <w:pStyle w:val="Heading2"/>
        <w:spacing w:after="80" w:before="240"/>
      </w:pPr>
      <w:r>
        <w:rPr>
          <w:rFonts w:ascii="Arial" w:cs="Arial" w:eastAsia="Arial" w:hAnsi="Arial"/>
          <w:b/>
          <w:bCs/>
          <w:color w:val="1D6BB8"/>
          <w:sz w:val="24"/>
          <w:szCs w:val="24"/>
        </w:rPr>
        <w:t xml:space="preserve">Minimum viable recreation</w:t>
      </w:r>
    </w:p>
    <w:p>
      <w:pPr>
        <w:pStyle w:val="ListParagraph"/>
        <w:numPr>
          <w:ilvl w:val="0"/>
          <w:numId w:val="2"/>
        </w:numPr>
        <w:spacing w:after="40" w:before="40"/>
      </w:pPr>
      <w:r>
        <w:rPr>
          <w:rFonts w:ascii="Arial" w:cs="Arial" w:eastAsia="Arial" w:hAnsi="Arial"/>
          <w:sz w:val="22"/>
          <w:szCs w:val="22"/>
        </w:rPr>
        <w:t xml:space="preserve">A TOPICS array of 10 objects, each with: id, section (core/spec), color, label, short, query (broad PubMed query), subdomains (array of {label, query} objects). Queries must use PubMed E-utilities syntax (MeSH [MH], title/abstract [tiab], publication type [pt]).</w:t>
      </w:r>
    </w:p>
    <w:p>
      <w:pPr>
        <w:pStyle w:val="ListParagraph"/>
        <w:numPr>
          <w:ilvl w:val="0"/>
          <w:numId w:val="2"/>
        </w:numPr>
        <w:spacing w:after="40" w:before="40"/>
      </w:pPr>
      <w:r>
        <w:rPr>
          <w:rFonts w:ascii="Arial" w:cs="Arial" w:eastAsia="Arial" w:hAnsi="Arial"/>
          <w:sz w:val="22"/>
          <w:szCs w:val="22"/>
        </w:rPr>
        <w:t xml:space="preserve">A JOURNAL_GROUPS array for the journal filter panel, with each entry having name, ta (PubMed title abbreviation), and if (impact factor).</w:t>
      </w:r>
    </w:p>
    <w:p>
      <w:pPr>
        <w:pStyle w:val="ListParagraph"/>
        <w:numPr>
          <w:ilvl w:val="0"/>
          <w:numId w:val="2"/>
        </w:numPr>
        <w:spacing w:after="40" w:before="40"/>
      </w:pPr>
      <w:r>
        <w:rPr>
          <w:rFonts w:ascii="Arial" w:cs="Arial" w:eastAsia="Arial" w:hAnsi="Arial"/>
          <w:sz w:val="22"/>
          <w:szCs w:val="22"/>
        </w:rPr>
        <w:t xml:space="preserve">An IF_MAP object keyed by lowercase PubMed ISOAbbreviation, with approximately 475 entries.</w:t>
      </w:r>
    </w:p>
    <w:p>
      <w:pPr>
        <w:pStyle w:val="ListParagraph"/>
        <w:numPr>
          <w:ilvl w:val="0"/>
          <w:numId w:val="2"/>
        </w:numPr>
        <w:spacing w:after="40" w:before="40"/>
      </w:pPr>
      <w:r>
        <w:rPr>
          <w:rFonts w:ascii="Arial" w:cs="Arial" w:eastAsia="Arial" w:hAnsi="Arial"/>
          <w:sz w:val="22"/>
          <w:szCs w:val="22"/>
        </w:rPr>
        <w:t xml:space="preserve">The pmSearch() and pmFetch() functions targeting NCBI E-utilities. Key parameters: reldate, datetype=pdat, retmax=50, retmode=json (esearch) and rettype=abstract, retmode=xml (efetch).</w:t>
      </w:r>
    </w:p>
    <w:p>
      <w:pPr>
        <w:pStyle w:val="ListParagraph"/>
        <w:numPr>
          <w:ilvl w:val="0"/>
          <w:numId w:val="2"/>
        </w:numPr>
        <w:spacing w:after="40" w:before="40"/>
      </w:pPr>
      <w:r>
        <w:rPr>
          <w:rFonts w:ascii="Arial" w:cs="Arial" w:eastAsia="Arial" w:hAnsi="Arial"/>
          <w:sz w:val="22"/>
          <w:szCs w:val="22"/>
        </w:rPr>
        <w:t xml:space="preserve">The parseXML() function using DOMParser to extract PubMed XML fields. Written in ES5-compatible syntax — no optional chaining operators.</w:t>
      </w:r>
    </w:p>
    <w:p>
      <w:pPr>
        <w:pStyle w:val="ListParagraph"/>
        <w:numPr>
          <w:ilvl w:val="0"/>
          <w:numId w:val="2"/>
        </w:numPr>
        <w:spacing w:after="40" w:before="40"/>
      </w:pPr>
      <w:r>
        <w:rPr>
          <w:rFonts w:ascii="Arial" w:cs="Arial" w:eastAsia="Arial" w:hAnsi="Arial"/>
          <w:sz w:val="22"/>
          <w:szCs w:val="22"/>
        </w:rPr>
        <w:t xml:space="preserve">HTML-escaping and control character sanitisation on all PubMed-sourced strings before DOM insertion or localStorage storage.</w:t>
      </w:r>
    </w:p>
    <w:p>
      <w:pPr>
        <w:pStyle w:val="ListParagraph"/>
        <w:numPr>
          <w:ilvl w:val="0"/>
          <w:numId w:val="2"/>
        </w:numPr>
        <w:spacing w:after="40" w:before="40"/>
      </w:pPr>
      <w:r>
        <w:rPr>
          <w:rFonts w:ascii="Arial" w:cs="Arial" w:eastAsia="Arial" w:hAnsi="Arial"/>
          <w:sz w:val="22"/>
          <w:szCs w:val="22"/>
        </w:rPr>
        <w:t xml:space="preserve">A CSS theme system using custom properties (CSS variables) with a data-theme attribute on &lt;html&gt; for theme switching. Font families as CSS custom properties (--ff-serif, --ff-mono, --ff-sans) using system font stacks only.</w:t>
      </w:r>
    </w:p>
    <w:p>
      <w:pPr>
        <w:pStyle w:val="ListParagraph"/>
        <w:numPr>
          <w:ilvl w:val="0"/>
          <w:numId w:val="2"/>
        </w:numPr>
        <w:spacing w:after="40" w:before="40"/>
      </w:pPr>
      <w:r>
        <w:rPr>
          <w:rFonts w:ascii="Arial" w:cs="Arial" w:eastAsia="Arial" w:hAnsi="Arial"/>
          <w:sz w:val="22"/>
          <w:szCs w:val="22"/>
        </w:rPr>
        <w:t xml:space="preserve">Event delegation via a single click listener on the content container, reading data-action and data-pmid attributes. No inline onclick handlers on dynamically generated content.</w:t>
      </w:r>
    </w:p>
    <w:p>
      <w:pPr>
        <w:pStyle w:val="ListParagraph"/>
        <w:numPr>
          <w:ilvl w:val="0"/>
          <w:numId w:val="2"/>
        </w:numPr>
        <w:spacing w:after="40" w:before="40"/>
      </w:pPr>
      <w:r>
        <w:rPr>
          <w:rFonts w:ascii="Arial" w:cs="Arial" w:eastAsia="Arial" w:hAnsi="Arial"/>
          <w:sz w:val="22"/>
          <w:szCs w:val="22"/>
        </w:rPr>
        <w:t xml:space="preserve">STORAGE_OK probe on init: try/catch localStorage.setItem test. Display warning banner if storage is unavailable.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ED8" w:sz="1"/>
              <w:left w:val="single" w:color="C0CED8" w:sz="1"/>
              <w:bottom w:val="single" w:color="C0CED8" w:sz="1"/>
              <w:right w:val="single" w:color="C0CED8" w:sz="1"/>
            </w:tcBorders>
            <w:shd w:fill="D5E8F0" w:val="clear"/>
            <w:tcMar>
              <w:top w:type="dxa" w:w="100"/>
              <w:left w:type="dxa" w:w="160"/>
              <w:bottom w:type="dxa" w:w="100"/>
              <w:right w:type="dxa" w:w="160"/>
            </w:tcMar>
          </w:tcPr>
          <w:p>
            <w:pPr>
              <w:spacing w:after="40" w:before="40"/>
            </w:pPr>
            <w:r>
              <w:rPr>
                <w:rFonts w:ascii="Arial" w:cs="Arial" w:eastAsia="Arial" w:hAnsi="Arial"/>
                <w:i/>
                <w:iCs/>
                <w:color w:val="0C1F35"/>
                <w:sz w:val="20"/>
                <w:szCs w:val="20"/>
              </w:rPr>
              <w:t xml:space="preserve">Companion document: The query reference document (endo-digest-queries.html) contains the full PubMed query strings for all 10 domains and 50+ subdomains, with source citations, NCBI query translation examples, and direct PubMed test links.</w:t>
            </w:r>
          </w:p>
        </w:tc>
      </w:tr>
    </w:tbl>
    <w:p>
      <w:pPr>
        <w:spacing w:after="0" w:before="80"/>
      </w:pPr>
      <w:r>
        <w:t xml:space="preserve"/>
      </w:r>
    </w:p>
    <w:p>
      <w:pPr>
        <w:pStyle w:val="Heading2"/>
        <w:spacing w:after="80" w:before="240"/>
      </w:pPr>
      <w:r>
        <w:rPr>
          <w:rFonts w:ascii="Arial" w:cs="Arial" w:eastAsia="Arial" w:hAnsi="Arial"/>
          <w:b/>
          <w:bCs/>
          <w:color w:val="1D6BB8"/>
          <w:sz w:val="24"/>
          <w:szCs w:val="24"/>
        </w:rPr>
        <w:t xml:space="preserve">Key design decisions to preserve</w:t>
      </w:r>
    </w:p>
    <w:p>
      <w:pPr>
        <w:pStyle w:val="ListParagraph"/>
        <w:numPr>
          <w:ilvl w:val="0"/>
          <w:numId w:val="2"/>
        </w:numPr>
        <w:spacing w:after="40" w:before="40"/>
      </w:pPr>
      <w:r>
        <w:rPr>
          <w:rFonts w:ascii="Arial" w:cs="Arial" w:eastAsia="Arial" w:hAnsi="Arial"/>
          <w:sz w:val="22"/>
          <w:szCs w:val="22"/>
        </w:rPr>
        <w:t xml:space="preserve">The IF filter is applied post-fetch (client-side), not pre-fetch. The filter never reduces API load but avoids re-querying PubMed when the filter changes.</w:t>
      </w:r>
    </w:p>
    <w:p>
      <w:pPr>
        <w:pStyle w:val="ListParagraph"/>
        <w:numPr>
          <w:ilvl w:val="0"/>
          <w:numId w:val="2"/>
        </w:numPr>
        <w:spacing w:after="40" w:before="40"/>
      </w:pPr>
      <w:r>
        <w:rPr>
          <w:rFonts w:ascii="Arial" w:cs="Arial" w:eastAsia="Arial" w:hAnsi="Arial"/>
          <w:sz w:val="22"/>
          <w:szCs w:val="22"/>
        </w:rPr>
        <w:t xml:space="preserve">Correspondence items are identified from PubMed PublicationType field, not from title keyword matching.</w:t>
      </w:r>
    </w:p>
    <w:p>
      <w:pPr>
        <w:pStyle w:val="ListParagraph"/>
        <w:numPr>
          <w:ilvl w:val="0"/>
          <w:numId w:val="2"/>
        </w:numPr>
        <w:spacing w:after="40" w:before="40"/>
      </w:pPr>
      <w:r>
        <w:rPr>
          <w:rFonts w:ascii="Arial" w:cs="Arial" w:eastAsia="Arial" w:hAnsi="Arial"/>
          <w:sz w:val="22"/>
          <w:szCs w:val="22"/>
        </w:rPr>
        <w:t xml:space="preserve">The cache key must include the subdomain index, otherwise switching subdomains will erroneously return cached results from the broad domain query.</w:t>
      </w:r>
    </w:p>
    <w:p>
      <w:pPr>
        <w:pStyle w:val="ListParagraph"/>
        <w:numPr>
          <w:ilvl w:val="0"/>
          <w:numId w:val="2"/>
        </w:numPr>
        <w:spacing w:after="40" w:before="40"/>
      </w:pPr>
      <w:r>
        <w:rPr>
          <w:rFonts w:ascii="Arial" w:cs="Arial" w:eastAsia="Arial" w:hAnsi="Arial"/>
          <w:sz w:val="22"/>
          <w:szCs w:val="22"/>
        </w:rPr>
        <w:t xml:space="preserve">The esearch response includes querytranslation and count. Both should be stored in the cache audit object for display in the audit panel.</w:t>
      </w:r>
    </w:p>
    <w:p>
      <w:pPr>
        <w:pStyle w:val="ListParagraph"/>
        <w:numPr>
          <w:ilvl w:val="0"/>
          <w:numId w:val="2"/>
        </w:numPr>
        <w:spacing w:after="40" w:before="40"/>
      </w:pPr>
      <w:r>
        <w:rPr>
          <w:rFonts w:ascii="Arial" w:cs="Arial" w:eastAsia="Arial" w:hAnsi="Arial"/>
          <w:sz w:val="22"/>
          <w:szCs w:val="22"/>
        </w:rPr>
        <w:t xml:space="preserve">The IF badge renders with display:inline-block and rgba() colours — not 8-digit hex alpha (inconsistent browser support).</w:t>
      </w:r>
    </w:p>
    <w:p>
      <w:pPr>
        <w:pStyle w:val="ListParagraph"/>
        <w:numPr>
          <w:ilvl w:val="0"/>
          <w:numId w:val="2"/>
        </w:numPr>
        <w:spacing w:after="40" w:before="40"/>
      </w:pPr>
      <w:r>
        <w:rPr>
          <w:rFonts w:ascii="Arial" w:cs="Arial" w:eastAsia="Arial" w:hAnsi="Arial"/>
          <w:sz w:val="22"/>
          <w:szCs w:val="22"/>
        </w:rPr>
        <w:t xml:space="preserve">The Journal View tab is a virtual topic that only appears when selJournals.size &gt; 0. It is not in the TOPICS array but uses a separate JOURNAL_VIEW_TOPIC constant.</w:t>
      </w:r>
    </w:p>
    <w:p>
      <w:pPr>
        <w:pStyle w:val="ListParagraph"/>
        <w:numPr>
          <w:ilvl w:val="0"/>
          <w:numId w:val="2"/>
        </w:numPr>
        <w:spacing w:after="40" w:before="40"/>
      </w:pPr>
      <w:r>
        <w:rPr>
          <w:rFonts w:ascii="Arial" w:cs="Arial" w:eastAsia="Arial" w:hAnsi="Arial"/>
          <w:sz w:val="22"/>
          <w:szCs w:val="22"/>
        </w:rPr>
        <w:t xml:space="preserve">No optional chaining (?.) or nullish coalescing (??) operators — use explicit &amp;&amp; null guards for iOS Safari &lt; 13.4 compatibility.</w:t>
      </w:r>
    </w:p>
    <w:p>
      <w:pPr>
        <w:pStyle w:val="ListParagraph"/>
        <w:numPr>
          <w:ilvl w:val="0"/>
          <w:numId w:val="2"/>
        </w:numPr>
        <w:spacing w:after="40" w:before="40"/>
      </w:pPr>
      <w:r>
        <w:rPr>
          <w:rFonts w:ascii="Arial" w:cs="Arial" w:eastAsia="Arial" w:hAnsi="Arial"/>
          <w:sz w:val="22"/>
          <w:szCs w:val="22"/>
        </w:rPr>
        <w:t xml:space="preserve">All floating panels must have max-width: calc(100vw - 16px) to prevent overflow on narrow mobile viewports.</w:t>
      </w:r>
    </w:p>
    <w:p>
      <w:pPr>
        <w:spacing w:after="0" w:before="80"/>
      </w:pPr>
      <w:r>
        <w:t xml:space="preserve"/>
      </w:r>
    </w:p>
    <w:p>
      <w:pPr>
        <w:pStyle w:val="Heading1"/>
        <w:spacing w:after="120" w:before="360"/>
        <w:pBdr>
          <w:bottom w:val="single" w:color="1D6BB8" w:sz="4" w:space="4"/>
        </w:pBdr>
      </w:pPr>
      <w:r>
        <w:rPr>
          <w:rFonts w:ascii="Arial" w:cs="Arial" w:eastAsia="Arial" w:hAnsi="Arial"/>
          <w:b/>
          <w:color w:val="0C1F35"/>
          <w:sz w:val="28"/>
          <w:szCs w:val="28"/>
        </w:rPr>
        <w:t xml:space="preserve">12. Build-Time Validation — Static Pre-flight Checker</w:t>
      </w:r>
    </w:p>
    <w:p>
      <w:pPr>
        <w:spacing w:after="80" w:before="60"/>
      </w:pPr>
      <w:r>
        <w:rPr>
          <w:rFonts w:ascii="Arial" w:cs="Arial" w:eastAsia="Arial" w:hAnsi="Arial"/>
          <w:sz w:val="22"/>
          <w:szCs w:val="22"/>
        </w:rPr>
        <w:t xml:space="preserve">A standalone Python checker (preflight-v5.4.py) statically scans the single-file HTML application for the specific patterns known to break older iOS Safari (below version 13.4), older Android WebView, and restricted-storage contexts. Every defect encountered during v5.4 development was statically detectable; this checker catches each class before the file is loaded on a device. It has no dependencies beyond Python 3 and requires no network access.</w:t>
      </w:r>
    </w:p>
    <w:p>
      <w:pPr>
        <w:pStyle w:val="Heading2"/>
        <w:spacing w:after="80" w:before="240"/>
      </w:pPr>
      <w:r>
        <w:rPr>
          <w:rFonts w:ascii="Arial" w:cs="Arial" w:eastAsia="Arial" w:hAnsi="Arial"/>
          <w:b/>
          <w:color w:val="1D6BB8"/>
          <w:sz w:val="24"/>
          <w:szCs w:val="24"/>
        </w:rPr>
        <w:t xml:space="preserve">12.1 Usage</w:t>
      </w:r>
    </w:p>
    <w:p>
      <w:pPr>
        <w:shd w:val="clear" w:fill="EEF3FA"/>
        <w:spacing w:after="80" w:before="40"/>
        <w:ind w:left="180" w:right="180"/>
      </w:pPr>
      <w:r>
        <w:rPr>
          <w:rFonts w:ascii="Courier New" w:cs="Courier New" w:hAnsi="Courier New"/>
          <w:color w:val="1A3A6B"/>
          <w:sz w:val="18"/>
          <w:szCs w:val="18"/>
        </w:rPr>
        <w:t xml:space="preserve">python3 preflight-v5.4.py endo-digest.html</w:t>
      </w:r>
    </w:p>
    <w:p>
      <w:pPr>
        <w:spacing w:after="80" w:before="60"/>
      </w:pPr>
      <w:r>
        <w:rPr>
          <w:rFonts w:ascii="Arial" w:cs="Arial" w:eastAsia="Arial" w:hAnsi="Arial"/>
          <w:sz w:val="22"/>
          <w:szCs w:val="22"/>
        </w:rPr>
        <w:t xml:space="preserve">The checker exits with status 0 when no errors are found (warnings are permitted) and status 1 when one or more errors are present, allowing it to gate a release in a build step or git pre-commit hook.</w:t>
      </w:r>
    </w:p>
    <w:p>
      <w:pPr>
        <w:pStyle w:val="Heading2"/>
        <w:spacing w:after="80" w:before="240"/>
      </w:pPr>
      <w:r>
        <w:rPr>
          <w:rFonts w:ascii="Arial" w:cs="Arial" w:eastAsia="Arial" w:hAnsi="Arial"/>
          <w:b/>
          <w:color w:val="1D6BB8"/>
          <w:sz w:val="24"/>
          <w:szCs w:val="24"/>
        </w:rPr>
        <w:t xml:space="preserve">12.2 Checks performed</w:t>
      </w:r>
    </w:p>
    <w:p>
      <w:pPr>
        <w:spacing w:after="80" w:before="60"/>
      </w:pPr>
      <w:r>
        <w:rPr>
          <w:rFonts w:ascii="Arial" w:cs="Arial" w:eastAsia="Arial" w:hAnsi="Arial"/>
          <w:sz w:val="22"/>
          <w:szCs w:val="22"/>
        </w:rPr>
        <w:t xml:space="preserve">ERROR-level findings block release because they break a known target:</w:t>
      </w:r>
    </w:p>
    <w:p>
      <w:pPr>
        <w:pStyle w:val="ListParagraph"/>
        <w:numPr>
          <w:ilvl w:val="0"/>
          <w:numId w:val="2"/>
        </w:numPr>
        <w:spacing w:after="40" w:before="40"/>
      </w:pPr>
      <w:r>
        <w:rPr>
          <w:rFonts w:ascii="Arial" w:cs="Arial" w:eastAsia="Arial" w:hAnsi="Arial"/>
          <w:sz w:val="22"/>
          <w:szCs w:val="22"/>
        </w:rPr>
        <w:t xml:space="preserve">Optional chaining (?.) and nullish coalescing (??) — ES2020 syntax that causes a SyntaxError on iOS Safari below 13.4, abandoning the entire script block</w:t>
      </w:r>
    </w:p>
    <w:p>
      <w:pPr>
        <w:pStyle w:val="ListParagraph"/>
        <w:numPr>
          <w:ilvl w:val="0"/>
          <w:numId w:val="2"/>
        </w:numPr>
        <w:spacing w:after="40" w:before="40"/>
      </w:pPr>
      <w:r>
        <w:rPr>
          <w:rFonts w:ascii="Arial" w:cs="Arial" w:eastAsia="Arial" w:hAnsi="Arial"/>
          <w:sz w:val="22"/>
          <w:szCs w:val="22"/>
        </w:rPr>
        <w:t xml:space="preserve">Logical-assignment operators (||=, &amp;&amp;=, ??=) — ES2021, unsupported on older Safari</w:t>
      </w:r>
    </w:p>
    <w:p>
      <w:pPr>
        <w:pStyle w:val="ListParagraph"/>
        <w:numPr>
          <w:ilvl w:val="0"/>
          <w:numId w:val="2"/>
        </w:numPr>
        <w:spacing w:after="40" w:before="40"/>
      </w:pPr>
      <w:r>
        <w:rPr>
          <w:rFonts w:ascii="Arial" w:cs="Arial" w:eastAsia="Arial" w:hAnsi="Arial"/>
          <w:sz w:val="22"/>
          <w:szCs w:val="22"/>
        </w:rPr>
        <w:t xml:space="preserve">Stray em/en dashes or smart quotes in executable JavaScript — the incremental-patch corruption mode that previously broke the VERSION constant line</w:t>
      </w:r>
    </w:p>
    <w:p>
      <w:pPr>
        <w:pStyle w:val="ListParagraph"/>
        <w:numPr>
          <w:ilvl w:val="0"/>
          <w:numId w:val="2"/>
        </w:numPr>
        <w:spacing w:after="40" w:before="40"/>
      </w:pPr>
      <w:r>
        <w:rPr>
          <w:rFonts w:ascii="Arial" w:cs="Arial" w:eastAsia="Arial" w:hAnsi="Arial"/>
          <w:sz w:val="22"/>
          <w:szCs w:val="22"/>
        </w:rPr>
        <w:t xml:space="preserve">External font dependencies (Google Fonts, Typekit, Bunny) — cause FOIT and invisible text on iOS Safari when the font host is blocked or slow</w:t>
      </w:r>
    </w:p>
    <w:p>
      <w:pPr>
        <w:pStyle w:val="ListParagraph"/>
        <w:numPr>
          <w:ilvl w:val="0"/>
          <w:numId w:val="2"/>
        </w:numPr>
        <w:spacing w:after="40" w:before="40"/>
      </w:pPr>
      <w:r>
        <w:rPr>
          <w:rFonts w:ascii="Arial" w:cs="Arial" w:eastAsia="Arial" w:hAnsi="Arial"/>
          <w:sz w:val="22"/>
          <w:szCs w:val="22"/>
        </w:rPr>
        <w:t xml:space="preserve">Floating panels (.f-panel) missing a max-width constraint — the recurring off-screen clipping regression on narrow mobile viewports</w:t>
      </w:r>
    </w:p>
    <w:p>
      <w:pPr>
        <w:pStyle w:val="ListParagraph"/>
        <w:numPr>
          <w:ilvl w:val="0"/>
          <w:numId w:val="2"/>
        </w:numPr>
        <w:spacing w:after="40" w:before="40"/>
      </w:pPr>
      <w:r>
        <w:rPr>
          <w:rFonts w:ascii="Arial" w:cs="Arial" w:eastAsia="Arial" w:hAnsi="Arial"/>
          <w:sz w:val="22"/>
          <w:szCs w:val="22"/>
        </w:rPr>
        <w:t xml:space="preserve">Unbalanced script / closing-script tags — malformed document</w:t>
      </w:r>
    </w:p>
    <w:p>
      <w:pPr>
        <w:spacing w:after="80" w:before="60"/>
      </w:pPr>
      <w:r>
        <w:rPr>
          <w:rFonts w:ascii="Arial" w:cs="Arial" w:eastAsia="Arial" w:hAnsi="Arial"/>
          <w:sz w:val="22"/>
          <w:szCs w:val="22"/>
        </w:rPr>
        <w:t xml:space="preserve">WARN-level findings are advisory and should be reviewed before shipping:</w:t>
      </w:r>
    </w:p>
    <w:p>
      <w:pPr>
        <w:pStyle w:val="ListParagraph"/>
        <w:numPr>
          <w:ilvl w:val="0"/>
          <w:numId w:val="2"/>
        </w:numPr>
        <w:spacing w:after="40" w:before="40"/>
      </w:pPr>
      <w:r>
        <w:rPr>
          <w:rFonts w:ascii="Arial" w:cs="Arial" w:eastAsia="Arial" w:hAnsi="Arial"/>
          <w:sz w:val="22"/>
          <w:szCs w:val="22"/>
        </w:rPr>
        <w:t xml:space="preserve">font-family referencing an un-imported web font; numeric separators; missing STORAGE_OK availability probe; unguarded localStorage.setItem; select font-size below 16px (triggers iOS viewport zoom); missing -webkit-text-size-adjust; and hardcoded version strings outside the VERSION constant</w:t>
      </w:r>
    </w:p>
    <w:p>
      <w:pPr>
        <w:pStyle w:val="Heading2"/>
        <w:spacing w:after="80" w:before="240"/>
      </w:pPr>
      <w:r>
        <w:rPr>
          <w:rFonts w:ascii="Arial" w:cs="Arial" w:eastAsia="Arial" w:hAnsi="Arial"/>
          <w:b/>
          <w:color w:val="1D6BB8"/>
          <w:sz w:val="24"/>
          <w:szCs w:val="24"/>
        </w:rPr>
        <w:t xml:space="preserve">12.3 Limitations</w:t>
      </w:r>
    </w:p>
    <w:p>
      <w:pPr>
        <w:spacing w:after="80" w:before="60"/>
      </w:pPr>
      <w:r>
        <w:rPr>
          <w:rFonts w:ascii="Arial" w:cs="Arial" w:eastAsia="Arial" w:hAnsi="Arial"/>
          <w:sz w:val="22"/>
          <w:szCs w:val="22"/>
        </w:rPr>
        <w:t xml:space="preserve">The checker uses crude masking of string literals and comments rather than a full JavaScript parser, so a pathological edge case could in principle slip through or produce a false positive. It covers the failure modes encountered to date plus close variants; it is not a general iOS compatibility guarantee and complements, rather than replaces, real-device testing (for example BrowserStack or Sauce Labs with actual iOS Safari versions). Safari Responsive Design Mode with user-agent spoofing on a Mac would not have caught the optional chaining crash, as that is an engine-version issue rather than a layout one — which is the central reason the static checker is more valuable than UA spoofing for this application’s specific failure modes.</w:t>
      </w:r>
    </w:p>
    <w:p>
      <w:pPr>
        <w:pBdr>
          <w:top w:val="single" w:color="DDE6F0" w:sz="4" w:space="6"/>
        </w:pBdr>
        <w:spacing w:after="0" w:before="200"/>
        <w:jc w:val="center"/>
      </w:pPr>
      <w:r>
        <w:rPr>
          <w:rFonts w:ascii="Arial" w:cs="Arial" w:eastAsia="Arial" w:hAnsi="Arial"/>
          <w:i/>
          <w:iCs/>
          <w:color w:val="94A3B8"/>
          <w:sz w:val="18"/>
          <w:szCs w:val="18"/>
        </w:rPr>
        <w:t xml:space="preserve">Endo Digest v5.4  —  May 2026  —  RACP Advanced Training in Endocrinology &amp; Metabolism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Endo Digest v5.4  —  RACP Advanced Training in Endocrinology &amp; Metabolism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6BB8" w:sz="4" w:space="4"/>
      </w:pBdr>
      <w:spacing w:after="120" w:before="320"/>
      <w:outlineLvl w:val="0"/>
    </w:pPr>
    <w:rPr>
      <w:rFonts w:ascii="Arial" w:cs="Arial" w:eastAsia="Arial" w:hAnsi="Arial"/>
      <w:b/>
      <w:bCs/>
      <w:color w:val="0C1F35"/>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D6B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2026-05-06T15:51:17.363Z</dcterms:created>
  <dcterms:modified xsi:type="dcterms:W3CDTF">2026-05-06T15:51:17.364Z</dcterms:modified>
</cp:coreProperties>
</file>

<file path=docProps/custom.xml><?xml version="1.0" encoding="utf-8"?>
<Properties xmlns="http://schemas.openxmlformats.org/officeDocument/2006/custom-properties" xmlns:vt="http://schemas.openxmlformats.org/officeDocument/2006/docPropsVTypes"/>
</file>