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AB94" w14:textId="4A9EC8B1" w:rsidR="00962AA4" w:rsidRDefault="000B245F" w:rsidP="002E2ACA">
      <w:pPr>
        <w:pStyle w:val="Heading1"/>
        <w:numPr>
          <w:ilvl w:val="0"/>
          <w:numId w:val="1"/>
        </w:numPr>
      </w:pPr>
      <w:r>
        <w:t>Operating Paramete</w:t>
      </w:r>
      <w:r w:rsidR="00C12292">
        <w:t>rs</w:t>
      </w:r>
    </w:p>
    <w:p w14:paraId="0C77499C" w14:textId="506EADFF" w:rsidR="00C12292" w:rsidRDefault="00C12292" w:rsidP="00C12292">
      <w:pPr>
        <w:pStyle w:val="Heading2"/>
      </w:pPr>
      <w:r>
        <w:t>Summary</w:t>
      </w:r>
    </w:p>
    <w:p w14:paraId="2B009C52" w14:textId="77777777" w:rsidR="00137D02" w:rsidRDefault="00137D02" w:rsidP="00137D02">
      <w:pPr>
        <w:sectPr w:rsidR="00137D02">
          <w:headerReference w:type="default" r:id="rId8"/>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2"/>
        <w:gridCol w:w="1332"/>
        <w:gridCol w:w="1332"/>
        <w:gridCol w:w="5734"/>
      </w:tblGrid>
      <w:tr w:rsidR="008A4C5B" w:rsidRPr="008A4C5B" w14:paraId="17EBA176" w14:textId="77777777" w:rsidTr="008A4C5B">
        <w:trPr>
          <w:trHeight w:val="300"/>
        </w:trPr>
        <w:tc>
          <w:tcPr>
            <w:tcW w:w="988" w:type="dxa"/>
            <w:noWrap/>
            <w:hideMark/>
          </w:tcPr>
          <w:p w14:paraId="352BAC13" w14:textId="77777777" w:rsidR="008A4C5B" w:rsidRPr="008A4C5B" w:rsidRDefault="008A4C5B">
            <w:r w:rsidRPr="008A4C5B">
              <w:t>Position</w:t>
            </w:r>
          </w:p>
        </w:tc>
        <w:tc>
          <w:tcPr>
            <w:tcW w:w="1093" w:type="dxa"/>
            <w:noWrap/>
            <w:hideMark/>
          </w:tcPr>
          <w:p w14:paraId="67752D51" w14:textId="77777777" w:rsidR="008A4C5B" w:rsidRPr="008A4C5B" w:rsidRDefault="008A4C5B">
            <w:r w:rsidRPr="008A4C5B">
              <w:t>Temp (K)</w:t>
            </w:r>
          </w:p>
        </w:tc>
        <w:tc>
          <w:tcPr>
            <w:tcW w:w="1265" w:type="dxa"/>
            <w:noWrap/>
            <w:hideMark/>
          </w:tcPr>
          <w:p w14:paraId="15586328" w14:textId="77777777" w:rsidR="008A4C5B" w:rsidRPr="008A4C5B" w:rsidRDefault="008A4C5B">
            <w:r w:rsidRPr="008A4C5B">
              <w:t>Pressure (bar)</w:t>
            </w:r>
          </w:p>
        </w:tc>
        <w:tc>
          <w:tcPr>
            <w:tcW w:w="6004" w:type="dxa"/>
            <w:noWrap/>
            <w:hideMark/>
          </w:tcPr>
          <w:p w14:paraId="7AE0AA21" w14:textId="77777777" w:rsidR="008A4C5B" w:rsidRPr="008A4C5B" w:rsidRDefault="008A4C5B">
            <w:r w:rsidRPr="008A4C5B">
              <w:t>Composition</w:t>
            </w:r>
          </w:p>
        </w:tc>
      </w:tr>
      <w:tr w:rsidR="008A4C5B" w:rsidRPr="008A4C5B" w14:paraId="57F74347" w14:textId="77777777" w:rsidTr="008A4C5B">
        <w:trPr>
          <w:trHeight w:val="300"/>
        </w:trPr>
        <w:tc>
          <w:tcPr>
            <w:tcW w:w="988" w:type="dxa"/>
            <w:noWrap/>
            <w:hideMark/>
          </w:tcPr>
          <w:p w14:paraId="459DEDE1" w14:textId="77777777" w:rsidR="008A4C5B" w:rsidRPr="008A4C5B" w:rsidRDefault="008A4C5B" w:rsidP="008A4C5B">
            <w:r w:rsidRPr="008A4C5B">
              <w:t>1</w:t>
            </w:r>
          </w:p>
        </w:tc>
        <w:tc>
          <w:tcPr>
            <w:tcW w:w="1093" w:type="dxa"/>
            <w:noWrap/>
            <w:hideMark/>
          </w:tcPr>
          <w:p w14:paraId="56BBAB8D" w14:textId="77777777" w:rsidR="008A4C5B" w:rsidRPr="008A4C5B" w:rsidRDefault="008A4C5B" w:rsidP="008A4C5B">
            <w:r w:rsidRPr="008A4C5B">
              <w:t>288.15</w:t>
            </w:r>
          </w:p>
        </w:tc>
        <w:tc>
          <w:tcPr>
            <w:tcW w:w="1265" w:type="dxa"/>
            <w:noWrap/>
            <w:hideMark/>
          </w:tcPr>
          <w:p w14:paraId="78B11FC1" w14:textId="77777777" w:rsidR="008A4C5B" w:rsidRPr="008A4C5B" w:rsidRDefault="008A4C5B" w:rsidP="008A4C5B">
            <w:r w:rsidRPr="008A4C5B">
              <w:t>1.013</w:t>
            </w:r>
          </w:p>
        </w:tc>
        <w:tc>
          <w:tcPr>
            <w:tcW w:w="6004" w:type="dxa"/>
            <w:noWrap/>
            <w:hideMark/>
          </w:tcPr>
          <w:p w14:paraId="3E1C1FA8"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58F61CC3" w14:textId="77777777" w:rsidTr="008A4C5B">
        <w:trPr>
          <w:trHeight w:val="300"/>
        </w:trPr>
        <w:tc>
          <w:tcPr>
            <w:tcW w:w="988" w:type="dxa"/>
            <w:noWrap/>
            <w:hideMark/>
          </w:tcPr>
          <w:p w14:paraId="43DCCD10" w14:textId="77777777" w:rsidR="008A4C5B" w:rsidRPr="008A4C5B" w:rsidRDefault="008A4C5B" w:rsidP="008A4C5B">
            <w:r w:rsidRPr="008A4C5B">
              <w:t>2</w:t>
            </w:r>
          </w:p>
        </w:tc>
        <w:tc>
          <w:tcPr>
            <w:tcW w:w="1093" w:type="dxa"/>
            <w:noWrap/>
            <w:hideMark/>
          </w:tcPr>
          <w:p w14:paraId="08B3C997" w14:textId="77777777" w:rsidR="008A4C5B" w:rsidRPr="008A4C5B" w:rsidRDefault="008A4C5B" w:rsidP="008A4C5B">
            <w:r w:rsidRPr="008A4C5B">
              <w:t>288.15</w:t>
            </w:r>
          </w:p>
        </w:tc>
        <w:tc>
          <w:tcPr>
            <w:tcW w:w="1265" w:type="dxa"/>
            <w:noWrap/>
            <w:hideMark/>
          </w:tcPr>
          <w:p w14:paraId="7449531C" w14:textId="77777777" w:rsidR="008A4C5B" w:rsidRPr="008A4C5B" w:rsidRDefault="008A4C5B" w:rsidP="008A4C5B">
            <w:r w:rsidRPr="008A4C5B">
              <w:t>1.013</w:t>
            </w:r>
          </w:p>
        </w:tc>
        <w:tc>
          <w:tcPr>
            <w:tcW w:w="6004" w:type="dxa"/>
            <w:noWrap/>
            <w:hideMark/>
          </w:tcPr>
          <w:p w14:paraId="3C064E49"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2E9D588F" w14:textId="77777777" w:rsidTr="008A4C5B">
        <w:trPr>
          <w:trHeight w:val="300"/>
        </w:trPr>
        <w:tc>
          <w:tcPr>
            <w:tcW w:w="988" w:type="dxa"/>
            <w:noWrap/>
            <w:hideMark/>
          </w:tcPr>
          <w:p w14:paraId="74BA414C" w14:textId="77777777" w:rsidR="008A4C5B" w:rsidRPr="008A4C5B" w:rsidRDefault="008A4C5B" w:rsidP="008A4C5B">
            <w:r w:rsidRPr="008A4C5B">
              <w:t>3</w:t>
            </w:r>
          </w:p>
        </w:tc>
        <w:tc>
          <w:tcPr>
            <w:tcW w:w="1093" w:type="dxa"/>
            <w:noWrap/>
            <w:hideMark/>
          </w:tcPr>
          <w:p w14:paraId="2868065C" w14:textId="77777777" w:rsidR="008A4C5B" w:rsidRPr="008A4C5B" w:rsidRDefault="008A4C5B" w:rsidP="008A4C5B">
            <w:r w:rsidRPr="008A4C5B">
              <w:t>692</w:t>
            </w:r>
          </w:p>
        </w:tc>
        <w:tc>
          <w:tcPr>
            <w:tcW w:w="1265" w:type="dxa"/>
            <w:noWrap/>
            <w:hideMark/>
          </w:tcPr>
          <w:p w14:paraId="39C8B3BD" w14:textId="77777777" w:rsidR="008A4C5B" w:rsidRPr="008A4C5B" w:rsidRDefault="008A4C5B" w:rsidP="008A4C5B">
            <w:r w:rsidRPr="008A4C5B">
              <w:t>23.299</w:t>
            </w:r>
          </w:p>
        </w:tc>
        <w:tc>
          <w:tcPr>
            <w:tcW w:w="6004" w:type="dxa"/>
            <w:noWrap/>
            <w:hideMark/>
          </w:tcPr>
          <w:p w14:paraId="63A43BF7"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665CE132" w14:textId="77777777" w:rsidTr="008A4C5B">
        <w:trPr>
          <w:trHeight w:val="300"/>
        </w:trPr>
        <w:tc>
          <w:tcPr>
            <w:tcW w:w="988" w:type="dxa"/>
            <w:noWrap/>
            <w:hideMark/>
          </w:tcPr>
          <w:p w14:paraId="655B3A04" w14:textId="77777777" w:rsidR="008A4C5B" w:rsidRPr="008A4C5B" w:rsidRDefault="008A4C5B" w:rsidP="008A4C5B">
            <w:r w:rsidRPr="008A4C5B">
              <w:t>4</w:t>
            </w:r>
          </w:p>
        </w:tc>
        <w:tc>
          <w:tcPr>
            <w:tcW w:w="1093" w:type="dxa"/>
            <w:noWrap/>
            <w:hideMark/>
          </w:tcPr>
          <w:p w14:paraId="77CDA402" w14:textId="77777777" w:rsidR="008A4C5B" w:rsidRPr="008A4C5B" w:rsidRDefault="008A4C5B" w:rsidP="008A4C5B">
            <w:r w:rsidRPr="008A4C5B">
              <w:t>536</w:t>
            </w:r>
          </w:p>
        </w:tc>
        <w:tc>
          <w:tcPr>
            <w:tcW w:w="1265" w:type="dxa"/>
            <w:noWrap/>
            <w:hideMark/>
          </w:tcPr>
          <w:p w14:paraId="2719EAE5" w14:textId="77777777" w:rsidR="008A4C5B" w:rsidRPr="008A4C5B" w:rsidRDefault="008A4C5B" w:rsidP="008A4C5B">
            <w:r w:rsidRPr="008A4C5B">
              <w:t>23.299</w:t>
            </w:r>
          </w:p>
        </w:tc>
        <w:tc>
          <w:tcPr>
            <w:tcW w:w="6004" w:type="dxa"/>
            <w:noWrap/>
            <w:hideMark/>
          </w:tcPr>
          <w:p w14:paraId="28552AEF"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1F9DE9DB" w14:textId="77777777" w:rsidTr="008A4C5B">
        <w:trPr>
          <w:trHeight w:val="300"/>
        </w:trPr>
        <w:tc>
          <w:tcPr>
            <w:tcW w:w="988" w:type="dxa"/>
            <w:noWrap/>
            <w:hideMark/>
          </w:tcPr>
          <w:p w14:paraId="14383B38" w14:textId="77777777" w:rsidR="008A4C5B" w:rsidRPr="008A4C5B" w:rsidRDefault="008A4C5B" w:rsidP="008A4C5B">
            <w:r w:rsidRPr="008A4C5B">
              <w:t>5</w:t>
            </w:r>
          </w:p>
        </w:tc>
        <w:tc>
          <w:tcPr>
            <w:tcW w:w="1093" w:type="dxa"/>
            <w:noWrap/>
            <w:hideMark/>
          </w:tcPr>
          <w:p w14:paraId="4C449714" w14:textId="77777777" w:rsidR="008A4C5B" w:rsidRPr="008A4C5B" w:rsidRDefault="008A4C5B" w:rsidP="008A4C5B">
            <w:r w:rsidRPr="008A4C5B">
              <w:t>536</w:t>
            </w:r>
          </w:p>
        </w:tc>
        <w:tc>
          <w:tcPr>
            <w:tcW w:w="1265" w:type="dxa"/>
            <w:noWrap/>
            <w:hideMark/>
          </w:tcPr>
          <w:p w14:paraId="7E64BBE5" w14:textId="77777777" w:rsidR="008A4C5B" w:rsidRPr="008A4C5B" w:rsidRDefault="008A4C5B" w:rsidP="008A4C5B">
            <w:r w:rsidRPr="008A4C5B">
              <w:t>23.299</w:t>
            </w:r>
          </w:p>
        </w:tc>
        <w:tc>
          <w:tcPr>
            <w:tcW w:w="6004" w:type="dxa"/>
            <w:noWrap/>
            <w:hideMark/>
          </w:tcPr>
          <w:p w14:paraId="79893407"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r w:rsidR="008A4C5B" w:rsidRPr="008A4C5B" w14:paraId="4215C5C0" w14:textId="77777777" w:rsidTr="008A4C5B">
        <w:trPr>
          <w:trHeight w:val="300"/>
        </w:trPr>
        <w:tc>
          <w:tcPr>
            <w:tcW w:w="988" w:type="dxa"/>
            <w:noWrap/>
            <w:hideMark/>
          </w:tcPr>
          <w:p w14:paraId="08212D09" w14:textId="77777777" w:rsidR="008A4C5B" w:rsidRPr="008A4C5B" w:rsidRDefault="008A4C5B" w:rsidP="008A4C5B">
            <w:r w:rsidRPr="008A4C5B">
              <w:t>6</w:t>
            </w:r>
          </w:p>
        </w:tc>
        <w:tc>
          <w:tcPr>
            <w:tcW w:w="1093" w:type="dxa"/>
            <w:noWrap/>
            <w:hideMark/>
          </w:tcPr>
          <w:p w14:paraId="7BC967C4" w14:textId="77777777" w:rsidR="008A4C5B" w:rsidRPr="008A4C5B" w:rsidRDefault="008A4C5B" w:rsidP="008A4C5B">
            <w:r w:rsidRPr="008A4C5B">
              <w:t>838.65</w:t>
            </w:r>
          </w:p>
        </w:tc>
        <w:tc>
          <w:tcPr>
            <w:tcW w:w="1265" w:type="dxa"/>
            <w:noWrap/>
            <w:hideMark/>
          </w:tcPr>
          <w:p w14:paraId="789EBE90" w14:textId="77777777" w:rsidR="008A4C5B" w:rsidRPr="008A4C5B" w:rsidRDefault="008A4C5B" w:rsidP="008A4C5B">
            <w:r w:rsidRPr="008A4C5B">
              <w:t>23.88654</w:t>
            </w:r>
          </w:p>
        </w:tc>
        <w:tc>
          <w:tcPr>
            <w:tcW w:w="6004" w:type="dxa"/>
            <w:noWrap/>
            <w:hideMark/>
          </w:tcPr>
          <w:p w14:paraId="7D019DF5" w14:textId="77777777" w:rsidR="008A4C5B" w:rsidRPr="008A4C5B" w:rsidRDefault="008A4C5B">
            <w:r w:rsidRPr="008A4C5B">
              <w:t>100% H2O(g)</w:t>
            </w:r>
          </w:p>
        </w:tc>
      </w:tr>
      <w:tr w:rsidR="008A4C5B" w:rsidRPr="008A4C5B" w14:paraId="11DC0085" w14:textId="77777777" w:rsidTr="008A4C5B">
        <w:trPr>
          <w:trHeight w:val="300"/>
        </w:trPr>
        <w:tc>
          <w:tcPr>
            <w:tcW w:w="988" w:type="dxa"/>
            <w:noWrap/>
            <w:hideMark/>
          </w:tcPr>
          <w:p w14:paraId="5850396E" w14:textId="77777777" w:rsidR="008A4C5B" w:rsidRPr="008A4C5B" w:rsidRDefault="008A4C5B" w:rsidP="008A4C5B">
            <w:r w:rsidRPr="008A4C5B">
              <w:t>7</w:t>
            </w:r>
          </w:p>
        </w:tc>
        <w:tc>
          <w:tcPr>
            <w:tcW w:w="1093" w:type="dxa"/>
            <w:noWrap/>
            <w:hideMark/>
          </w:tcPr>
          <w:p w14:paraId="18B81345" w14:textId="77777777" w:rsidR="008A4C5B" w:rsidRPr="008A4C5B" w:rsidRDefault="008A4C5B" w:rsidP="008A4C5B">
            <w:r w:rsidRPr="008A4C5B">
              <w:t>1073.1</w:t>
            </w:r>
          </w:p>
        </w:tc>
        <w:tc>
          <w:tcPr>
            <w:tcW w:w="1265" w:type="dxa"/>
            <w:noWrap/>
            <w:hideMark/>
          </w:tcPr>
          <w:p w14:paraId="68C7FD87" w14:textId="77777777" w:rsidR="008A4C5B" w:rsidRPr="008A4C5B" w:rsidRDefault="008A4C5B" w:rsidP="008A4C5B">
            <w:r w:rsidRPr="008A4C5B">
              <w:t>23.299</w:t>
            </w:r>
          </w:p>
        </w:tc>
        <w:tc>
          <w:tcPr>
            <w:tcW w:w="6004" w:type="dxa"/>
            <w:noWrap/>
            <w:hideMark/>
          </w:tcPr>
          <w:p w14:paraId="5B561E79" w14:textId="77777777" w:rsidR="008A4C5B" w:rsidRPr="008A4C5B" w:rsidRDefault="008A4C5B">
            <w:r w:rsidRPr="008A4C5B">
              <w:t>45% H2, 36% H2O(g), 7% CO, 6% CO2, 5% CH4, 0.5% N2, Neg. NOx</w:t>
            </w:r>
          </w:p>
        </w:tc>
      </w:tr>
      <w:tr w:rsidR="008A4C5B" w:rsidRPr="008A4C5B" w14:paraId="182CF695" w14:textId="77777777" w:rsidTr="008A4C5B">
        <w:trPr>
          <w:trHeight w:val="300"/>
        </w:trPr>
        <w:tc>
          <w:tcPr>
            <w:tcW w:w="988" w:type="dxa"/>
            <w:noWrap/>
            <w:hideMark/>
          </w:tcPr>
          <w:p w14:paraId="400CABC2" w14:textId="77777777" w:rsidR="008A4C5B" w:rsidRPr="008A4C5B" w:rsidRDefault="008A4C5B" w:rsidP="008A4C5B">
            <w:r w:rsidRPr="008A4C5B">
              <w:t>8</w:t>
            </w:r>
          </w:p>
        </w:tc>
        <w:tc>
          <w:tcPr>
            <w:tcW w:w="1093" w:type="dxa"/>
            <w:noWrap/>
            <w:hideMark/>
          </w:tcPr>
          <w:p w14:paraId="41260938" w14:textId="77777777" w:rsidR="008A4C5B" w:rsidRPr="008A4C5B" w:rsidRDefault="008A4C5B" w:rsidP="008A4C5B">
            <w:r w:rsidRPr="008A4C5B">
              <w:t>1173.1</w:t>
            </w:r>
          </w:p>
        </w:tc>
        <w:tc>
          <w:tcPr>
            <w:tcW w:w="1265" w:type="dxa"/>
            <w:noWrap/>
            <w:hideMark/>
          </w:tcPr>
          <w:p w14:paraId="6B3C77B7" w14:textId="77777777" w:rsidR="008A4C5B" w:rsidRPr="008A4C5B" w:rsidRDefault="008A4C5B" w:rsidP="008A4C5B">
            <w:r w:rsidRPr="008A4C5B">
              <w:t>23.299</w:t>
            </w:r>
          </w:p>
        </w:tc>
        <w:tc>
          <w:tcPr>
            <w:tcW w:w="6004" w:type="dxa"/>
            <w:noWrap/>
            <w:hideMark/>
          </w:tcPr>
          <w:p w14:paraId="09C9A789" w14:textId="77777777" w:rsidR="008A4C5B" w:rsidRPr="008A4C5B" w:rsidRDefault="008A4C5B">
            <w:r w:rsidRPr="008A4C5B">
              <w:t>51% N2, 28% H2O(g), 7% O2, 5% H2, 3% CO, 3% CO2, 2% CH4, Neg. NOx</w:t>
            </w:r>
          </w:p>
        </w:tc>
      </w:tr>
      <w:tr w:rsidR="008A4C5B" w:rsidRPr="008A4C5B" w14:paraId="5CEA5B02" w14:textId="77777777" w:rsidTr="008A4C5B">
        <w:trPr>
          <w:trHeight w:val="300"/>
        </w:trPr>
        <w:tc>
          <w:tcPr>
            <w:tcW w:w="988" w:type="dxa"/>
            <w:noWrap/>
            <w:hideMark/>
          </w:tcPr>
          <w:p w14:paraId="0FFC745E" w14:textId="77777777" w:rsidR="008A4C5B" w:rsidRPr="008A4C5B" w:rsidRDefault="008A4C5B" w:rsidP="008A4C5B">
            <w:r w:rsidRPr="008A4C5B">
              <w:t>9</w:t>
            </w:r>
          </w:p>
        </w:tc>
        <w:tc>
          <w:tcPr>
            <w:tcW w:w="1093" w:type="dxa"/>
            <w:noWrap/>
            <w:hideMark/>
          </w:tcPr>
          <w:p w14:paraId="63090380" w14:textId="77777777" w:rsidR="008A4C5B" w:rsidRPr="008A4C5B" w:rsidRDefault="008A4C5B" w:rsidP="008A4C5B">
            <w:r w:rsidRPr="008A4C5B">
              <w:t>692</w:t>
            </w:r>
          </w:p>
        </w:tc>
        <w:tc>
          <w:tcPr>
            <w:tcW w:w="1265" w:type="dxa"/>
            <w:noWrap/>
            <w:hideMark/>
          </w:tcPr>
          <w:p w14:paraId="6BD83F08" w14:textId="77777777" w:rsidR="008A4C5B" w:rsidRPr="008A4C5B" w:rsidRDefault="008A4C5B" w:rsidP="008A4C5B">
            <w:r w:rsidRPr="008A4C5B">
              <w:t>23.299</w:t>
            </w:r>
          </w:p>
        </w:tc>
        <w:tc>
          <w:tcPr>
            <w:tcW w:w="6004" w:type="dxa"/>
            <w:noWrap/>
            <w:hideMark/>
          </w:tcPr>
          <w:p w14:paraId="61F70792"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4E2395FF" w14:textId="77777777" w:rsidTr="008A4C5B">
        <w:trPr>
          <w:trHeight w:val="300"/>
        </w:trPr>
        <w:tc>
          <w:tcPr>
            <w:tcW w:w="988" w:type="dxa"/>
            <w:noWrap/>
            <w:hideMark/>
          </w:tcPr>
          <w:p w14:paraId="25B235F1" w14:textId="77777777" w:rsidR="008A4C5B" w:rsidRPr="008A4C5B" w:rsidRDefault="008A4C5B" w:rsidP="008A4C5B">
            <w:r w:rsidRPr="008A4C5B">
              <w:t>10</w:t>
            </w:r>
          </w:p>
        </w:tc>
        <w:tc>
          <w:tcPr>
            <w:tcW w:w="1093" w:type="dxa"/>
            <w:noWrap/>
            <w:hideMark/>
          </w:tcPr>
          <w:p w14:paraId="40CC2CB4" w14:textId="77777777" w:rsidR="008A4C5B" w:rsidRPr="008A4C5B" w:rsidRDefault="008A4C5B" w:rsidP="008A4C5B">
            <w:r w:rsidRPr="008A4C5B">
              <w:t>1073.15</w:t>
            </w:r>
          </w:p>
        </w:tc>
        <w:tc>
          <w:tcPr>
            <w:tcW w:w="1265" w:type="dxa"/>
            <w:noWrap/>
            <w:hideMark/>
          </w:tcPr>
          <w:p w14:paraId="73DBBA2C" w14:textId="77777777" w:rsidR="008A4C5B" w:rsidRPr="008A4C5B" w:rsidRDefault="008A4C5B" w:rsidP="008A4C5B">
            <w:r w:rsidRPr="008A4C5B">
              <w:t>23.299</w:t>
            </w:r>
          </w:p>
        </w:tc>
        <w:tc>
          <w:tcPr>
            <w:tcW w:w="6004" w:type="dxa"/>
            <w:noWrap/>
            <w:hideMark/>
          </w:tcPr>
          <w:p w14:paraId="4F822072"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249CD5D6" w14:textId="77777777" w:rsidTr="008A4C5B">
        <w:trPr>
          <w:trHeight w:val="300"/>
        </w:trPr>
        <w:tc>
          <w:tcPr>
            <w:tcW w:w="988" w:type="dxa"/>
            <w:noWrap/>
            <w:hideMark/>
          </w:tcPr>
          <w:p w14:paraId="463E36A5" w14:textId="77777777" w:rsidR="008A4C5B" w:rsidRPr="008A4C5B" w:rsidRDefault="008A4C5B" w:rsidP="008A4C5B">
            <w:r w:rsidRPr="008A4C5B">
              <w:t>11</w:t>
            </w:r>
          </w:p>
        </w:tc>
        <w:tc>
          <w:tcPr>
            <w:tcW w:w="1093" w:type="dxa"/>
            <w:noWrap/>
            <w:hideMark/>
          </w:tcPr>
          <w:p w14:paraId="5BC33E11" w14:textId="77777777" w:rsidR="008A4C5B" w:rsidRPr="008A4C5B" w:rsidRDefault="008A4C5B" w:rsidP="008A4C5B">
            <w:r w:rsidRPr="008A4C5B">
              <w:t>1940.9</w:t>
            </w:r>
          </w:p>
        </w:tc>
        <w:tc>
          <w:tcPr>
            <w:tcW w:w="1265" w:type="dxa"/>
            <w:noWrap/>
            <w:hideMark/>
          </w:tcPr>
          <w:p w14:paraId="6C31021E" w14:textId="77777777" w:rsidR="008A4C5B" w:rsidRPr="008A4C5B" w:rsidRDefault="008A4C5B" w:rsidP="008A4C5B">
            <w:r w:rsidRPr="008A4C5B">
              <w:t>23.299</w:t>
            </w:r>
          </w:p>
        </w:tc>
        <w:tc>
          <w:tcPr>
            <w:tcW w:w="6004" w:type="dxa"/>
            <w:noWrap/>
            <w:hideMark/>
          </w:tcPr>
          <w:p w14:paraId="2F2B20FA" w14:textId="77777777" w:rsidR="008A4C5B" w:rsidRPr="008A4C5B" w:rsidRDefault="008A4C5B">
            <w:r w:rsidRPr="008A4C5B">
              <w:t>78.08% N2, 20.95% O</w:t>
            </w:r>
            <w:proofErr w:type="gramStart"/>
            <w:r w:rsidRPr="008A4C5B">
              <w:t>2  and</w:t>
            </w:r>
            <w:proofErr w:type="gramEnd"/>
            <w:r w:rsidRPr="008A4C5B">
              <w:t xml:space="preserve"> 0.93% </w:t>
            </w:r>
            <w:proofErr w:type="spellStart"/>
            <w:r w:rsidRPr="008A4C5B">
              <w:t>Ar</w:t>
            </w:r>
            <w:proofErr w:type="spellEnd"/>
          </w:p>
        </w:tc>
      </w:tr>
      <w:tr w:rsidR="008A4C5B" w:rsidRPr="008A4C5B" w14:paraId="403F4CF5" w14:textId="77777777" w:rsidTr="008A4C5B">
        <w:trPr>
          <w:trHeight w:val="300"/>
        </w:trPr>
        <w:tc>
          <w:tcPr>
            <w:tcW w:w="988" w:type="dxa"/>
            <w:noWrap/>
            <w:hideMark/>
          </w:tcPr>
          <w:p w14:paraId="2FC4435E" w14:textId="77777777" w:rsidR="008A4C5B" w:rsidRPr="008A4C5B" w:rsidRDefault="008A4C5B" w:rsidP="008A4C5B">
            <w:r w:rsidRPr="008A4C5B">
              <w:t>12</w:t>
            </w:r>
          </w:p>
        </w:tc>
        <w:tc>
          <w:tcPr>
            <w:tcW w:w="1093" w:type="dxa"/>
            <w:noWrap/>
            <w:hideMark/>
          </w:tcPr>
          <w:p w14:paraId="175931B6" w14:textId="77777777" w:rsidR="008A4C5B" w:rsidRPr="008A4C5B" w:rsidRDefault="008A4C5B" w:rsidP="008A4C5B">
            <w:r w:rsidRPr="008A4C5B">
              <w:t>1737</w:t>
            </w:r>
          </w:p>
        </w:tc>
        <w:tc>
          <w:tcPr>
            <w:tcW w:w="1265" w:type="dxa"/>
            <w:noWrap/>
            <w:hideMark/>
          </w:tcPr>
          <w:p w14:paraId="53D4CE4F" w14:textId="77777777" w:rsidR="008A4C5B" w:rsidRPr="008A4C5B" w:rsidRDefault="008A4C5B" w:rsidP="008A4C5B">
            <w:r w:rsidRPr="008A4C5B">
              <w:t>23.299</w:t>
            </w:r>
          </w:p>
        </w:tc>
        <w:tc>
          <w:tcPr>
            <w:tcW w:w="6004" w:type="dxa"/>
            <w:noWrap/>
            <w:hideMark/>
          </w:tcPr>
          <w:p w14:paraId="25FB9992" w14:textId="77777777" w:rsidR="008A4C5B" w:rsidRPr="008A4C5B" w:rsidRDefault="008A4C5B">
            <w:r w:rsidRPr="008A4C5B">
              <w:t>61% N2, 29% H2O(g), 7% CO2, 3% O</w:t>
            </w:r>
            <w:proofErr w:type="gramStart"/>
            <w:r w:rsidRPr="008A4C5B">
              <w:t>2 ,</w:t>
            </w:r>
            <w:proofErr w:type="gramEnd"/>
            <w:r w:rsidRPr="008A4C5B">
              <w:t xml:space="preserve"> 0.2% NO, Neg. other NOx</w:t>
            </w:r>
          </w:p>
        </w:tc>
      </w:tr>
      <w:tr w:rsidR="008A4C5B" w:rsidRPr="008A4C5B" w14:paraId="3AFBF2F4" w14:textId="77777777" w:rsidTr="008A4C5B">
        <w:trPr>
          <w:trHeight w:val="300"/>
        </w:trPr>
        <w:tc>
          <w:tcPr>
            <w:tcW w:w="988" w:type="dxa"/>
            <w:noWrap/>
            <w:hideMark/>
          </w:tcPr>
          <w:p w14:paraId="57782174" w14:textId="77777777" w:rsidR="008A4C5B" w:rsidRPr="008A4C5B" w:rsidRDefault="008A4C5B" w:rsidP="008A4C5B">
            <w:r w:rsidRPr="008A4C5B">
              <w:t>13</w:t>
            </w:r>
          </w:p>
        </w:tc>
        <w:tc>
          <w:tcPr>
            <w:tcW w:w="1093" w:type="dxa"/>
            <w:noWrap/>
            <w:hideMark/>
          </w:tcPr>
          <w:p w14:paraId="36A83FCD" w14:textId="77777777" w:rsidR="008A4C5B" w:rsidRPr="008A4C5B" w:rsidRDefault="008A4C5B" w:rsidP="008A4C5B">
            <w:r w:rsidRPr="008A4C5B">
              <w:t>692</w:t>
            </w:r>
          </w:p>
        </w:tc>
        <w:tc>
          <w:tcPr>
            <w:tcW w:w="1265" w:type="dxa"/>
            <w:noWrap/>
            <w:hideMark/>
          </w:tcPr>
          <w:p w14:paraId="6FA45B16" w14:textId="77777777" w:rsidR="008A4C5B" w:rsidRPr="008A4C5B" w:rsidRDefault="008A4C5B" w:rsidP="008A4C5B">
            <w:r w:rsidRPr="008A4C5B">
              <w:t>23.299</w:t>
            </w:r>
          </w:p>
        </w:tc>
        <w:tc>
          <w:tcPr>
            <w:tcW w:w="6004" w:type="dxa"/>
            <w:noWrap/>
            <w:hideMark/>
          </w:tcPr>
          <w:p w14:paraId="0F473D00" w14:textId="77777777" w:rsidR="008A4C5B" w:rsidRPr="008A4C5B" w:rsidRDefault="008A4C5B">
            <w:r w:rsidRPr="008A4C5B">
              <w:t>61% N2, 29% H2O(g), 7% CO2, 3% O</w:t>
            </w:r>
            <w:proofErr w:type="gramStart"/>
            <w:r w:rsidRPr="008A4C5B">
              <w:t>2 ,</w:t>
            </w:r>
            <w:proofErr w:type="gramEnd"/>
            <w:r w:rsidRPr="008A4C5B">
              <w:t xml:space="preserve"> 0.002% NO, Neg. other NOx</w:t>
            </w:r>
          </w:p>
        </w:tc>
      </w:tr>
      <w:tr w:rsidR="008A4C5B" w:rsidRPr="008A4C5B" w14:paraId="09797BC7" w14:textId="77777777" w:rsidTr="008A4C5B">
        <w:trPr>
          <w:trHeight w:val="300"/>
        </w:trPr>
        <w:tc>
          <w:tcPr>
            <w:tcW w:w="988" w:type="dxa"/>
            <w:noWrap/>
            <w:hideMark/>
          </w:tcPr>
          <w:p w14:paraId="6EA45F31" w14:textId="77777777" w:rsidR="008A4C5B" w:rsidRPr="008A4C5B" w:rsidRDefault="008A4C5B" w:rsidP="008A4C5B">
            <w:r w:rsidRPr="008A4C5B">
              <w:t>14</w:t>
            </w:r>
          </w:p>
        </w:tc>
        <w:tc>
          <w:tcPr>
            <w:tcW w:w="1093" w:type="dxa"/>
            <w:noWrap/>
            <w:hideMark/>
          </w:tcPr>
          <w:p w14:paraId="32E4D1DD" w14:textId="77777777" w:rsidR="008A4C5B" w:rsidRPr="008A4C5B" w:rsidRDefault="008A4C5B" w:rsidP="008A4C5B">
            <w:r w:rsidRPr="008A4C5B">
              <w:t>1852.9</w:t>
            </w:r>
          </w:p>
        </w:tc>
        <w:tc>
          <w:tcPr>
            <w:tcW w:w="1265" w:type="dxa"/>
            <w:noWrap/>
            <w:hideMark/>
          </w:tcPr>
          <w:p w14:paraId="0F53D6E4" w14:textId="77777777" w:rsidR="008A4C5B" w:rsidRPr="008A4C5B" w:rsidRDefault="008A4C5B" w:rsidP="008A4C5B">
            <w:r w:rsidRPr="008A4C5B">
              <w:t>21.43508</w:t>
            </w:r>
          </w:p>
        </w:tc>
        <w:tc>
          <w:tcPr>
            <w:tcW w:w="6004" w:type="dxa"/>
            <w:noWrap/>
            <w:hideMark/>
          </w:tcPr>
          <w:p w14:paraId="1E67A6DF" w14:textId="77777777" w:rsidR="008A4C5B" w:rsidRPr="008A4C5B" w:rsidRDefault="008A4C5B">
            <w:r w:rsidRPr="008A4C5B">
              <w:t>61% N2, 29% H2O(g), 7% CO2, 3% O</w:t>
            </w:r>
            <w:proofErr w:type="gramStart"/>
            <w:r w:rsidRPr="008A4C5B">
              <w:t>2 ,</w:t>
            </w:r>
            <w:proofErr w:type="gramEnd"/>
            <w:r w:rsidRPr="008A4C5B">
              <w:t xml:space="preserve"> Neg. NOx</w:t>
            </w:r>
          </w:p>
        </w:tc>
      </w:tr>
      <w:tr w:rsidR="008A4C5B" w:rsidRPr="008A4C5B" w14:paraId="79E481A3" w14:textId="77777777" w:rsidTr="008A4C5B">
        <w:trPr>
          <w:trHeight w:val="300"/>
        </w:trPr>
        <w:tc>
          <w:tcPr>
            <w:tcW w:w="988" w:type="dxa"/>
            <w:noWrap/>
            <w:hideMark/>
          </w:tcPr>
          <w:p w14:paraId="148E2EB4" w14:textId="77777777" w:rsidR="008A4C5B" w:rsidRPr="008A4C5B" w:rsidRDefault="008A4C5B" w:rsidP="008A4C5B">
            <w:r w:rsidRPr="008A4C5B">
              <w:t>15</w:t>
            </w:r>
          </w:p>
        </w:tc>
        <w:tc>
          <w:tcPr>
            <w:tcW w:w="1093" w:type="dxa"/>
            <w:noWrap/>
            <w:hideMark/>
          </w:tcPr>
          <w:p w14:paraId="2DA265B7" w14:textId="77777777" w:rsidR="008A4C5B" w:rsidRPr="008A4C5B" w:rsidRDefault="008A4C5B" w:rsidP="008A4C5B">
            <w:r w:rsidRPr="008A4C5B">
              <w:t>1011.528959</w:t>
            </w:r>
          </w:p>
        </w:tc>
        <w:tc>
          <w:tcPr>
            <w:tcW w:w="1265" w:type="dxa"/>
            <w:noWrap/>
            <w:hideMark/>
          </w:tcPr>
          <w:p w14:paraId="4A24EB68" w14:textId="77777777" w:rsidR="008A4C5B" w:rsidRPr="008A4C5B" w:rsidRDefault="008A4C5B" w:rsidP="008A4C5B">
            <w:r w:rsidRPr="008A4C5B">
              <w:t>1.039338</w:t>
            </w:r>
          </w:p>
        </w:tc>
        <w:tc>
          <w:tcPr>
            <w:tcW w:w="6004" w:type="dxa"/>
            <w:noWrap/>
            <w:hideMark/>
          </w:tcPr>
          <w:p w14:paraId="0567CB07" w14:textId="77777777" w:rsidR="008A4C5B" w:rsidRPr="008A4C5B" w:rsidRDefault="008A4C5B">
            <w:r w:rsidRPr="008A4C5B">
              <w:t>100% H2O(g)</w:t>
            </w:r>
          </w:p>
        </w:tc>
      </w:tr>
      <w:tr w:rsidR="008A4C5B" w:rsidRPr="008A4C5B" w14:paraId="06DAAE91" w14:textId="77777777" w:rsidTr="008A4C5B">
        <w:trPr>
          <w:trHeight w:val="300"/>
        </w:trPr>
        <w:tc>
          <w:tcPr>
            <w:tcW w:w="988" w:type="dxa"/>
            <w:noWrap/>
            <w:hideMark/>
          </w:tcPr>
          <w:p w14:paraId="4E4E4FF6" w14:textId="77777777" w:rsidR="008A4C5B" w:rsidRPr="008A4C5B" w:rsidRDefault="008A4C5B" w:rsidP="008A4C5B">
            <w:r w:rsidRPr="008A4C5B">
              <w:t>16</w:t>
            </w:r>
          </w:p>
        </w:tc>
        <w:tc>
          <w:tcPr>
            <w:tcW w:w="1093" w:type="dxa"/>
            <w:noWrap/>
            <w:hideMark/>
          </w:tcPr>
          <w:p w14:paraId="2D5E730D" w14:textId="77777777" w:rsidR="008A4C5B" w:rsidRPr="008A4C5B" w:rsidRDefault="008A4C5B" w:rsidP="008A4C5B">
            <w:r w:rsidRPr="008A4C5B">
              <w:t>428.15</w:t>
            </w:r>
          </w:p>
        </w:tc>
        <w:tc>
          <w:tcPr>
            <w:tcW w:w="1265" w:type="dxa"/>
            <w:noWrap/>
            <w:hideMark/>
          </w:tcPr>
          <w:p w14:paraId="1B7075AB" w14:textId="77777777" w:rsidR="008A4C5B" w:rsidRPr="008A4C5B" w:rsidRDefault="008A4C5B" w:rsidP="008A4C5B">
            <w:r w:rsidRPr="008A4C5B">
              <w:t>1.02313</w:t>
            </w:r>
          </w:p>
        </w:tc>
        <w:tc>
          <w:tcPr>
            <w:tcW w:w="6004" w:type="dxa"/>
            <w:noWrap/>
            <w:hideMark/>
          </w:tcPr>
          <w:p w14:paraId="445EE096" w14:textId="77777777" w:rsidR="008A4C5B" w:rsidRPr="008A4C5B" w:rsidRDefault="008A4C5B">
            <w:r w:rsidRPr="008A4C5B">
              <w:t>100% H2O(g)</w:t>
            </w:r>
          </w:p>
        </w:tc>
      </w:tr>
      <w:tr w:rsidR="008A4C5B" w:rsidRPr="008A4C5B" w14:paraId="3247340D" w14:textId="77777777" w:rsidTr="008A4C5B">
        <w:trPr>
          <w:trHeight w:val="300"/>
        </w:trPr>
        <w:tc>
          <w:tcPr>
            <w:tcW w:w="988" w:type="dxa"/>
            <w:noWrap/>
            <w:hideMark/>
          </w:tcPr>
          <w:p w14:paraId="0E679C83" w14:textId="77777777" w:rsidR="008A4C5B" w:rsidRPr="008A4C5B" w:rsidRDefault="008A4C5B" w:rsidP="008A4C5B">
            <w:r w:rsidRPr="008A4C5B">
              <w:t>17</w:t>
            </w:r>
          </w:p>
        </w:tc>
        <w:tc>
          <w:tcPr>
            <w:tcW w:w="1093" w:type="dxa"/>
            <w:noWrap/>
            <w:hideMark/>
          </w:tcPr>
          <w:p w14:paraId="37EC0B08" w14:textId="77777777" w:rsidR="008A4C5B" w:rsidRPr="008A4C5B" w:rsidRDefault="008A4C5B" w:rsidP="008A4C5B">
            <w:r w:rsidRPr="008A4C5B">
              <w:t>838.65</w:t>
            </w:r>
          </w:p>
        </w:tc>
        <w:tc>
          <w:tcPr>
            <w:tcW w:w="1265" w:type="dxa"/>
            <w:noWrap/>
            <w:hideMark/>
          </w:tcPr>
          <w:p w14:paraId="757009A5" w14:textId="77777777" w:rsidR="008A4C5B" w:rsidRPr="008A4C5B" w:rsidRDefault="008A4C5B" w:rsidP="008A4C5B">
            <w:r w:rsidRPr="008A4C5B">
              <w:t>123.586</w:t>
            </w:r>
          </w:p>
        </w:tc>
        <w:tc>
          <w:tcPr>
            <w:tcW w:w="6004" w:type="dxa"/>
            <w:noWrap/>
            <w:hideMark/>
          </w:tcPr>
          <w:p w14:paraId="662EF3AD" w14:textId="77777777" w:rsidR="008A4C5B" w:rsidRPr="008A4C5B" w:rsidRDefault="008A4C5B">
            <w:r w:rsidRPr="008A4C5B">
              <w:t>100% H2O(g)</w:t>
            </w:r>
          </w:p>
        </w:tc>
      </w:tr>
      <w:tr w:rsidR="008A4C5B" w:rsidRPr="008A4C5B" w14:paraId="4F9FFAE0" w14:textId="77777777" w:rsidTr="008A4C5B">
        <w:trPr>
          <w:trHeight w:val="300"/>
        </w:trPr>
        <w:tc>
          <w:tcPr>
            <w:tcW w:w="988" w:type="dxa"/>
            <w:noWrap/>
            <w:hideMark/>
          </w:tcPr>
          <w:p w14:paraId="70A4A864" w14:textId="77777777" w:rsidR="008A4C5B" w:rsidRPr="008A4C5B" w:rsidRDefault="008A4C5B" w:rsidP="008A4C5B">
            <w:r w:rsidRPr="008A4C5B">
              <w:t>18</w:t>
            </w:r>
          </w:p>
        </w:tc>
        <w:tc>
          <w:tcPr>
            <w:tcW w:w="1093" w:type="dxa"/>
            <w:noWrap/>
            <w:hideMark/>
          </w:tcPr>
          <w:p w14:paraId="77DD0414" w14:textId="77777777" w:rsidR="008A4C5B" w:rsidRPr="008A4C5B" w:rsidRDefault="008A4C5B" w:rsidP="008A4C5B">
            <w:r w:rsidRPr="008A4C5B">
              <w:t>586.7338269</w:t>
            </w:r>
          </w:p>
        </w:tc>
        <w:tc>
          <w:tcPr>
            <w:tcW w:w="1265" w:type="dxa"/>
            <w:noWrap/>
            <w:hideMark/>
          </w:tcPr>
          <w:p w14:paraId="74F267ED" w14:textId="77777777" w:rsidR="008A4C5B" w:rsidRPr="008A4C5B" w:rsidRDefault="008A4C5B" w:rsidP="008A4C5B">
            <w:r w:rsidRPr="008A4C5B">
              <w:t>23.88654</w:t>
            </w:r>
          </w:p>
        </w:tc>
        <w:tc>
          <w:tcPr>
            <w:tcW w:w="6004" w:type="dxa"/>
            <w:noWrap/>
            <w:hideMark/>
          </w:tcPr>
          <w:p w14:paraId="1289E843" w14:textId="77777777" w:rsidR="008A4C5B" w:rsidRPr="008A4C5B" w:rsidRDefault="008A4C5B">
            <w:r w:rsidRPr="008A4C5B">
              <w:t>100% H2O(g)</w:t>
            </w:r>
          </w:p>
        </w:tc>
      </w:tr>
      <w:tr w:rsidR="008A4C5B" w:rsidRPr="008A4C5B" w14:paraId="5382AB27" w14:textId="77777777" w:rsidTr="008A4C5B">
        <w:trPr>
          <w:trHeight w:val="300"/>
        </w:trPr>
        <w:tc>
          <w:tcPr>
            <w:tcW w:w="988" w:type="dxa"/>
            <w:noWrap/>
            <w:hideMark/>
          </w:tcPr>
          <w:p w14:paraId="4768477B" w14:textId="77777777" w:rsidR="008A4C5B" w:rsidRPr="008A4C5B" w:rsidRDefault="008A4C5B" w:rsidP="008A4C5B">
            <w:r w:rsidRPr="008A4C5B">
              <w:t>19</w:t>
            </w:r>
          </w:p>
        </w:tc>
        <w:tc>
          <w:tcPr>
            <w:tcW w:w="1093" w:type="dxa"/>
            <w:noWrap/>
            <w:hideMark/>
          </w:tcPr>
          <w:p w14:paraId="068B06F0" w14:textId="77777777" w:rsidR="008A4C5B" w:rsidRPr="008A4C5B" w:rsidRDefault="008A4C5B" w:rsidP="008A4C5B">
            <w:r w:rsidRPr="008A4C5B">
              <w:t>838.65</w:t>
            </w:r>
          </w:p>
        </w:tc>
        <w:tc>
          <w:tcPr>
            <w:tcW w:w="1265" w:type="dxa"/>
            <w:noWrap/>
            <w:hideMark/>
          </w:tcPr>
          <w:p w14:paraId="1E95E315" w14:textId="77777777" w:rsidR="008A4C5B" w:rsidRPr="008A4C5B" w:rsidRDefault="008A4C5B" w:rsidP="008A4C5B">
            <w:r w:rsidRPr="008A4C5B">
              <w:t>23.88654</w:t>
            </w:r>
          </w:p>
        </w:tc>
        <w:tc>
          <w:tcPr>
            <w:tcW w:w="6004" w:type="dxa"/>
            <w:noWrap/>
            <w:hideMark/>
          </w:tcPr>
          <w:p w14:paraId="77355173" w14:textId="77777777" w:rsidR="008A4C5B" w:rsidRPr="008A4C5B" w:rsidRDefault="008A4C5B">
            <w:r w:rsidRPr="008A4C5B">
              <w:t>100% H2O(g)</w:t>
            </w:r>
          </w:p>
        </w:tc>
      </w:tr>
      <w:tr w:rsidR="008A4C5B" w:rsidRPr="008A4C5B" w14:paraId="6A9A4DA9" w14:textId="77777777" w:rsidTr="008A4C5B">
        <w:trPr>
          <w:trHeight w:val="300"/>
        </w:trPr>
        <w:tc>
          <w:tcPr>
            <w:tcW w:w="988" w:type="dxa"/>
            <w:noWrap/>
            <w:hideMark/>
          </w:tcPr>
          <w:p w14:paraId="56ECD31B" w14:textId="77777777" w:rsidR="008A4C5B" w:rsidRPr="008A4C5B" w:rsidRDefault="008A4C5B" w:rsidP="008A4C5B">
            <w:r w:rsidRPr="008A4C5B">
              <w:t>20</w:t>
            </w:r>
          </w:p>
        </w:tc>
        <w:tc>
          <w:tcPr>
            <w:tcW w:w="1093" w:type="dxa"/>
            <w:noWrap/>
            <w:hideMark/>
          </w:tcPr>
          <w:p w14:paraId="566B87C7" w14:textId="77777777" w:rsidR="008A4C5B" w:rsidRPr="008A4C5B" w:rsidRDefault="008A4C5B" w:rsidP="008A4C5B">
            <w:r w:rsidRPr="008A4C5B">
              <w:t>838.65</w:t>
            </w:r>
          </w:p>
        </w:tc>
        <w:tc>
          <w:tcPr>
            <w:tcW w:w="1265" w:type="dxa"/>
            <w:noWrap/>
            <w:hideMark/>
          </w:tcPr>
          <w:p w14:paraId="7644B661" w14:textId="77777777" w:rsidR="008A4C5B" w:rsidRPr="008A4C5B" w:rsidRDefault="008A4C5B" w:rsidP="008A4C5B">
            <w:r w:rsidRPr="008A4C5B">
              <w:t>23.88654</w:t>
            </w:r>
          </w:p>
        </w:tc>
        <w:tc>
          <w:tcPr>
            <w:tcW w:w="6004" w:type="dxa"/>
            <w:noWrap/>
            <w:hideMark/>
          </w:tcPr>
          <w:p w14:paraId="4515A651" w14:textId="77777777" w:rsidR="008A4C5B" w:rsidRPr="008A4C5B" w:rsidRDefault="008A4C5B">
            <w:r w:rsidRPr="008A4C5B">
              <w:t>100% H2O(g)</w:t>
            </w:r>
          </w:p>
        </w:tc>
      </w:tr>
      <w:tr w:rsidR="008A4C5B" w:rsidRPr="008A4C5B" w14:paraId="5679EFF6" w14:textId="77777777" w:rsidTr="008A4C5B">
        <w:trPr>
          <w:trHeight w:val="300"/>
        </w:trPr>
        <w:tc>
          <w:tcPr>
            <w:tcW w:w="988" w:type="dxa"/>
            <w:noWrap/>
            <w:hideMark/>
          </w:tcPr>
          <w:p w14:paraId="3CA23D3D" w14:textId="77777777" w:rsidR="008A4C5B" w:rsidRPr="008A4C5B" w:rsidRDefault="008A4C5B" w:rsidP="008A4C5B">
            <w:r w:rsidRPr="008A4C5B">
              <w:t>21</w:t>
            </w:r>
          </w:p>
        </w:tc>
        <w:tc>
          <w:tcPr>
            <w:tcW w:w="1093" w:type="dxa"/>
            <w:noWrap/>
            <w:hideMark/>
          </w:tcPr>
          <w:p w14:paraId="371415C4" w14:textId="77777777" w:rsidR="008A4C5B" w:rsidRPr="008A4C5B" w:rsidRDefault="008A4C5B" w:rsidP="008A4C5B">
            <w:r w:rsidRPr="008A4C5B">
              <w:t>513.4686376</w:t>
            </w:r>
          </w:p>
        </w:tc>
        <w:tc>
          <w:tcPr>
            <w:tcW w:w="1265" w:type="dxa"/>
            <w:noWrap/>
            <w:hideMark/>
          </w:tcPr>
          <w:p w14:paraId="1893DA6B" w14:textId="77777777" w:rsidR="008A4C5B" w:rsidRPr="008A4C5B" w:rsidRDefault="008A4C5B" w:rsidP="008A4C5B">
            <w:r w:rsidRPr="008A4C5B">
              <w:t>2.36029</w:t>
            </w:r>
          </w:p>
        </w:tc>
        <w:tc>
          <w:tcPr>
            <w:tcW w:w="6004" w:type="dxa"/>
            <w:noWrap/>
            <w:hideMark/>
          </w:tcPr>
          <w:p w14:paraId="7B2F0905" w14:textId="77777777" w:rsidR="008A4C5B" w:rsidRPr="008A4C5B" w:rsidRDefault="008A4C5B">
            <w:r w:rsidRPr="008A4C5B">
              <w:t>100% H2O(g)</w:t>
            </w:r>
          </w:p>
        </w:tc>
      </w:tr>
      <w:tr w:rsidR="008A4C5B" w:rsidRPr="008A4C5B" w14:paraId="4B6A84A9" w14:textId="77777777" w:rsidTr="008A4C5B">
        <w:trPr>
          <w:trHeight w:val="300"/>
        </w:trPr>
        <w:tc>
          <w:tcPr>
            <w:tcW w:w="988" w:type="dxa"/>
            <w:noWrap/>
            <w:hideMark/>
          </w:tcPr>
          <w:p w14:paraId="1EF7A6FB" w14:textId="77777777" w:rsidR="008A4C5B" w:rsidRPr="008A4C5B" w:rsidRDefault="008A4C5B" w:rsidP="008A4C5B">
            <w:r w:rsidRPr="008A4C5B">
              <w:t>22</w:t>
            </w:r>
          </w:p>
        </w:tc>
        <w:tc>
          <w:tcPr>
            <w:tcW w:w="1093" w:type="dxa"/>
            <w:noWrap/>
            <w:hideMark/>
          </w:tcPr>
          <w:p w14:paraId="1DCDB344" w14:textId="77777777" w:rsidR="008A4C5B" w:rsidRPr="008A4C5B" w:rsidRDefault="008A4C5B" w:rsidP="008A4C5B">
            <w:r w:rsidRPr="008A4C5B">
              <w:t>292.15</w:t>
            </w:r>
          </w:p>
        </w:tc>
        <w:tc>
          <w:tcPr>
            <w:tcW w:w="1265" w:type="dxa"/>
            <w:noWrap/>
            <w:hideMark/>
          </w:tcPr>
          <w:p w14:paraId="77630780" w14:textId="77777777" w:rsidR="008A4C5B" w:rsidRPr="008A4C5B" w:rsidRDefault="008A4C5B" w:rsidP="008A4C5B">
            <w:r w:rsidRPr="008A4C5B">
              <w:t>2.0062465</w:t>
            </w:r>
          </w:p>
        </w:tc>
        <w:tc>
          <w:tcPr>
            <w:tcW w:w="6004" w:type="dxa"/>
            <w:noWrap/>
            <w:hideMark/>
          </w:tcPr>
          <w:p w14:paraId="2D23A480" w14:textId="77777777" w:rsidR="008A4C5B" w:rsidRPr="008A4C5B" w:rsidRDefault="008A4C5B">
            <w:r w:rsidRPr="008A4C5B">
              <w:t>100% H2O(l)</w:t>
            </w:r>
          </w:p>
        </w:tc>
      </w:tr>
      <w:tr w:rsidR="008A4C5B" w:rsidRPr="008A4C5B" w14:paraId="75C5FF2F" w14:textId="77777777" w:rsidTr="008A4C5B">
        <w:trPr>
          <w:trHeight w:val="300"/>
        </w:trPr>
        <w:tc>
          <w:tcPr>
            <w:tcW w:w="988" w:type="dxa"/>
            <w:noWrap/>
            <w:hideMark/>
          </w:tcPr>
          <w:p w14:paraId="50703025" w14:textId="77777777" w:rsidR="008A4C5B" w:rsidRPr="008A4C5B" w:rsidRDefault="008A4C5B" w:rsidP="008A4C5B">
            <w:r w:rsidRPr="008A4C5B">
              <w:t>23</w:t>
            </w:r>
          </w:p>
        </w:tc>
        <w:tc>
          <w:tcPr>
            <w:tcW w:w="1093" w:type="dxa"/>
            <w:noWrap/>
            <w:hideMark/>
          </w:tcPr>
          <w:p w14:paraId="7AF3D2BB" w14:textId="77777777" w:rsidR="008A4C5B" w:rsidRPr="008A4C5B" w:rsidRDefault="008A4C5B" w:rsidP="008A4C5B">
            <w:r w:rsidRPr="008A4C5B">
              <w:t>283.15</w:t>
            </w:r>
          </w:p>
        </w:tc>
        <w:tc>
          <w:tcPr>
            <w:tcW w:w="1265" w:type="dxa"/>
            <w:noWrap/>
            <w:hideMark/>
          </w:tcPr>
          <w:p w14:paraId="76E84139" w14:textId="77777777" w:rsidR="008A4C5B" w:rsidRPr="008A4C5B" w:rsidRDefault="008A4C5B" w:rsidP="008A4C5B">
            <w:r w:rsidRPr="008A4C5B">
              <w:t>1.013</w:t>
            </w:r>
          </w:p>
        </w:tc>
        <w:tc>
          <w:tcPr>
            <w:tcW w:w="6004" w:type="dxa"/>
            <w:noWrap/>
            <w:hideMark/>
          </w:tcPr>
          <w:p w14:paraId="471B1A1F" w14:textId="77777777" w:rsidR="008A4C5B" w:rsidRPr="008A4C5B" w:rsidRDefault="008A4C5B">
            <w:r w:rsidRPr="008A4C5B">
              <w:t>100% H2O(l)</w:t>
            </w:r>
          </w:p>
        </w:tc>
      </w:tr>
      <w:tr w:rsidR="008A4C5B" w:rsidRPr="008A4C5B" w14:paraId="6E0904E4" w14:textId="77777777" w:rsidTr="008A4C5B">
        <w:trPr>
          <w:trHeight w:val="300"/>
        </w:trPr>
        <w:tc>
          <w:tcPr>
            <w:tcW w:w="988" w:type="dxa"/>
            <w:noWrap/>
            <w:hideMark/>
          </w:tcPr>
          <w:p w14:paraId="47DBABCE" w14:textId="77777777" w:rsidR="008A4C5B" w:rsidRPr="008A4C5B" w:rsidRDefault="008A4C5B" w:rsidP="008A4C5B">
            <w:r w:rsidRPr="008A4C5B">
              <w:t>24</w:t>
            </w:r>
          </w:p>
        </w:tc>
        <w:tc>
          <w:tcPr>
            <w:tcW w:w="1093" w:type="dxa"/>
            <w:noWrap/>
            <w:hideMark/>
          </w:tcPr>
          <w:p w14:paraId="515ACFE2" w14:textId="77777777" w:rsidR="008A4C5B" w:rsidRPr="008A4C5B" w:rsidRDefault="008A4C5B" w:rsidP="008A4C5B">
            <w:r w:rsidRPr="008A4C5B">
              <w:t>321.15</w:t>
            </w:r>
          </w:p>
        </w:tc>
        <w:tc>
          <w:tcPr>
            <w:tcW w:w="1265" w:type="dxa"/>
            <w:noWrap/>
            <w:hideMark/>
          </w:tcPr>
          <w:p w14:paraId="23E5E6F9" w14:textId="77777777" w:rsidR="008A4C5B" w:rsidRPr="008A4C5B" w:rsidRDefault="008A4C5B" w:rsidP="008A4C5B">
            <w:r w:rsidRPr="008A4C5B">
              <w:t>130.0905263</w:t>
            </w:r>
          </w:p>
        </w:tc>
        <w:tc>
          <w:tcPr>
            <w:tcW w:w="6004" w:type="dxa"/>
            <w:noWrap/>
            <w:hideMark/>
          </w:tcPr>
          <w:p w14:paraId="45DA9814" w14:textId="77777777" w:rsidR="008A4C5B" w:rsidRPr="008A4C5B" w:rsidRDefault="008A4C5B">
            <w:r w:rsidRPr="008A4C5B">
              <w:t>100% H2O(l)</w:t>
            </w:r>
          </w:p>
        </w:tc>
      </w:tr>
      <w:tr w:rsidR="008A4C5B" w:rsidRPr="008A4C5B" w14:paraId="38239F37" w14:textId="77777777" w:rsidTr="008A4C5B">
        <w:trPr>
          <w:trHeight w:val="300"/>
        </w:trPr>
        <w:tc>
          <w:tcPr>
            <w:tcW w:w="988" w:type="dxa"/>
            <w:noWrap/>
            <w:hideMark/>
          </w:tcPr>
          <w:p w14:paraId="6B0D7F8F" w14:textId="77777777" w:rsidR="008A4C5B" w:rsidRPr="008A4C5B" w:rsidRDefault="008A4C5B" w:rsidP="008A4C5B">
            <w:r w:rsidRPr="008A4C5B">
              <w:t>25</w:t>
            </w:r>
          </w:p>
        </w:tc>
        <w:tc>
          <w:tcPr>
            <w:tcW w:w="1093" w:type="dxa"/>
            <w:noWrap/>
            <w:hideMark/>
          </w:tcPr>
          <w:p w14:paraId="7FE37DF7" w14:textId="77777777" w:rsidR="008A4C5B" w:rsidRPr="008A4C5B" w:rsidRDefault="008A4C5B" w:rsidP="008A4C5B">
            <w:r w:rsidRPr="008A4C5B">
              <w:t>536</w:t>
            </w:r>
          </w:p>
        </w:tc>
        <w:tc>
          <w:tcPr>
            <w:tcW w:w="1265" w:type="dxa"/>
            <w:noWrap/>
            <w:hideMark/>
          </w:tcPr>
          <w:p w14:paraId="55647805" w14:textId="77777777" w:rsidR="008A4C5B" w:rsidRPr="008A4C5B" w:rsidRDefault="008A4C5B" w:rsidP="008A4C5B">
            <w:r w:rsidRPr="008A4C5B">
              <w:t>23.299</w:t>
            </w:r>
          </w:p>
        </w:tc>
        <w:tc>
          <w:tcPr>
            <w:tcW w:w="6004" w:type="dxa"/>
            <w:noWrap/>
            <w:hideMark/>
          </w:tcPr>
          <w:p w14:paraId="0A5D4B6F" w14:textId="77777777" w:rsidR="008A4C5B" w:rsidRPr="008A4C5B" w:rsidRDefault="008A4C5B">
            <w:r w:rsidRPr="008A4C5B">
              <w:t xml:space="preserve">91.3% Methane, 5.36% Ethane, 2.83% Nitrogen, 0.5% </w:t>
            </w:r>
            <w:proofErr w:type="gramStart"/>
            <w:r w:rsidRPr="008A4C5B">
              <w:t>CO2  and</w:t>
            </w:r>
            <w:proofErr w:type="gramEnd"/>
            <w:r w:rsidRPr="008A4C5B">
              <w:t xml:space="preserve"> 0.01% O2</w:t>
            </w:r>
          </w:p>
        </w:tc>
      </w:tr>
    </w:tbl>
    <w:p w14:paraId="768C49E1" w14:textId="77777777" w:rsidR="00137D02" w:rsidRDefault="00137D02" w:rsidP="00F108AC">
      <w:pPr>
        <w:sectPr w:rsidR="00137D02" w:rsidSect="008A4C5B">
          <w:type w:val="continuous"/>
          <w:pgSz w:w="12240" w:h="15840"/>
          <w:pgMar w:top="1440" w:right="1440" w:bottom="1440" w:left="1440" w:header="708" w:footer="708" w:gutter="0"/>
          <w:cols w:space="708"/>
          <w:docGrid w:linePitch="360"/>
        </w:sectPr>
      </w:pPr>
    </w:p>
    <w:p w14:paraId="25C793B2" w14:textId="02DCE32E" w:rsidR="00BA3097" w:rsidRDefault="00364D7F" w:rsidP="00BA3097">
      <w:pPr>
        <w:pStyle w:val="Heading2"/>
      </w:pPr>
      <w:r>
        <w:lastRenderedPageBreak/>
        <w:t>Analysis</w:t>
      </w:r>
    </w:p>
    <w:p w14:paraId="5AB7E133" w14:textId="77777777" w:rsidR="00BA3097" w:rsidRDefault="00BA3097" w:rsidP="00BA3097">
      <w:pPr>
        <w:sectPr w:rsidR="00BA3097" w:rsidSect="00137D02">
          <w:type w:val="continuous"/>
          <w:pgSz w:w="12240" w:h="15840"/>
          <w:pgMar w:top="1440" w:right="1440" w:bottom="1440" w:left="1440" w:header="708" w:footer="708" w:gutter="0"/>
          <w:cols w:space="708"/>
          <w:docGrid w:linePitch="360"/>
        </w:sectPr>
      </w:pPr>
      <w:r>
        <w:t>The following parameter information was given by the coursework sheet:</w:t>
      </w:r>
    </w:p>
    <w:tbl>
      <w:tblPr>
        <w:tblW w:w="3340" w:type="dxa"/>
        <w:tblLook w:val="04A0" w:firstRow="1" w:lastRow="0" w:firstColumn="1" w:lastColumn="0" w:noHBand="0" w:noVBand="1"/>
      </w:tblPr>
      <w:tblGrid>
        <w:gridCol w:w="960"/>
        <w:gridCol w:w="960"/>
        <w:gridCol w:w="1420"/>
      </w:tblGrid>
      <w:tr w:rsidR="00BA3097" w:rsidRPr="00BA3097" w14:paraId="4675CE0C" w14:textId="77777777" w:rsidTr="00BA3097">
        <w:trPr>
          <w:trHeight w:val="300"/>
        </w:trPr>
        <w:tc>
          <w:tcPr>
            <w:tcW w:w="960" w:type="dxa"/>
            <w:tcBorders>
              <w:top w:val="nil"/>
              <w:left w:val="nil"/>
              <w:bottom w:val="nil"/>
              <w:right w:val="nil"/>
            </w:tcBorders>
            <w:shd w:val="clear" w:color="auto" w:fill="auto"/>
            <w:noWrap/>
            <w:vAlign w:val="bottom"/>
            <w:hideMark/>
          </w:tcPr>
          <w:p w14:paraId="6F72A049"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Position</w:t>
            </w:r>
          </w:p>
        </w:tc>
        <w:tc>
          <w:tcPr>
            <w:tcW w:w="960" w:type="dxa"/>
            <w:tcBorders>
              <w:top w:val="nil"/>
              <w:left w:val="nil"/>
              <w:bottom w:val="nil"/>
              <w:right w:val="nil"/>
            </w:tcBorders>
            <w:shd w:val="clear" w:color="auto" w:fill="auto"/>
            <w:noWrap/>
            <w:vAlign w:val="bottom"/>
            <w:hideMark/>
          </w:tcPr>
          <w:p w14:paraId="1B7C0EEE"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Temp (K)</w:t>
            </w:r>
          </w:p>
        </w:tc>
        <w:tc>
          <w:tcPr>
            <w:tcW w:w="1420" w:type="dxa"/>
            <w:tcBorders>
              <w:top w:val="nil"/>
              <w:left w:val="nil"/>
              <w:bottom w:val="nil"/>
              <w:right w:val="nil"/>
            </w:tcBorders>
            <w:shd w:val="clear" w:color="auto" w:fill="auto"/>
            <w:noWrap/>
            <w:vAlign w:val="bottom"/>
            <w:hideMark/>
          </w:tcPr>
          <w:p w14:paraId="015574FD"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Pressure (bar)</w:t>
            </w:r>
          </w:p>
        </w:tc>
      </w:tr>
      <w:tr w:rsidR="00BA3097" w:rsidRPr="00BA3097" w14:paraId="75697C27" w14:textId="77777777" w:rsidTr="00BA3097">
        <w:trPr>
          <w:trHeight w:val="300"/>
        </w:trPr>
        <w:tc>
          <w:tcPr>
            <w:tcW w:w="960" w:type="dxa"/>
            <w:tcBorders>
              <w:top w:val="nil"/>
              <w:left w:val="nil"/>
              <w:bottom w:val="nil"/>
              <w:right w:val="nil"/>
            </w:tcBorders>
            <w:shd w:val="clear" w:color="auto" w:fill="auto"/>
            <w:noWrap/>
            <w:vAlign w:val="bottom"/>
            <w:hideMark/>
          </w:tcPr>
          <w:p w14:paraId="306E8EC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C686D9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6D41190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800111D" w14:textId="77777777" w:rsidTr="00BA3097">
        <w:trPr>
          <w:trHeight w:val="300"/>
        </w:trPr>
        <w:tc>
          <w:tcPr>
            <w:tcW w:w="960" w:type="dxa"/>
            <w:tcBorders>
              <w:top w:val="nil"/>
              <w:left w:val="nil"/>
              <w:bottom w:val="nil"/>
              <w:right w:val="nil"/>
            </w:tcBorders>
            <w:shd w:val="clear" w:color="auto" w:fill="auto"/>
            <w:noWrap/>
            <w:vAlign w:val="bottom"/>
            <w:hideMark/>
          </w:tcPr>
          <w:p w14:paraId="6ACCCB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DB8CC6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458706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B3D0853" w14:textId="77777777" w:rsidTr="00BA3097">
        <w:trPr>
          <w:trHeight w:val="300"/>
        </w:trPr>
        <w:tc>
          <w:tcPr>
            <w:tcW w:w="960" w:type="dxa"/>
            <w:tcBorders>
              <w:top w:val="nil"/>
              <w:left w:val="nil"/>
              <w:bottom w:val="nil"/>
              <w:right w:val="nil"/>
            </w:tcBorders>
            <w:shd w:val="clear" w:color="auto" w:fill="auto"/>
            <w:noWrap/>
            <w:vAlign w:val="bottom"/>
            <w:hideMark/>
          </w:tcPr>
          <w:p w14:paraId="659D71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40719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7F57ED7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1.039338</w:t>
            </w:r>
          </w:p>
        </w:tc>
      </w:tr>
      <w:tr w:rsidR="00BA3097" w:rsidRPr="00BA3097" w14:paraId="7101742C" w14:textId="77777777" w:rsidTr="00BA3097">
        <w:trPr>
          <w:trHeight w:val="300"/>
        </w:trPr>
        <w:tc>
          <w:tcPr>
            <w:tcW w:w="960" w:type="dxa"/>
            <w:tcBorders>
              <w:top w:val="nil"/>
              <w:left w:val="nil"/>
              <w:bottom w:val="nil"/>
              <w:right w:val="nil"/>
            </w:tcBorders>
            <w:shd w:val="clear" w:color="auto" w:fill="auto"/>
            <w:noWrap/>
            <w:vAlign w:val="bottom"/>
            <w:hideMark/>
          </w:tcPr>
          <w:p w14:paraId="1F75572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739D6EDF"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428.15</w:t>
            </w:r>
          </w:p>
        </w:tc>
        <w:tc>
          <w:tcPr>
            <w:tcW w:w="1420" w:type="dxa"/>
            <w:tcBorders>
              <w:top w:val="nil"/>
              <w:left w:val="nil"/>
              <w:bottom w:val="nil"/>
              <w:right w:val="nil"/>
            </w:tcBorders>
            <w:shd w:val="clear" w:color="auto" w:fill="auto"/>
            <w:noWrap/>
            <w:vAlign w:val="bottom"/>
            <w:hideMark/>
          </w:tcPr>
          <w:p w14:paraId="79B35C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1.02313</w:t>
            </w:r>
          </w:p>
        </w:tc>
      </w:tr>
      <w:tr w:rsidR="00BA3097" w:rsidRPr="00BA3097" w14:paraId="2E42DC17" w14:textId="77777777" w:rsidTr="00BA3097">
        <w:trPr>
          <w:trHeight w:val="300"/>
        </w:trPr>
        <w:tc>
          <w:tcPr>
            <w:tcW w:w="960" w:type="dxa"/>
            <w:tcBorders>
              <w:top w:val="nil"/>
              <w:left w:val="nil"/>
              <w:bottom w:val="nil"/>
              <w:right w:val="nil"/>
            </w:tcBorders>
            <w:shd w:val="clear" w:color="auto" w:fill="auto"/>
            <w:noWrap/>
            <w:vAlign w:val="bottom"/>
            <w:hideMark/>
          </w:tcPr>
          <w:p w14:paraId="5FD2A81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2F87F1D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0D55C3B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123.586</w:t>
            </w:r>
          </w:p>
        </w:tc>
      </w:tr>
      <w:tr w:rsidR="00BA3097" w:rsidRPr="00BA3097" w14:paraId="6CF8261B" w14:textId="77777777" w:rsidTr="00BA3097">
        <w:trPr>
          <w:trHeight w:val="300"/>
        </w:trPr>
        <w:tc>
          <w:tcPr>
            <w:tcW w:w="960" w:type="dxa"/>
            <w:tcBorders>
              <w:top w:val="nil"/>
              <w:left w:val="nil"/>
              <w:bottom w:val="nil"/>
              <w:right w:val="nil"/>
            </w:tcBorders>
            <w:shd w:val="clear" w:color="auto" w:fill="auto"/>
            <w:noWrap/>
            <w:vAlign w:val="bottom"/>
            <w:hideMark/>
          </w:tcPr>
          <w:p w14:paraId="56021B3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29DA39E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33EB827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23.88654</w:t>
            </w:r>
          </w:p>
        </w:tc>
      </w:tr>
      <w:tr w:rsidR="00BA3097" w:rsidRPr="00BA3097" w14:paraId="39C3CE44" w14:textId="77777777" w:rsidTr="00BA3097">
        <w:trPr>
          <w:trHeight w:val="300"/>
        </w:trPr>
        <w:tc>
          <w:tcPr>
            <w:tcW w:w="960" w:type="dxa"/>
            <w:tcBorders>
              <w:top w:val="nil"/>
              <w:left w:val="nil"/>
              <w:bottom w:val="nil"/>
              <w:right w:val="nil"/>
            </w:tcBorders>
            <w:shd w:val="clear" w:color="auto" w:fill="auto"/>
            <w:noWrap/>
            <w:vAlign w:val="bottom"/>
            <w:hideMark/>
          </w:tcPr>
          <w:p w14:paraId="06DAB9B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10138E8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594EA95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1046DAF3" w14:textId="77777777" w:rsidTr="00BA3097">
        <w:trPr>
          <w:trHeight w:val="300"/>
        </w:trPr>
        <w:tc>
          <w:tcPr>
            <w:tcW w:w="960" w:type="dxa"/>
            <w:tcBorders>
              <w:top w:val="nil"/>
              <w:left w:val="nil"/>
              <w:bottom w:val="nil"/>
              <w:right w:val="nil"/>
            </w:tcBorders>
            <w:shd w:val="clear" w:color="auto" w:fill="auto"/>
            <w:noWrap/>
            <w:vAlign w:val="bottom"/>
            <w:hideMark/>
          </w:tcPr>
          <w:p w14:paraId="27CCE81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7AF1591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17F43FF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2.36029</w:t>
            </w:r>
          </w:p>
        </w:tc>
      </w:tr>
      <w:tr w:rsidR="00BA3097" w:rsidRPr="00BA3097" w14:paraId="09FA65C9" w14:textId="77777777" w:rsidTr="00BA3097">
        <w:trPr>
          <w:trHeight w:val="300"/>
        </w:trPr>
        <w:tc>
          <w:tcPr>
            <w:tcW w:w="960" w:type="dxa"/>
            <w:tcBorders>
              <w:top w:val="nil"/>
              <w:left w:val="nil"/>
              <w:bottom w:val="nil"/>
              <w:right w:val="nil"/>
            </w:tcBorders>
            <w:shd w:val="clear" w:color="auto" w:fill="auto"/>
            <w:noWrap/>
            <w:vAlign w:val="bottom"/>
            <w:hideMark/>
          </w:tcPr>
          <w:p w14:paraId="094A453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014D23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292.15</w:t>
            </w:r>
          </w:p>
        </w:tc>
        <w:tc>
          <w:tcPr>
            <w:tcW w:w="1420" w:type="dxa"/>
            <w:tcBorders>
              <w:top w:val="nil"/>
              <w:left w:val="nil"/>
              <w:bottom w:val="nil"/>
              <w:right w:val="nil"/>
            </w:tcBorders>
            <w:shd w:val="clear" w:color="auto" w:fill="auto"/>
            <w:noWrap/>
            <w:vAlign w:val="bottom"/>
            <w:hideMark/>
          </w:tcPr>
          <w:p w14:paraId="074555D4"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37C69024" w14:textId="77777777" w:rsidTr="00BA3097">
        <w:trPr>
          <w:trHeight w:val="300"/>
        </w:trPr>
        <w:tc>
          <w:tcPr>
            <w:tcW w:w="960" w:type="dxa"/>
            <w:tcBorders>
              <w:top w:val="nil"/>
              <w:left w:val="nil"/>
              <w:bottom w:val="nil"/>
              <w:right w:val="nil"/>
            </w:tcBorders>
            <w:shd w:val="clear" w:color="auto" w:fill="auto"/>
            <w:noWrap/>
            <w:vAlign w:val="bottom"/>
            <w:hideMark/>
          </w:tcPr>
          <w:p w14:paraId="661F7EBC"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614DE90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283.15</w:t>
            </w:r>
          </w:p>
        </w:tc>
        <w:tc>
          <w:tcPr>
            <w:tcW w:w="1420" w:type="dxa"/>
            <w:tcBorders>
              <w:top w:val="nil"/>
              <w:left w:val="nil"/>
              <w:bottom w:val="nil"/>
              <w:right w:val="nil"/>
            </w:tcBorders>
            <w:shd w:val="clear" w:color="auto" w:fill="auto"/>
            <w:noWrap/>
            <w:vAlign w:val="bottom"/>
            <w:hideMark/>
          </w:tcPr>
          <w:p w14:paraId="04F14A9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5069E4CF" w14:textId="77777777" w:rsidTr="00BA3097">
        <w:trPr>
          <w:trHeight w:val="300"/>
        </w:trPr>
        <w:tc>
          <w:tcPr>
            <w:tcW w:w="960" w:type="dxa"/>
            <w:tcBorders>
              <w:top w:val="nil"/>
              <w:left w:val="nil"/>
              <w:bottom w:val="nil"/>
              <w:right w:val="nil"/>
            </w:tcBorders>
            <w:shd w:val="clear" w:color="auto" w:fill="auto"/>
            <w:noWrap/>
            <w:vAlign w:val="bottom"/>
            <w:hideMark/>
          </w:tcPr>
          <w:p w14:paraId="57948B6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14:paraId="78B4851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321.15</w:t>
            </w:r>
          </w:p>
        </w:tc>
        <w:tc>
          <w:tcPr>
            <w:tcW w:w="1420" w:type="dxa"/>
            <w:tcBorders>
              <w:top w:val="nil"/>
              <w:left w:val="nil"/>
              <w:bottom w:val="nil"/>
              <w:right w:val="nil"/>
            </w:tcBorders>
            <w:shd w:val="clear" w:color="auto" w:fill="auto"/>
            <w:noWrap/>
            <w:vAlign w:val="bottom"/>
            <w:hideMark/>
          </w:tcPr>
          <w:p w14:paraId="4063D18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bl>
    <w:p w14:paraId="6AC66309" w14:textId="434ECADD" w:rsidR="00BA3097" w:rsidRDefault="00BA3097" w:rsidP="00BA3097"/>
    <w:tbl>
      <w:tblPr>
        <w:tblW w:w="2120" w:type="dxa"/>
        <w:tblLook w:val="04A0" w:firstRow="1" w:lastRow="0" w:firstColumn="1" w:lastColumn="0" w:noHBand="0" w:noVBand="1"/>
      </w:tblPr>
      <w:tblGrid>
        <w:gridCol w:w="960"/>
        <w:gridCol w:w="1160"/>
      </w:tblGrid>
      <w:tr w:rsidR="005774DB" w:rsidRPr="005774DB" w14:paraId="108E6003" w14:textId="77777777" w:rsidTr="005774DB">
        <w:trPr>
          <w:trHeight w:val="300"/>
        </w:trPr>
        <w:tc>
          <w:tcPr>
            <w:tcW w:w="960" w:type="dxa"/>
            <w:tcBorders>
              <w:top w:val="nil"/>
              <w:left w:val="nil"/>
              <w:bottom w:val="nil"/>
              <w:right w:val="nil"/>
            </w:tcBorders>
            <w:shd w:val="clear" w:color="auto" w:fill="auto"/>
            <w:noWrap/>
            <w:vAlign w:val="bottom"/>
            <w:hideMark/>
          </w:tcPr>
          <w:p w14:paraId="151694B6"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Position</w:t>
            </w:r>
          </w:p>
        </w:tc>
        <w:tc>
          <w:tcPr>
            <w:tcW w:w="1160" w:type="dxa"/>
            <w:tcBorders>
              <w:top w:val="nil"/>
              <w:left w:val="nil"/>
              <w:bottom w:val="nil"/>
              <w:right w:val="nil"/>
            </w:tcBorders>
            <w:shd w:val="clear" w:color="auto" w:fill="auto"/>
            <w:noWrap/>
            <w:vAlign w:val="bottom"/>
            <w:hideMark/>
          </w:tcPr>
          <w:p w14:paraId="1E53D13A"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Mass (kg/s)</w:t>
            </w:r>
          </w:p>
        </w:tc>
      </w:tr>
      <w:tr w:rsidR="005774DB" w:rsidRPr="005774DB" w14:paraId="1B96AA79" w14:textId="77777777" w:rsidTr="005774DB">
        <w:trPr>
          <w:trHeight w:val="300"/>
        </w:trPr>
        <w:tc>
          <w:tcPr>
            <w:tcW w:w="960" w:type="dxa"/>
            <w:tcBorders>
              <w:top w:val="nil"/>
              <w:left w:val="nil"/>
              <w:bottom w:val="nil"/>
              <w:right w:val="nil"/>
            </w:tcBorders>
            <w:shd w:val="clear" w:color="auto" w:fill="auto"/>
            <w:noWrap/>
            <w:vAlign w:val="bottom"/>
            <w:hideMark/>
          </w:tcPr>
          <w:p w14:paraId="4106009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1E50C4B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23.9</w:t>
            </w:r>
          </w:p>
        </w:tc>
      </w:tr>
      <w:tr w:rsidR="005774DB" w:rsidRPr="005774DB" w14:paraId="245B9CCE" w14:textId="77777777" w:rsidTr="005774DB">
        <w:trPr>
          <w:trHeight w:val="300"/>
        </w:trPr>
        <w:tc>
          <w:tcPr>
            <w:tcW w:w="960" w:type="dxa"/>
            <w:tcBorders>
              <w:top w:val="nil"/>
              <w:left w:val="nil"/>
              <w:bottom w:val="nil"/>
              <w:right w:val="nil"/>
            </w:tcBorders>
            <w:shd w:val="clear" w:color="auto" w:fill="auto"/>
            <w:noWrap/>
            <w:vAlign w:val="bottom"/>
            <w:hideMark/>
          </w:tcPr>
          <w:p w14:paraId="7E169435"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4340B48F"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598.7</w:t>
            </w:r>
          </w:p>
        </w:tc>
      </w:tr>
      <w:tr w:rsidR="005774DB" w:rsidRPr="005774DB" w14:paraId="260CBDFE" w14:textId="77777777" w:rsidTr="005774DB">
        <w:trPr>
          <w:trHeight w:val="300"/>
        </w:trPr>
        <w:tc>
          <w:tcPr>
            <w:tcW w:w="960" w:type="dxa"/>
            <w:tcBorders>
              <w:top w:val="nil"/>
              <w:left w:val="nil"/>
              <w:bottom w:val="nil"/>
              <w:right w:val="nil"/>
            </w:tcBorders>
            <w:shd w:val="clear" w:color="auto" w:fill="auto"/>
            <w:noWrap/>
            <w:vAlign w:val="bottom"/>
            <w:hideMark/>
          </w:tcPr>
          <w:p w14:paraId="699B4FEB"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w:t>
            </w:r>
          </w:p>
        </w:tc>
        <w:tc>
          <w:tcPr>
            <w:tcW w:w="1160" w:type="dxa"/>
            <w:tcBorders>
              <w:top w:val="nil"/>
              <w:left w:val="nil"/>
              <w:bottom w:val="nil"/>
              <w:right w:val="nil"/>
            </w:tcBorders>
            <w:shd w:val="clear" w:color="auto" w:fill="auto"/>
            <w:noWrap/>
            <w:vAlign w:val="bottom"/>
            <w:hideMark/>
          </w:tcPr>
          <w:p w14:paraId="0655D65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17.9</w:t>
            </w:r>
          </w:p>
        </w:tc>
      </w:tr>
      <w:tr w:rsidR="005774DB" w:rsidRPr="005774DB" w14:paraId="4416D015" w14:textId="77777777" w:rsidTr="005774DB">
        <w:trPr>
          <w:trHeight w:val="300"/>
        </w:trPr>
        <w:tc>
          <w:tcPr>
            <w:tcW w:w="960" w:type="dxa"/>
            <w:tcBorders>
              <w:top w:val="nil"/>
              <w:left w:val="nil"/>
              <w:bottom w:val="nil"/>
              <w:right w:val="nil"/>
            </w:tcBorders>
            <w:shd w:val="clear" w:color="auto" w:fill="auto"/>
            <w:noWrap/>
            <w:vAlign w:val="bottom"/>
            <w:hideMark/>
          </w:tcPr>
          <w:p w14:paraId="51E192D0"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13</w:t>
            </w:r>
          </w:p>
        </w:tc>
        <w:tc>
          <w:tcPr>
            <w:tcW w:w="1160" w:type="dxa"/>
            <w:tcBorders>
              <w:top w:val="nil"/>
              <w:left w:val="nil"/>
              <w:bottom w:val="nil"/>
              <w:right w:val="nil"/>
            </w:tcBorders>
            <w:shd w:val="clear" w:color="auto" w:fill="auto"/>
            <w:noWrap/>
            <w:vAlign w:val="bottom"/>
            <w:hideMark/>
          </w:tcPr>
          <w:p w14:paraId="55CA11B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254.7</w:t>
            </w:r>
          </w:p>
        </w:tc>
      </w:tr>
    </w:tbl>
    <w:p w14:paraId="5B6222AD" w14:textId="0178B9CA" w:rsidR="005774DB" w:rsidRDefault="005774DB" w:rsidP="00BA3097"/>
    <w:p w14:paraId="3B39D2EC" w14:textId="6A44D01C" w:rsidR="005774DB" w:rsidRDefault="000A6B9C" w:rsidP="00BA3097">
      <w:r>
        <w:t>Mass was calculated from the last 2 digits of CID following the prescribed formula.</w:t>
      </w:r>
    </w:p>
    <w:p w14:paraId="003CBD41" w14:textId="1431BA5A" w:rsidR="005774DB" w:rsidRDefault="00007007" w:rsidP="00BA3097">
      <w:r>
        <w:t>Flow 25 was defined as the flow from the NG compressor straight to the combustor.</w:t>
      </w:r>
    </w:p>
    <w:p w14:paraId="523F2A21" w14:textId="5C402042" w:rsidR="005774DB" w:rsidRDefault="005774DB" w:rsidP="00BA3097"/>
    <w:p w14:paraId="23226FE0" w14:textId="77777777" w:rsidR="005774DB" w:rsidRDefault="005774DB" w:rsidP="00BA3097">
      <w:pPr>
        <w:sectPr w:rsidR="005774DB" w:rsidSect="005774DB">
          <w:type w:val="continuous"/>
          <w:pgSz w:w="12240" w:h="15840"/>
          <w:pgMar w:top="1440" w:right="1440" w:bottom="1440" w:left="1440" w:header="708" w:footer="708" w:gutter="0"/>
          <w:cols w:num="2" w:space="708"/>
          <w:docGrid w:linePitch="360"/>
        </w:sectPr>
      </w:pPr>
    </w:p>
    <w:p w14:paraId="4F84A741" w14:textId="520A5389" w:rsidR="000B245F" w:rsidRDefault="000B245F" w:rsidP="00364D7F">
      <w:pPr>
        <w:pStyle w:val="Heading3"/>
      </w:pPr>
      <w:r>
        <w:t xml:space="preserve">Steam </w:t>
      </w:r>
      <w:r w:rsidR="007A07FA">
        <w:t>c</w:t>
      </w:r>
      <w:r>
        <w:t>ycle</w:t>
      </w:r>
    </w:p>
    <w:p w14:paraId="50B0BB29" w14:textId="77777777" w:rsidR="00EF4ECA" w:rsidRDefault="005774DB" w:rsidP="00364D7F">
      <w:r>
        <w:rPr>
          <w:i/>
        </w:rPr>
        <w:t>Assuming all pipes have no pressure loss and all interconnected pipes share intensive properties</w:t>
      </w:r>
      <w:r w:rsidR="00E72F4B">
        <w:rPr>
          <w:i/>
        </w:rPr>
        <w:t xml:space="preserve"> and </w:t>
      </w:r>
      <w:r w:rsidR="00F61CC2">
        <w:rPr>
          <w:i/>
        </w:rPr>
        <w:t>composition</w:t>
      </w:r>
      <w:r w:rsidR="00D42BA5">
        <w:t>.</w:t>
      </w:r>
    </w:p>
    <w:p w14:paraId="2B2C30A5" w14:textId="35D91584" w:rsidR="005774DB" w:rsidRDefault="00EF4ECA" w:rsidP="00364D7F">
      <w:r>
        <w:rPr>
          <w:b/>
        </w:rPr>
        <w:t xml:space="preserve">Pumps: </w:t>
      </w:r>
      <w:r w:rsidR="00D42BA5">
        <w:t>S</w:t>
      </w:r>
      <w:r w:rsidR="005774DB">
        <w:t>tarting at 22 we determine the pressure of the state from calculating the outlet pressure of the condenser given a pressure loss of 15% (</w:t>
      </w:r>
      <w:r w:rsidR="005774DB">
        <w:rPr>
          <w:i/>
        </w:rPr>
        <w:t>given by coursework</w:t>
      </w:r>
      <w:r w:rsidR="005774DB">
        <w:t>) and the pressure before condenser at 21</w:t>
      </w:r>
      <w:r w:rsidR="006E1F53">
        <w:t xml:space="preserve">. </w:t>
      </w:r>
      <m:oMath>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=0.85*</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=0.85*2.33atm=2.36 bar</m:t>
        </m:r>
      </m:oMath>
      <w:r w:rsidR="00BF2E68">
        <w:t>. Then given that pump 2 is isentropic (</w:t>
      </w:r>
      <w:r w:rsidR="00BF2E68">
        <w:rPr>
          <w:i/>
        </w:rPr>
        <w:t>given by coursework</w:t>
      </w:r>
      <w:r w:rsidR="00BF2E68">
        <w:t>) using isentropic relations the temperature at 23</w:t>
      </w:r>
      <w:r w:rsidR="00CF5CB5">
        <w:t xml:space="preserve"> was determined from state 23 with:</w:t>
      </w:r>
    </w:p>
    <w:p w14:paraId="35661280" w14:textId="73CB775B" w:rsidR="00CF5CB5" w:rsidRPr="005F5515" w:rsidRDefault="00CF5CB5" w:rsidP="00364D7F">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hAnsi="Cambria Math"/>
            </w:rPr>
            <m:t xml:space="preserve">  &amp;&amp;  ∆s=0→</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sup>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67ECEF71" w14:textId="77777777" w:rsidR="006D309A" w:rsidRDefault="005F5515" w:rsidP="00364D7F">
      <w:r>
        <w:t xml:space="preserve">Pressure at 24 was calculated by inverting the pressure loss of 5% across the HRSG along flow 24-17. </w:t>
      </w:r>
      <m:oMath>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17</m:t>
                </m:r>
              </m:sub>
            </m:sSub>
          </m:num>
          <m:den>
            <m:r>
              <w:rPr>
                <w:rFonts w:ascii="Cambria Math" w:hAnsi="Cambria Math"/>
              </w:rPr>
              <m:t>0.95</m:t>
            </m:r>
          </m:den>
        </m:f>
        <m:r>
          <w:rPr>
            <w:rFonts w:ascii="Cambria Math" w:hAnsi="Cambria Math"/>
          </w:rPr>
          <m:t>=130bar</m:t>
        </m:r>
      </m:oMath>
      <w:r w:rsidR="006D309A">
        <w:t>.</w:t>
      </w:r>
    </w:p>
    <w:p w14:paraId="3E167D06" w14:textId="15C5A719" w:rsidR="0062423C" w:rsidRDefault="00EF4ECA" w:rsidP="00364D7F">
      <w:r>
        <w:rPr>
          <w:b/>
        </w:rPr>
        <w:t xml:space="preserve">Turbines: </w:t>
      </w:r>
      <w:r w:rsidR="006D309A">
        <w:t xml:space="preserve">Given state 17, state 18 was determined through the polytropic efficiency </w:t>
      </w:r>
      <w:r w:rsidR="002E2ACA">
        <w:t>(</w:t>
      </w:r>
      <w:r w:rsidR="002E2ACA">
        <w:rPr>
          <w:i/>
        </w:rPr>
        <w:t>89% given by coursework</w:t>
      </w:r>
      <w:r w:rsidR="002E2ACA">
        <w:t xml:space="preserve">). This was converted to isentropic efficiency </w:t>
      </w:r>
      <w:r w:rsidR="00AA2326">
        <w:t>using</w:t>
      </w:r>
      <w:r w:rsidR="002E2ACA">
        <w:t xml:space="preserve"> a reheat factor </w:t>
      </w:r>
      <w:r w:rsidR="00AA2326">
        <w:t xml:space="preserve">of 1.07 </w:t>
      </w:r>
      <w:r w:rsidR="002E2ACA">
        <w:t xml:space="preserve">(relationship derivation and validity </w:t>
      </w:r>
      <w:r w:rsidR="00AA2326">
        <w:t xml:space="preserve">of value chosen for steam turbine </w:t>
      </w:r>
      <w:r w:rsidR="002E2ACA">
        <w:t xml:space="preserve">given by </w:t>
      </w:r>
      <w:sdt>
        <w:sdtPr>
          <w:id w:val="796958539"/>
          <w:citation/>
        </w:sdtPr>
        <w:sdtEndPr/>
        <w:sdtContent>
          <w:r w:rsidR="0059106A">
            <w:fldChar w:fldCharType="begin"/>
          </w:r>
          <w:r w:rsidR="0059106A">
            <w:instrText xml:space="preserve"> CITATION Dix10 \l 2057 </w:instrText>
          </w:r>
          <w:r w:rsidR="0059106A">
            <w:fldChar w:fldCharType="separate"/>
          </w:r>
          <w:r w:rsidR="006F59FB" w:rsidRPr="006F59FB">
            <w:rPr>
              <w:noProof/>
            </w:rPr>
            <w:t>(Dixon, 2010)</w:t>
          </w:r>
          <w:r w:rsidR="0059106A">
            <w:fldChar w:fldCharType="end"/>
          </w:r>
        </w:sdtContent>
      </w:sdt>
      <w:r w:rsidR="0059106A">
        <w:t xml:space="preserve">)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poly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reheat</m:t>
            </m:r>
          </m:sub>
        </m:sSub>
      </m:oMath>
      <w:r w:rsidR="00AA2326">
        <w:t xml:space="preserve">. </w:t>
      </w:r>
    </w:p>
    <w:p w14:paraId="0CF78DE1" w14:textId="7297A15E" w:rsidR="00B35DA0" w:rsidRDefault="00AA2326" w:rsidP="00364D7F">
      <w:r>
        <w:t xml:space="preserve">Using the isentropic </w:t>
      </w:r>
      <w:r w:rsidR="00AC4ADD">
        <w:t xml:space="preserve">efficiency/enthalpy definition for turbines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h</m:t>
            </m:r>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isen</m:t>
                </m:r>
              </m:sub>
            </m:sSub>
          </m:den>
        </m:f>
      </m:oMath>
      <w:r w:rsidR="00AC4ADD">
        <w:t>,</w:t>
      </w:r>
      <w:r>
        <w:t xml:space="preserve"> </w:t>
      </w:r>
      <w:r w:rsidR="00AC4ADD">
        <w:t>the enthalpy of the product was determined. Using the enthalpy determined, coupled with the pressure at 18 (</w:t>
      </w:r>
      <w:r w:rsidR="00AC4ADD">
        <w:rPr>
          <w:i/>
        </w:rPr>
        <w:t>given by coursework</w:t>
      </w:r>
      <w:r w:rsidR="00AC4ADD">
        <w:t xml:space="preserve">) the temperature at 18 was found using a steam table. </w:t>
      </w:r>
    </w:p>
    <w:p w14:paraId="039B2009" w14:textId="77777777" w:rsidR="00B35DA0" w:rsidRDefault="00AC4ADD" w:rsidP="00364D7F">
      <w:r>
        <w:t>The pressure at position 19 was determined by</w:t>
      </w:r>
      <w:r>
        <w:rPr>
          <w:i/>
        </w:rPr>
        <w:t xml:space="preserve"> </w:t>
      </w:r>
      <w:r>
        <w:t>carrying through the pressure at 18 (</w:t>
      </w:r>
      <w:r>
        <w:rPr>
          <w:i/>
        </w:rPr>
        <w:t>assuming no pressure loss as it is superheated vapour and the gas side experienced nearly no pressure loss across a much larger temperature range</w:t>
      </w:r>
      <w:r>
        <w:t xml:space="preserve">). </w:t>
      </w:r>
    </w:p>
    <w:p w14:paraId="405B2E5A" w14:textId="77777777" w:rsidR="00B35DA0" w:rsidRDefault="00AC4ADD" w:rsidP="00364D7F">
      <w:r>
        <w:t>Using the completed state of 19, state 20 and state 6 were determined to have the same properties (</w:t>
      </w:r>
      <w:r>
        <w:rPr>
          <w:i/>
        </w:rPr>
        <w:t>assuming connected pipes share intensive properties</w:t>
      </w:r>
      <w:r>
        <w:t xml:space="preserve">). </w:t>
      </w:r>
    </w:p>
    <w:p w14:paraId="272D1F34" w14:textId="60E71FA9" w:rsidR="00AC4ADD" w:rsidRPr="002E2ACA" w:rsidRDefault="00AC4ADD" w:rsidP="00364D7F">
      <w:r>
        <w:lastRenderedPageBreak/>
        <w:t>Using state 20, the isentropic efficiency was determined using the reheat factor (again taken as 1.07) and polytropic efficiency (</w:t>
      </w:r>
      <w:r>
        <w:rPr>
          <w:i/>
        </w:rPr>
        <w:t>given as 89%</w:t>
      </w:r>
      <w:r>
        <w:t>) and used again to determine output enthalpy and thus determine output temperature, given the pressure of 21 being supplied by the coursework.</w:t>
      </w:r>
    </w:p>
    <w:p w14:paraId="07DF19A5" w14:textId="1DB6854A" w:rsidR="000B245F" w:rsidRDefault="00C12292" w:rsidP="00364D7F">
      <w:pPr>
        <w:pStyle w:val="Heading3"/>
      </w:pPr>
      <w:r>
        <w:t xml:space="preserve">Natural Gas </w:t>
      </w:r>
      <w:r w:rsidR="007A07FA">
        <w:t>c</w:t>
      </w:r>
      <w:r>
        <w:t>ycle</w:t>
      </w:r>
    </w:p>
    <w:p w14:paraId="3E8C1D13" w14:textId="5B99B28C" w:rsidR="00881295" w:rsidRDefault="00E3549B" w:rsidP="00B35DA0">
      <w:r>
        <w:rPr>
          <w:b/>
        </w:rPr>
        <w:t xml:space="preserve">Compressor: </w:t>
      </w:r>
      <w:r w:rsidR="00B35DA0">
        <w:t>As natural gas is not a perfect gas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505855">
        <w:t xml:space="preserve"> varies throughout the approximate temperature range, tested through GASEQ) GASEQ was used to adiabatically compress the natural gas (</w:t>
      </w:r>
      <w:r w:rsidR="00505855">
        <w:rPr>
          <w:i/>
        </w:rPr>
        <w:t xml:space="preserve">which was taken as 91.3% Methane, 5.36% Ethane, 2.83% Nitrogen, 0.5%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and 0.01%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 this was determined through filling the </w:t>
      </w:r>
      <w:r w:rsidR="00EC1A59">
        <w:rPr>
          <w:i/>
        </w:rPr>
        <w:t>miscellaneous</w:t>
      </w:r>
      <w:r w:rsidR="00505855">
        <w:rPr>
          <w:i/>
        </w:rPr>
        <w:t xml:space="preserve"> components by looking at major </w:t>
      </w:r>
      <w:r w:rsidR="00DD43E3">
        <w:rPr>
          <w:i/>
        </w:rPr>
        <w:t>constituents</w:t>
      </w:r>
      <w:r w:rsidR="00505855">
        <w:rPr>
          <w:i/>
        </w:rPr>
        <w:t xml:space="preserve"> from</w:t>
      </w:r>
      <w:r w:rsidR="00DE72EC">
        <w:rPr>
          <w:i/>
        </w:rPr>
        <w:t xml:space="preserve"> </w:t>
      </w:r>
      <w:sdt>
        <w:sdtPr>
          <w:rPr>
            <w:i/>
          </w:rPr>
          <w:id w:val="1896703033"/>
          <w:citation/>
        </w:sdtPr>
        <w:sdtEndPr/>
        <w:sdtContent>
          <w:r w:rsidR="00DE72EC">
            <w:rPr>
              <w:i/>
            </w:rPr>
            <w:fldChar w:fldCharType="begin"/>
          </w:r>
          <w:r w:rsidR="00DE72EC">
            <w:rPr>
              <w:i/>
            </w:rPr>
            <w:instrText xml:space="preserve"> CITATION Uni18 \l 2057 </w:instrText>
          </w:r>
          <w:r w:rsidR="00DE72EC">
            <w:rPr>
              <w:i/>
            </w:rPr>
            <w:fldChar w:fldCharType="separate"/>
          </w:r>
          <w:r w:rsidR="006F59FB" w:rsidRPr="006F59FB">
            <w:rPr>
              <w:noProof/>
            </w:rPr>
            <w:t>(Union Gas, 2018)</w:t>
          </w:r>
          <w:r w:rsidR="00DE72EC">
            <w:rPr>
              <w:i/>
            </w:rPr>
            <w:fldChar w:fldCharType="end"/>
          </w:r>
        </w:sdtContent>
      </w:sdt>
      <w:r w:rsidR="00505855" w:rsidRPr="00DE72EC">
        <w:t>)</w:t>
      </w:r>
      <w:r w:rsidR="00505855">
        <w:t xml:space="preserve"> to 23</w:t>
      </w:r>
      <m:oMath>
        <m:r>
          <w:rPr>
            <w:rFonts w:ascii="Cambria Math" w:hAnsi="Cambria Math"/>
          </w:rPr>
          <m:t>atm</m:t>
        </m:r>
      </m:oMath>
      <w:r w:rsidR="00505855">
        <w:t xml:space="preserve"> and </w:t>
      </w:r>
      <w:r w:rsidR="003279B0">
        <w:t xml:space="preserve">thus </w:t>
      </w:r>
      <w:r w:rsidR="00505855">
        <w:t>determine state 4. There was insignificant specific entropy change and as such GASEQ was used to model the isentropic compression (</w:t>
      </w:r>
      <w:r w:rsidR="00505855">
        <w:rPr>
          <w:i/>
        </w:rPr>
        <w:t>given by the coursework</w:t>
      </w:r>
      <w:r w:rsidR="00505855">
        <w:t xml:space="preserve">). </w:t>
      </w:r>
    </w:p>
    <w:p w14:paraId="7E243B20" w14:textId="3F971D36" w:rsidR="00B35DA0" w:rsidRDefault="006C3D3B" w:rsidP="00B35DA0">
      <w:r w:rsidRPr="00D55BF8">
        <w:rPr>
          <w:b/>
        </w:rPr>
        <w:t>Reformer</w:t>
      </w:r>
      <w:r w:rsidR="00D55BF8">
        <w:t xml:space="preserve">: </w:t>
      </w:r>
      <w:r w:rsidR="004C571C">
        <w:t>Given state 4, state 5 and 6 were taken to have the same intensive properties and composition</w:t>
      </w:r>
      <w:r w:rsidR="003279B0">
        <w:t xml:space="preserve"> due to being connected</w:t>
      </w:r>
      <w:r w:rsidR="004C571C">
        <w:t>.</w:t>
      </w:r>
      <w:r w:rsidR="003279B0">
        <w:t xml:space="preserve"> Given state 6 (</w:t>
      </w:r>
      <w:r w:rsidR="003279B0">
        <w:rPr>
          <w:i/>
        </w:rPr>
        <w:t>calculated as above</w:t>
      </w:r>
      <w:r w:rsidR="003279B0">
        <w:t xml:space="preserve">) </w:t>
      </w:r>
      <w:r w:rsidR="00730338">
        <w:t>the composition of flow 5 and 6 was put into GASEQ</w:t>
      </w:r>
      <w:r w:rsidR="009E72A9">
        <w:t>, following a specified molar ratio of steam: carbon (</w:t>
      </w:r>
      <w:r w:rsidR="009E72A9">
        <w:rPr>
          <w:i/>
        </w:rPr>
        <w:t xml:space="preserve">given as 3 by </w:t>
      </w:r>
      <w:r w:rsidR="009E72A9" w:rsidRPr="003D0437">
        <w:rPr>
          <w:i/>
        </w:rPr>
        <w:t>coursework</w:t>
      </w:r>
      <w:r w:rsidR="009E72A9">
        <w:t>)</w:t>
      </w:r>
      <w:r w:rsidR="001D2CB7">
        <w:t xml:space="preserve"> </w:t>
      </w:r>
      <w:r w:rsidR="00730338" w:rsidRPr="009E72A9">
        <w:t>at</w:t>
      </w:r>
      <w:r w:rsidR="00730338">
        <w:t xml:space="preserve"> an isothermal temperature (</w:t>
      </w:r>
      <m:oMath>
        <m:r>
          <w:rPr>
            <w:rFonts w:ascii="Cambria Math" w:hAnsi="Cambria Math"/>
          </w:rPr>
          <m:t>800℃</m:t>
        </m:r>
      </m:oMath>
      <w:r w:rsidR="00730338">
        <w:t>) and equilibrium was calculated</w:t>
      </w:r>
      <w:r w:rsidR="004D149D">
        <w:t xml:space="preserve"> </w:t>
      </w:r>
      <w:r w:rsidR="00B7571B">
        <w:t>for state 7. T</w:t>
      </w:r>
      <w:r w:rsidR="004D149D">
        <w:t xml:space="preserve">he pressure of 5 </w:t>
      </w:r>
      <w:r w:rsidR="00B7571B">
        <w:t xml:space="preserve">was used </w:t>
      </w:r>
      <w:r w:rsidR="004D149D">
        <w:t xml:space="preserve">as the </w:t>
      </w:r>
      <w:r w:rsidR="00B7571B">
        <w:t xml:space="preserve">pressure of 6 was </w:t>
      </w:r>
      <w:r w:rsidR="004D149D">
        <w:t>within 2%</w:t>
      </w:r>
      <w:r w:rsidR="00B7571B">
        <w:t xml:space="preserve"> of the value and as such the resultant pressure would stay approximately the same.</w:t>
      </w:r>
    </w:p>
    <w:p w14:paraId="08DC1062" w14:textId="05BABA37" w:rsidR="009E72A9" w:rsidRPr="005B2EAE" w:rsidRDefault="006C3D3B" w:rsidP="00B35DA0">
      <w:r w:rsidRPr="00D55BF8">
        <w:rPr>
          <w:b/>
        </w:rPr>
        <w:t>Fuel Cell</w:t>
      </w:r>
      <w:r w:rsidR="00D55BF8">
        <w:t xml:space="preserve">: </w:t>
      </w:r>
      <w:r w:rsidR="003D0437">
        <w:t>Given state 10 (</w:t>
      </w:r>
      <w:r w:rsidR="003D0437">
        <w:rPr>
          <w:i/>
        </w:rPr>
        <w:t>calculated as below</w:t>
      </w:r>
      <w:r w:rsidR="003D0437">
        <w:t xml:space="preserve">) the reaction at the fuel cell enabled deduction of state 8. Using the overall </w:t>
      </w:r>
      <w:r w:rsidR="005B2EAE">
        <w:t xml:space="preserve">chemical equilibrium </w:t>
      </w:r>
      <w:r w:rsidR="003D0437">
        <w:t>equation</w:t>
      </w:r>
      <w:r w:rsidR="005B2EAE">
        <w:t xml:space="preserve"> below</w:t>
      </w:r>
      <w:r w:rsidR="003D0437">
        <w:t>, the composition of the flows was changed</w:t>
      </w:r>
      <w:r w:rsidR="005B2EAE">
        <w:t xml:space="preserve">. </w:t>
      </w:r>
    </w:p>
    <w:p w14:paraId="75B2A0B2" w14:textId="23659D10" w:rsidR="003D0437" w:rsidRPr="003D0437" w:rsidRDefault="00107884" w:rsidP="00B35DA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142740DD" w14:textId="4CA4796C" w:rsidR="00907989" w:rsidRDefault="005B2EAE" w:rsidP="005B2EAE">
      <w:r>
        <w:t xml:space="preserve">This was achieved by determining an incoming </w:t>
      </w:r>
      <w:r w:rsidR="0062423C">
        <w:t>molar</w:t>
      </w:r>
      <w:r>
        <w:t xml:space="preserve"> flowrate of hydrogen </w:t>
      </w:r>
      <w:r w:rsidR="0062423C">
        <w:t xml:space="preserve">reacting </w:t>
      </w:r>
      <w:r>
        <w:t>(</w:t>
      </w:r>
      <w:r>
        <w:rPr>
          <w:i/>
        </w:rPr>
        <w:t>mass fraction given by GASEQ</w:t>
      </w:r>
      <w:r w:rsidR="0062423C">
        <w:rPr>
          <w:i/>
        </w:rPr>
        <w:t xml:space="preserve">, </w:t>
      </w:r>
      <w:r>
        <w:rPr>
          <w:i/>
        </w:rPr>
        <w:t xml:space="preserve">overall mass flowrate </w:t>
      </w:r>
      <w:r w:rsidR="005435E9">
        <w:rPr>
          <w:i/>
        </w:rPr>
        <w:t xml:space="preserve">of 7 </w:t>
      </w:r>
      <w:r w:rsidR="0062423C">
        <w:rPr>
          <w:i/>
        </w:rPr>
        <w:t xml:space="preserve">calculated </w:t>
      </w:r>
      <w:r>
        <w:rPr>
          <w:i/>
        </w:rPr>
        <w:t>as below</w:t>
      </w:r>
      <w:r w:rsidR="0062423C">
        <w:rPr>
          <w:i/>
        </w:rPr>
        <w:t xml:space="preserve"> and molar weight of hydrogen used to convert</w:t>
      </w:r>
      <w:r>
        <w:t>) and multiplying it by the fuel utilisation (</w:t>
      </w:r>
      <w:r>
        <w:rPr>
          <w:i/>
        </w:rPr>
        <w:t>given by coursework</w:t>
      </w:r>
      <w:r>
        <w:t xml:space="preserve">). </w:t>
      </w:r>
      <w:r w:rsidR="0062423C">
        <w:t>Given the molar flowrate of hydrogen</w:t>
      </w:r>
      <w:r w:rsidR="005435E9">
        <w:t xml:space="preserve"> reacting</w:t>
      </w:r>
      <w:r w:rsidR="0062423C">
        <w:t xml:space="preserve"> a molar flowrate of oxygen and water </w:t>
      </w:r>
      <w:r w:rsidR="005435E9">
        <w:t xml:space="preserve">used/produced in the reaction by multiplying by relative moles from above eqn. This was then subtracted (for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54287">
        <w:t xml:space="preserve"> and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435E9">
        <w:t xml:space="preserve">) or added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5435E9">
        <w:t>) from the molar flowrate of each respective constituent (obtained as the hydrogen mole flowrate was above</w:t>
      </w:r>
      <w:r w:rsidR="00796200">
        <w:t xml:space="preserve"> but</w:t>
      </w:r>
      <w:r w:rsidR="005435E9">
        <w:t xml:space="preserve"> in stream 10 for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B54287">
        <w:t xml:space="preserve"> </w:t>
      </w:r>
      <w:r w:rsidR="005435E9">
        <w:t xml:space="preserve">and stream 7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B54287">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5435E9">
        <w:t xml:space="preserve">) coming in. As all composition </w:t>
      </w:r>
      <w:r w:rsidR="00796200">
        <w:t>analysis</w:t>
      </w:r>
      <w:r w:rsidR="005435E9">
        <w:t xml:space="preserve"> was done fractionally in GASEQ, molar flowrate fractions were used to make sure all ratios </w:t>
      </w:r>
      <w:r w:rsidR="00B54287">
        <w:t xml:space="preserve">put in the new set of products had the correct ratios. E.g. </w:t>
      </w:r>
      <m:oMath>
        <m:sSub>
          <m:sSubPr>
            <m:ctrlPr>
              <w:rPr>
                <w:rFonts w:ascii="Cambria Math" w:hAnsi="Cambria Math"/>
                <w:i/>
              </w:rPr>
            </m:ctrlPr>
          </m:sSubPr>
          <m:e>
            <m:r>
              <w:rPr>
                <w:rFonts w:ascii="Cambria Math" w:hAnsi="Cambria Math"/>
              </w:rPr>
              <m:t>O</m:t>
            </m:r>
          </m:e>
          <m:sub>
            <m:r>
              <w:rPr>
                <w:rFonts w:ascii="Cambria Math" w:hAnsi="Cambria Math"/>
              </w:rPr>
              <m:t>2,stream 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2,stream 8</m:t>
            </m:r>
          </m:sub>
        </m:sSub>
      </m:oMath>
      <w:r w:rsidR="00B54287">
        <w:t xml:space="preserve"> was used to </w:t>
      </w:r>
      <w:r w:rsidR="00796200">
        <w:t xml:space="preserve">determine the relative moles of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796200">
        <w:t xml:space="preserve"> as a multiple of the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796200">
        <w:t xml:space="preserve"> in the output stream.</w:t>
      </w:r>
      <w:r w:rsidR="00E3199A">
        <w:t xml:space="preserve"> </w:t>
      </w:r>
      <w:r w:rsidR="00907989">
        <w:t>The fuel cell was assumed to be constant pressure and constant temperature to determine state 8.</w:t>
      </w:r>
    </w:p>
    <w:p w14:paraId="2650DCB3" w14:textId="51472E2F" w:rsidR="00907989" w:rsidRDefault="006C3D3B" w:rsidP="005B2EAE">
      <w:r w:rsidRPr="00D55BF8">
        <w:rPr>
          <w:b/>
        </w:rPr>
        <w:t>Afterburner</w:t>
      </w:r>
      <w:r w:rsidR="00D55BF8">
        <w:rPr>
          <w:b/>
        </w:rPr>
        <w:t xml:space="preserve">: </w:t>
      </w:r>
      <w:r w:rsidR="00907989">
        <w:t xml:space="preserve">It was assumed that there was insufficient time between leaving the fuel cell and entering the combustor for the products to reach equilibrium – thus the molar ratios calculated as above were taken as the incoming composition. </w:t>
      </w:r>
      <w:r w:rsidR="00E3199A">
        <w:t xml:space="preserve">GASEQ was used to analyse the composition at 8 as the reactant side of an adiabatic </w:t>
      </w:r>
      <w:r w:rsidR="00907989">
        <w:t>equilibrium at constant pressure (</w:t>
      </w:r>
      <w:r w:rsidR="00907989">
        <w:rPr>
          <w:i/>
        </w:rPr>
        <w:t>assuming sufficiently slow burning that it can be modelled as a const. pressure combustion</w:t>
      </w:r>
      <w:r w:rsidR="00907989">
        <w:t>) at the input state given by position 8. This determined the output temperature and fixed state 11 as well as the composition.</w:t>
      </w:r>
    </w:p>
    <w:p w14:paraId="786D4255" w14:textId="1D898D5D" w:rsidR="00E3199A" w:rsidRPr="0073378C" w:rsidRDefault="00D55BF8" w:rsidP="005B2EAE">
      <w:pPr>
        <w:rPr>
          <w:b/>
        </w:rPr>
      </w:pPr>
      <w:r w:rsidRPr="0073378C">
        <w:rPr>
          <w:b/>
        </w:rPr>
        <w:t>Heat Exchanger</w:t>
      </w:r>
      <w:r w:rsidR="0073378C">
        <w:rPr>
          <w:b/>
        </w:rPr>
        <w:t xml:space="preserve">: </w:t>
      </w:r>
      <w:r w:rsidR="0071491B">
        <w:t>The</w:t>
      </w:r>
      <w:r w:rsidR="00907989">
        <w:t xml:space="preserve"> specific enthalpy </w:t>
      </w:r>
      <w:r w:rsidR="0071491B">
        <w:t xml:space="preserve">of position 11 was determined from GASEQ given pressure and temp. </w:t>
      </w:r>
      <w:r w:rsidR="00907989">
        <w:t>and the enthalpy at state 12 was determined by using the insulated nature of the heat exchanger (</w:t>
      </w:r>
      <w:r w:rsidR="00907989">
        <w:rPr>
          <w:i/>
        </w:rPr>
        <w:t>given by coursework</w:t>
      </w:r>
      <w:r w:rsidR="00907989">
        <w:t xml:space="preserve">) and </w:t>
      </w:r>
      <w:r w:rsidR="0071491B">
        <w:t xml:space="preserve">thus </w:t>
      </w:r>
      <w:r w:rsidR="00907989">
        <w:t xml:space="preserve">balancing the rise in </w:t>
      </w:r>
      <w:r w:rsidR="0071491B">
        <w:t xml:space="preserve">actual </w:t>
      </w:r>
      <w:r w:rsidR="00907989">
        <w:t>enthalpy of flow 9 to 10 (</w:t>
      </w:r>
      <w:r w:rsidR="00907989">
        <w:rPr>
          <w:i/>
        </w:rPr>
        <w:t>as calculated below</w:t>
      </w:r>
      <w:r w:rsidR="00907989">
        <w:t>)</w:t>
      </w:r>
      <w:r w:rsidR="00B071E1">
        <w:t xml:space="preserve"> against flow 11 to 12 (</w:t>
      </w:r>
      <w:r w:rsidR="00B071E1">
        <w:rPr>
          <w:i/>
        </w:rPr>
        <w:t>assuming no work in the heat exchanger</w:t>
      </w:r>
      <w:r w:rsidR="00B071E1">
        <w:t>)</w:t>
      </w:r>
      <w:r w:rsidR="00907989">
        <w:t>. Given a</w:t>
      </w:r>
      <w:r w:rsidR="0071491B">
        <w:t xml:space="preserve"> specific </w:t>
      </w:r>
      <w:r w:rsidR="00907989">
        <w:t>enthalpy</w:t>
      </w:r>
      <w:r w:rsidR="0071491B">
        <w:t xml:space="preserve"> (</w:t>
      </w:r>
      <w:r w:rsidR="0071491B" w:rsidRPr="0071491B">
        <w:rPr>
          <w:i/>
        </w:rPr>
        <w:t>dividing actual enthalpy by mass flowrate of 11 as determined below</w:t>
      </w:r>
      <w:r w:rsidR="0071491B">
        <w:t>)</w:t>
      </w:r>
      <w:r w:rsidR="00907989">
        <w:t xml:space="preserve"> and pressure at state 12 (</w:t>
      </w:r>
      <w:r w:rsidR="00907989">
        <w:rPr>
          <w:i/>
        </w:rPr>
        <w:t xml:space="preserve">assuming no pressure loss across the heat </w:t>
      </w:r>
      <w:r w:rsidR="00907989">
        <w:rPr>
          <w:i/>
        </w:rPr>
        <w:lastRenderedPageBreak/>
        <w:t>exchanger</w:t>
      </w:r>
      <w:r w:rsidR="00907989">
        <w:t xml:space="preserve">), GASEQ was used to manually iterate state 12 temperature given the composition </w:t>
      </w:r>
      <w:r w:rsidR="0071491B">
        <w:t>to achieve the specific enthalpy decrease required.</w:t>
      </w:r>
    </w:p>
    <w:p w14:paraId="7A97DE33" w14:textId="2DBE8595" w:rsidR="00C12292" w:rsidRDefault="00C12292" w:rsidP="00364D7F">
      <w:pPr>
        <w:pStyle w:val="Heading3"/>
      </w:pPr>
      <w:r>
        <w:t xml:space="preserve">Air </w:t>
      </w:r>
      <w:r w:rsidR="007A07FA">
        <w:t>c</w:t>
      </w:r>
      <w:r>
        <w:t>ycle</w:t>
      </w:r>
    </w:p>
    <w:p w14:paraId="01178258" w14:textId="636E8325" w:rsidR="00B071E1" w:rsidRDefault="00A27686" w:rsidP="00B071E1">
      <w:r>
        <w:rPr>
          <w:b/>
        </w:rPr>
        <w:t xml:space="preserve">Compressor: </w:t>
      </w:r>
      <w:r w:rsidR="00A95643">
        <w:t>Given state 2 (</w:t>
      </w:r>
      <w:r w:rsidR="00A95643">
        <w:rPr>
          <w:i/>
        </w:rPr>
        <w:t>by coursework</w:t>
      </w:r>
      <w:r w:rsidR="00A95643">
        <w:t>) – state 3 was determined using GASEQ, with an adiabatic compression for a pressure ratio (</w:t>
      </w:r>
      <w:r w:rsidR="00A95643">
        <w:rPr>
          <w:i/>
        </w:rPr>
        <w:t>given by coursework</w:t>
      </w:r>
      <w:r w:rsidR="00A95643">
        <w:t xml:space="preserve">) and checking the change in </w:t>
      </w:r>
      <w:r w:rsidR="002748F8">
        <w:t xml:space="preserve">specific </w:t>
      </w:r>
      <w:r w:rsidR="00A95643">
        <w:t xml:space="preserve">entropy is negligible to confirm the isentropic resultant nature. Although technically a perfect gas it was decided that using GASEQ would be more accurate as ultimately there is no real perfect gas and as such it is was assumed it is better to avoid perfect gas relations unless necessary. The composition of air was assumed to be 78.08%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A95643">
        <w:t xml:space="preserve">, 20.95%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A95643">
        <w:t xml:space="preserve"> and 0.93% </w:t>
      </w:r>
      <m:oMath>
        <m:r>
          <w:rPr>
            <w:rFonts w:ascii="Cambria Math" w:hAnsi="Cambria Math"/>
          </w:rPr>
          <m:t>Ar</m:t>
        </m:r>
      </m:oMath>
      <w:r w:rsidR="00A95643">
        <w:t xml:space="preserve"> </w:t>
      </w:r>
      <w:sdt>
        <w:sdtPr>
          <w:id w:val="-894037240"/>
          <w:citation/>
        </w:sdtPr>
        <w:sdtEndPr/>
        <w:sdtContent>
          <w:r w:rsidR="00330C87">
            <w:fldChar w:fldCharType="begin"/>
          </w:r>
          <w:r w:rsidR="00330C87">
            <w:instrText xml:space="preserve"> CITATION 1801 \l 2057 </w:instrText>
          </w:r>
          <w:r w:rsidR="00330C87">
            <w:fldChar w:fldCharType="separate"/>
          </w:r>
          <w:r w:rsidR="006F59FB" w:rsidRPr="006F59FB">
            <w:rPr>
              <w:noProof/>
            </w:rPr>
            <w:t>(University Corporation of Atmospheric research, 2018)</w:t>
          </w:r>
          <w:r w:rsidR="00330C87">
            <w:fldChar w:fldCharType="end"/>
          </w:r>
        </w:sdtContent>
      </w:sdt>
      <w:r w:rsidR="00A95643">
        <w:t>.</w:t>
      </w:r>
    </w:p>
    <w:p w14:paraId="5C14EAE8" w14:textId="64E2E8B0" w:rsidR="00A95643" w:rsidRDefault="002748F8" w:rsidP="00B071E1">
      <w:r>
        <w:t>Given state 3 the intensive properties of state 9 and 1</w:t>
      </w:r>
      <w:r w:rsidR="00007007">
        <w:t>3</w:t>
      </w:r>
      <w:r>
        <w:t xml:space="preserve"> were assumed to be the same as the share a pipe connection.</w:t>
      </w:r>
    </w:p>
    <w:p w14:paraId="3A90A794" w14:textId="7731D9EF" w:rsidR="002748F8" w:rsidRDefault="00A27686" w:rsidP="00B071E1">
      <w:r>
        <w:rPr>
          <w:b/>
        </w:rPr>
        <w:t xml:space="preserve">Combustor: </w:t>
      </w:r>
      <w:r w:rsidR="002748F8">
        <w:t xml:space="preserve">The molar composition of </w:t>
      </w:r>
      <w:r w:rsidR="00007007">
        <w:t>flow 13, 25 and 12 was saved into a mixture in GASEQ and then using mass flowrates for each (</w:t>
      </w:r>
      <w:r w:rsidR="00007007" w:rsidRPr="00007007">
        <w:rPr>
          <w:i/>
        </w:rPr>
        <w:t>as calculated per below</w:t>
      </w:r>
      <w:r w:rsidR="00007007">
        <w:t xml:space="preserve">) molar flowrates were determined through division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n</m:t>
                </m:r>
              </m:sub>
            </m:sSub>
          </m:e>
        </m:acc>
      </m:oMath>
      <w:r w:rsidR="00007007">
        <w:t xml:space="preserve"> by mean molecular weight,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007007">
        <w:t xml:space="preserve"> of each flow mixture</w:t>
      </w:r>
      <w:r w:rsidR="00AC1723">
        <w:t xml:space="preserve"> and used to determine the ratio of moles of each flow in GASEQ</w:t>
      </w:r>
      <w:r w:rsidR="00007007">
        <w:t>.</w:t>
      </w:r>
      <w:r w:rsidR="00AC1723">
        <w:t xml:space="preserve"> The flows were then set to their respective temperatures in GASEQ and an adiabatic process at constant pressure was performed to determine the chemical composition and state of 14. This assumes the combustion is slow enough that the process occurs at constant pressure and that the pressure loss due to the combustor happens after the combustion, perhaps due to increased turbulence from combustion and head loss as it travels through pipes.</w:t>
      </w:r>
    </w:p>
    <w:p w14:paraId="4CA91C68" w14:textId="52A3656F" w:rsidR="00AC1723" w:rsidRPr="00D42BA5" w:rsidRDefault="00A27686" w:rsidP="00B071E1">
      <w:r>
        <w:rPr>
          <w:b/>
        </w:rPr>
        <w:t xml:space="preserve">Turbine: </w:t>
      </w:r>
      <w:r w:rsidR="00D42BA5">
        <w:t>State</w:t>
      </w:r>
      <w:r w:rsidR="00AC1723">
        <w:t xml:space="preserve"> 15 was determined by using the polytropic efficiency (</w:t>
      </w:r>
      <w:r w:rsidR="00AC1723">
        <w:rPr>
          <w:i/>
        </w:rPr>
        <w:t>given by coursework</w:t>
      </w:r>
      <w:r w:rsidR="00AC1723">
        <w:t>) and the perfect gas polytropic efficiency relationship (</w:t>
      </w:r>
      <w:r w:rsidR="00AC1723">
        <w:rPr>
          <w:i/>
        </w:rPr>
        <w:t>given by Appendix of ME3 TDE notes</w:t>
      </w:r>
      <w:r w:rsidR="00AC1723">
        <w:t xml:space="preserve">). </w:t>
      </w:r>
      <w:r w:rsidR="00D42BA5">
        <w:t>Given the pressure at 15 (</w:t>
      </w:r>
      <w:r w:rsidR="00D42BA5">
        <w:rPr>
          <w:i/>
        </w:rPr>
        <w:t>given by coursework</w:t>
      </w:r>
      <w:r w:rsidR="00D42BA5">
        <w:t>) and the pressure, temperature and gamma of 14 (</w:t>
      </w:r>
      <w:r w:rsidR="00D42BA5">
        <w:rPr>
          <w:i/>
        </w:rPr>
        <w:t>given by composition of 14 from GASEQ, and assuming const. gamma</w:t>
      </w:r>
      <w:r w:rsidR="00D42BA5">
        <w:t>), the formula was rearranged and used:</w:t>
      </w:r>
    </w:p>
    <w:p w14:paraId="48A75E35" w14:textId="42E829BA" w:rsidR="00D42BA5" w:rsidRDefault="00107884" w:rsidP="00B071E1">
      <m:oMathPara>
        <m:oMath>
          <m:sSub>
            <m:sSubPr>
              <m:ctrlPr>
                <w:rPr>
                  <w:rFonts w:ascii="Cambria Math" w:hAnsi="Cambria Math"/>
                  <w:i/>
                </w:rPr>
              </m:ctrlPr>
            </m:sSubPr>
            <m:e>
              <m:r>
                <w:rPr>
                  <w:rFonts w:ascii="Cambria Math" w:hAnsi="Cambria Math"/>
                </w:rPr>
                <m:t>η</m:t>
              </m:r>
            </m:e>
            <m:sub>
              <m:r>
                <w:rPr>
                  <w:rFonts w:ascii="Cambria Math" w:hAnsi="Cambria Math"/>
                </w:rPr>
                <m:t>polytropic</m:t>
              </m:r>
            </m:sub>
          </m:sSub>
          <m:r>
            <w:rPr>
              <w:rFonts w:ascii="Cambria Math" w:hAnsi="Cambria Math"/>
            </w:rPr>
            <m:t>=</m:t>
          </m:r>
          <m:f>
            <m:fPr>
              <m:ctrlPr>
                <w:rPr>
                  <w:rFonts w:ascii="Cambria Math" w:hAnsi="Cambria Math"/>
                  <w:i/>
                </w:rPr>
              </m:ctrlPr>
            </m:fPr>
            <m:num>
              <m:r>
                <w:rPr>
                  <w:rFonts w:ascii="Cambria Math" w:hAnsi="Cambria Math"/>
                </w:rPr>
                <m:t>γ-1</m:t>
              </m:r>
            </m:num>
            <m:den>
              <m:r>
                <w:rPr>
                  <w:rFonts w:ascii="Cambria Math" w:hAnsi="Cambria Math"/>
                </w:rPr>
                <m:t>γ</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γ-1</m:t>
                  </m:r>
                </m:num>
                <m:den>
                  <m:r>
                    <w:rPr>
                      <w:rFonts w:ascii="Cambria Math" w:hAnsi="Cambria Math"/>
                    </w:rPr>
                    <m:t>γ</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sup>
          </m:sSup>
        </m:oMath>
      </m:oMathPara>
    </w:p>
    <w:p w14:paraId="2046A911" w14:textId="453B65BF" w:rsidR="00A36CA0" w:rsidRPr="00AC1723" w:rsidRDefault="00AC1723" w:rsidP="00B071E1">
      <w:r>
        <w:t xml:space="preserve">It is worth noting that this is likely the least accurate assumption of the whole analysis due to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of the combustor products varying largely with temp and pressure differences (drops in order of ~15%) and as such cannot really be considered a perfect gas. However, as reheat relationships for gas turbines could not be found in the literature, the formula was used.</w:t>
      </w:r>
    </w:p>
    <w:p w14:paraId="5F58D139" w14:textId="3203D433" w:rsidR="005B2EAE" w:rsidRDefault="005B2EAE" w:rsidP="005B2EAE">
      <w:pPr>
        <w:pStyle w:val="Heading3"/>
      </w:pPr>
      <w:r>
        <w:t>Mass flowrates</w:t>
      </w:r>
    </w:p>
    <w:p w14:paraId="12019042" w14:textId="77777777" w:rsidR="00845C84" w:rsidRDefault="001973DA" w:rsidP="00230425">
      <w:r>
        <w:t xml:space="preserve">Mass flowrates were determined </w:t>
      </w:r>
      <w:r w:rsidR="000C192B">
        <w:t>through conservation of mass</w:t>
      </w:r>
      <w:r w:rsidR="004812E4">
        <w:t xml:space="preserve"> and given </w:t>
      </w:r>
      <w:r w:rsidR="000C192B">
        <w:t>mass flowrate at stat</w:t>
      </w:r>
      <w:r w:rsidR="00062BBF">
        <w:t>e</w:t>
      </w:r>
      <w:r w:rsidR="000C192B">
        <w:t xml:space="preserve"> </w:t>
      </w:r>
      <w:r w:rsidR="00062BBF">
        <w:t>1,2,5 and 13 (</w:t>
      </w:r>
      <w:r w:rsidR="00062BBF">
        <w:rPr>
          <w:i/>
        </w:rPr>
        <w:t>by coursework</w:t>
      </w:r>
      <w:r w:rsidR="00062BBF">
        <w:t>)</w:t>
      </w:r>
      <w:r w:rsidR="00E91545">
        <w:t xml:space="preserve"> for the air and steam cycle.</w:t>
      </w:r>
      <w:r w:rsidR="00845C84">
        <w:t xml:space="preserve"> This can be summarised in:</w:t>
      </w:r>
    </w:p>
    <w:p w14:paraId="61F4AB87" w14:textId="61B8BBED" w:rsidR="004812E4" w:rsidRDefault="00845C84" w:rsidP="00230425">
      <w:r>
        <w:t xml:space="preserve">NG compressor flows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4</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25</m:t>
                </m:r>
              </m:sub>
            </m:sSub>
          </m:e>
        </m:acc>
      </m:oMath>
    </w:p>
    <w:p w14:paraId="070E5B40" w14:textId="1081FB92" w:rsidR="00845C84" w:rsidRDefault="001F013F" w:rsidP="00230425">
      <w:r>
        <w:t xml:space="preserve">SOFC and Reformer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9</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8</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12</m:t>
                </m:r>
              </m:sub>
            </m:sSub>
          </m:e>
        </m:acc>
      </m:oMath>
    </w:p>
    <w:p w14:paraId="659CD57F" w14:textId="53639E66" w:rsidR="00D41027" w:rsidRDefault="00D41027" w:rsidP="00230425">
      <w:r>
        <w:t xml:space="preserve">Combustor cycle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16</m:t>
                </m:r>
              </m:sub>
            </m:sSub>
          </m:e>
        </m:acc>
      </m:oMath>
    </w:p>
    <w:p w14:paraId="509D715C" w14:textId="3D8104BD" w:rsidR="00013D57" w:rsidRPr="00013D57" w:rsidRDefault="00107884" w:rsidP="00230425">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oMath>
      <w:r w:rsidR="0097057C">
        <w:t xml:space="preserve"> </w:t>
      </w:r>
      <w:r w:rsidR="00A779E1">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23</m:t>
                </m:r>
              </m:sub>
            </m:sSub>
          </m:e>
        </m:acc>
      </m:oMath>
      <w:r w:rsidR="00A779E1">
        <w:t xml:space="preserve">which is used to make up for the loss from the steam cycle) </w:t>
      </w:r>
      <w:r w:rsidR="0097057C">
        <w:t xml:space="preserve">is determined through converting molar flowrate needed for </w:t>
      </w:r>
      <w:r w:rsidR="00013D57">
        <w:t xml:space="preserve">the </w:t>
      </w:r>
      <w:proofErr w:type="spellStart"/>
      <w:proofErr w:type="gramStart"/>
      <w:r w:rsidR="0097057C">
        <w:t>steam:carbon</w:t>
      </w:r>
      <w:proofErr w:type="spellEnd"/>
      <w:proofErr w:type="gramEnd"/>
      <w:r w:rsidR="0097057C">
        <w:t xml:space="preserve"> ratio </w:t>
      </w:r>
      <w:r w:rsidR="00013D57">
        <w:t>(</w:t>
      </w:r>
      <w:r w:rsidR="00013D57">
        <w:rPr>
          <w:i/>
        </w:rPr>
        <w:t xml:space="preserve">given by </w:t>
      </w:r>
      <w:r w:rsidR="00013D57" w:rsidRPr="00013D57">
        <w:rPr>
          <w:i/>
        </w:rPr>
        <w:t>coursework</w:t>
      </w:r>
      <w:r w:rsidR="00013D57">
        <w:t>)</w:t>
      </w:r>
      <w:r w:rsidR="0097057C" w:rsidRPr="00013D57">
        <w:t>as</w:t>
      </w:r>
      <w:r w:rsidR="0097057C">
        <w:t xml:space="preserve"> given above into a mass through molecular weight: </w:t>
      </w:r>
    </w:p>
    <w:p w14:paraId="2FC09D0D" w14:textId="5E81362C" w:rsidR="0097057C" w:rsidRPr="00013D57" w:rsidRDefault="00107884" w:rsidP="0023042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needed</m:t>
                  </m:r>
                </m:sub>
              </m:sSub>
            </m:e>
          </m:acc>
          <m:sSub>
            <m:sSubPr>
              <m:ctrlPr>
                <w:rPr>
                  <w:rFonts w:ascii="Cambria Math" w:hAnsi="Cambria Math"/>
                  <w:i/>
                </w:rPr>
              </m:ctrlPr>
            </m:sSubPr>
            <m:e>
              <m:r>
                <w:rPr>
                  <w:rFonts w:ascii="Cambria Math" w:hAnsi="Cambria Math"/>
                </w:rPr>
                <m:t>M</m:t>
              </m:r>
            </m:e>
            <m:sub>
              <m:r>
                <w:rPr>
                  <w:rFonts w:ascii="Cambria Math" w:hAnsi="Cambria Math"/>
                </w:rPr>
                <m:t>H2O</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steam:carbon</m:t>
              </m:r>
            </m:sub>
          </m:sSub>
          <m:sSub>
            <m:sSubPr>
              <m:ctrlPr>
                <w:rPr>
                  <w:rFonts w:ascii="Cambria Math" w:hAnsi="Cambria Math"/>
                  <w:i/>
                </w:rPr>
              </m:ctrlPr>
            </m:sSubPr>
            <m:e>
              <m:r>
                <w:rPr>
                  <w:rFonts w:ascii="Cambria Math" w:hAnsi="Cambria Math"/>
                </w:rPr>
                <m:t>M</m:t>
              </m:r>
            </m:e>
            <m:sub>
              <m:r>
                <w:rPr>
                  <w:rFonts w:ascii="Cambria Math" w:hAnsi="Cambria Math"/>
                </w:rPr>
                <m:t>H2O</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23</m:t>
                  </m:r>
                </m:sub>
              </m:sSub>
            </m:e>
          </m:acc>
          <m:r>
            <w:rPr>
              <w:rFonts w:ascii="Cambria Math" w:hAnsi="Cambria Math"/>
            </w:rPr>
            <m:t>)</m:t>
          </m:r>
        </m:oMath>
      </m:oMathPara>
    </w:p>
    <w:p w14:paraId="4098F9A6" w14:textId="54756B4A" w:rsidR="00013D57" w:rsidRDefault="00171FC2" w:rsidP="00230425">
      <w:r>
        <w:t>T</w:t>
      </w:r>
      <w:r w:rsidR="00013D57">
        <w:t xml:space="preserve">he </w:t>
      </w:r>
      <w:r>
        <w:t xml:space="preserve">remaining </w:t>
      </w:r>
      <w:r w:rsidR="00013D57">
        <w:t xml:space="preserve">mass flowrate throughout the steam cycle can be determined through </w:t>
      </w:r>
      <w:r w:rsidR="00F52813">
        <w:t>SFEE on the HRSG</w:t>
      </w:r>
      <w:r>
        <w:t>, using drops in enthalpy from GASEQ and the steam tables</w:t>
      </w:r>
      <w:r w:rsidR="0046028D">
        <w:t>, a</w:t>
      </w:r>
      <w:r>
        <w:t>nd assuming</w:t>
      </w:r>
      <w:r w:rsidR="0046028D">
        <w:t xml:space="preserve"> mass flowrate through 18 to 19 and 17 to 18 is the same</w:t>
      </w:r>
      <w:r>
        <w:t>:</w:t>
      </w:r>
    </w:p>
    <w:p w14:paraId="1661A20B" w14:textId="62C72D95" w:rsidR="00F52813" w:rsidRPr="00062BBF" w:rsidRDefault="00107884" w:rsidP="0023042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24,17,18,19</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15</m:t>
                      </m:r>
                    </m:sub>
                  </m:sSub>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16,15</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19,18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17,18</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22,21,20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19</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oMath>
      </m:oMathPara>
    </w:p>
    <w:p w14:paraId="0D82D398" w14:textId="362D4ABA" w:rsidR="00C12292" w:rsidRDefault="00C12292" w:rsidP="002E2ACA">
      <w:pPr>
        <w:pStyle w:val="Heading1"/>
        <w:numPr>
          <w:ilvl w:val="0"/>
          <w:numId w:val="1"/>
        </w:numPr>
      </w:pPr>
      <w:r>
        <w:t>Fuel Cell Performance</w:t>
      </w:r>
    </w:p>
    <w:p w14:paraId="02987FD7" w14:textId="1E806DA3" w:rsidR="00453493" w:rsidRDefault="00453493" w:rsidP="00453493">
      <w:pPr>
        <w:pStyle w:val="Heading2"/>
      </w:pPr>
      <w:r>
        <w:t>Summary</w:t>
      </w:r>
    </w:p>
    <w:tbl>
      <w:tblPr>
        <w:tblStyle w:val="TableGrid"/>
        <w:tblW w:w="0" w:type="auto"/>
        <w:tblLook w:val="04A0" w:firstRow="1" w:lastRow="0" w:firstColumn="1" w:lastColumn="0" w:noHBand="0" w:noVBand="1"/>
      </w:tblPr>
      <w:tblGrid>
        <w:gridCol w:w="4675"/>
        <w:gridCol w:w="4675"/>
      </w:tblGrid>
      <w:tr w:rsidR="009C26AE" w14:paraId="0E950753" w14:textId="77777777" w:rsidTr="009C26AE">
        <w:tc>
          <w:tcPr>
            <w:tcW w:w="4675" w:type="dxa"/>
          </w:tcPr>
          <w:p w14:paraId="1D9880DA" w14:textId="26F01D59" w:rsidR="009C26AE" w:rsidRDefault="009C26AE" w:rsidP="00453493">
            <w:r>
              <w:t>Volts per cell</w:t>
            </w:r>
          </w:p>
        </w:tc>
        <w:tc>
          <w:tcPr>
            <w:tcW w:w="4675" w:type="dxa"/>
          </w:tcPr>
          <w:p w14:paraId="7E93FE70" w14:textId="3E60970D" w:rsidR="009C26AE" w:rsidRDefault="007219F2" w:rsidP="00453493">
            <w:r>
              <w:t>0.37</w:t>
            </w:r>
            <m:oMath>
              <m:r>
                <w:rPr>
                  <w:rFonts w:ascii="Cambria Math" w:hAnsi="Cambria Math"/>
                </w:rPr>
                <m:t>V</m:t>
              </m:r>
            </m:oMath>
          </w:p>
        </w:tc>
      </w:tr>
      <w:tr w:rsidR="009C26AE" w14:paraId="1815D55C" w14:textId="77777777" w:rsidTr="009C26AE">
        <w:tc>
          <w:tcPr>
            <w:tcW w:w="4675" w:type="dxa"/>
          </w:tcPr>
          <w:p w14:paraId="0646BFB7" w14:textId="604168AD" w:rsidR="009C26AE" w:rsidRDefault="009C26AE" w:rsidP="00453493">
            <w:r>
              <w:t>AC power of SOFC</w:t>
            </w:r>
          </w:p>
        </w:tc>
        <w:tc>
          <w:tcPr>
            <w:tcW w:w="4675" w:type="dxa"/>
          </w:tcPr>
          <w:p w14:paraId="63358AAC" w14:textId="714CC07E" w:rsidR="009C26AE" w:rsidRDefault="00C72EA1" w:rsidP="00453493">
            <w:r>
              <w:t>117.5</w:t>
            </w:r>
            <m:oMath>
              <m:r>
                <w:rPr>
                  <w:rFonts w:ascii="Cambria Math" w:hAnsi="Cambria Math"/>
                </w:rPr>
                <m:t>MW</m:t>
              </m:r>
            </m:oMath>
          </w:p>
        </w:tc>
      </w:tr>
      <w:tr w:rsidR="009C26AE" w14:paraId="228B72BA" w14:textId="77777777" w:rsidTr="009C26AE">
        <w:tc>
          <w:tcPr>
            <w:tcW w:w="4675" w:type="dxa"/>
          </w:tcPr>
          <w:p w14:paraId="18A6DAFA" w14:textId="3FC36CAD" w:rsidR="009C26AE" w:rsidRDefault="009C26AE" w:rsidP="00453493">
            <w:r>
              <w:t>Fuel cell efficiency at nom. conditions</w:t>
            </w:r>
          </w:p>
        </w:tc>
        <w:tc>
          <w:tcPr>
            <w:tcW w:w="4675" w:type="dxa"/>
          </w:tcPr>
          <w:p w14:paraId="542B7745" w14:textId="79D66D66" w:rsidR="009C26AE" w:rsidRDefault="00107884" w:rsidP="00453493">
            <m:oMath>
              <m:sSub>
                <m:sSubPr>
                  <m:ctrlPr>
                    <w:rPr>
                      <w:rFonts w:ascii="Cambria Math" w:hAnsi="Cambria Math"/>
                      <w:i/>
                    </w:rPr>
                  </m:ctrlPr>
                </m:sSubPr>
                <m:e>
                  <m:r>
                    <w:rPr>
                      <w:rFonts w:ascii="Cambria Math" w:hAnsi="Cambria Math"/>
                    </w:rPr>
                    <m:t>η</m:t>
                  </m:r>
                </m:e>
                <m:sub>
                  <m:r>
                    <w:rPr>
                      <w:rFonts w:ascii="Cambria Math" w:hAnsi="Cambria Math"/>
                    </w:rPr>
                    <m:t>voltage</m:t>
                  </m:r>
                </m:sub>
              </m:sSub>
              <m:r>
                <w:rPr>
                  <w:rFonts w:ascii="Cambria Math" w:hAnsi="Cambria Math"/>
                </w:rPr>
                <m:t>=21%</m:t>
              </m:r>
            </m:oMath>
            <w:r w:rsidR="008E3230">
              <w:t xml:space="preserve"> </w:t>
            </w:r>
          </w:p>
        </w:tc>
      </w:tr>
      <w:tr w:rsidR="009C26AE" w14:paraId="6B8C1995" w14:textId="77777777" w:rsidTr="009C26AE">
        <w:tc>
          <w:tcPr>
            <w:tcW w:w="4675" w:type="dxa"/>
          </w:tcPr>
          <w:p w14:paraId="5ABD092F" w14:textId="7954D1BE" w:rsidR="009C26AE" w:rsidRDefault="009C26AE" w:rsidP="00453493">
            <w:r>
              <w:t>Active area of fuel cell</w:t>
            </w:r>
          </w:p>
        </w:tc>
        <w:tc>
          <w:tcPr>
            <w:tcW w:w="4675" w:type="dxa"/>
          </w:tcPr>
          <w:p w14:paraId="21163215" w14:textId="322FCB55" w:rsidR="009C26AE" w:rsidRDefault="00B96EDE" w:rsidP="00453493">
            <w:r>
              <w:t>68</w:t>
            </w:r>
            <w:r w:rsidR="00926504">
              <w:t>282</w:t>
            </w:r>
            <m:oMath>
              <m:sSup>
                <m:sSupPr>
                  <m:ctrlPr>
                    <w:rPr>
                      <w:rFonts w:ascii="Cambria Math" w:hAnsi="Cambria Math"/>
                      <w:i/>
                    </w:rPr>
                  </m:ctrlPr>
                </m:sSupPr>
                <m:e>
                  <m:r>
                    <w:rPr>
                      <w:rFonts w:ascii="Cambria Math" w:hAnsi="Cambria Math"/>
                    </w:rPr>
                    <m:t>m</m:t>
                  </m:r>
                </m:e>
                <m:sup>
                  <m:r>
                    <w:rPr>
                      <w:rFonts w:ascii="Cambria Math" w:hAnsi="Cambria Math"/>
                    </w:rPr>
                    <m:t>2</m:t>
                  </m:r>
                </m:sup>
              </m:sSup>
            </m:oMath>
          </w:p>
        </w:tc>
      </w:tr>
      <w:tr w:rsidR="009C26AE" w14:paraId="030B1FC7" w14:textId="77777777" w:rsidTr="009C26AE">
        <w:tc>
          <w:tcPr>
            <w:tcW w:w="4675" w:type="dxa"/>
          </w:tcPr>
          <w:p w14:paraId="78BE4DAE" w14:textId="22309F45" w:rsidR="009C26AE" w:rsidRDefault="00A315E0" w:rsidP="00453493">
            <w:r>
              <w:t xml:space="preserve">Net </w:t>
            </w:r>
            <w:r w:rsidR="009C26AE">
              <w:t>Heat loss in SOFC</w:t>
            </w:r>
          </w:p>
        </w:tc>
        <w:tc>
          <w:tcPr>
            <w:tcW w:w="4675" w:type="dxa"/>
          </w:tcPr>
          <w:p w14:paraId="37B7036C" w14:textId="6823E602" w:rsidR="009C26AE" w:rsidRDefault="00426AB4" w:rsidP="00453493">
            <m:oMath>
              <m:r>
                <w:rPr>
                  <w:rFonts w:ascii="Cambria Math" w:hAnsi="Cambria Math"/>
                </w:rPr>
                <m:t>37.4MW</m:t>
              </m:r>
            </m:oMath>
            <w:r w:rsidR="00B35440">
              <w:t xml:space="preserve"> </w:t>
            </w:r>
          </w:p>
        </w:tc>
      </w:tr>
    </w:tbl>
    <w:p w14:paraId="3FFAD99C" w14:textId="77777777" w:rsidR="00453493" w:rsidRPr="00453493" w:rsidRDefault="00453493" w:rsidP="00453493"/>
    <w:p w14:paraId="0DECDAF3" w14:textId="2DCD7D35" w:rsidR="00C12292" w:rsidRDefault="00C12292" w:rsidP="00C12292">
      <w:pPr>
        <w:pStyle w:val="Heading2"/>
      </w:pPr>
      <w:r>
        <w:t>Volts per Cell</w:t>
      </w:r>
    </w:p>
    <w:p w14:paraId="3F49269B" w14:textId="3AF6B9E6" w:rsidR="00BD6B35" w:rsidRDefault="00BD6B35" w:rsidP="00BD6B35">
      <w:r>
        <w:t xml:space="preserve">Using the Nernst potential </w:t>
      </w:r>
      <w:r w:rsidR="00395880">
        <w:t xml:space="preserve">equation </w:t>
      </w:r>
      <w:r w:rsidR="00956D39">
        <w:t>(</w:t>
      </w:r>
      <w:r w:rsidR="00956D39">
        <w:rPr>
          <w:i/>
        </w:rPr>
        <w:t>given by TDE notes</w:t>
      </w:r>
      <w:r w:rsidR="00956D39">
        <w:t>)</w:t>
      </w:r>
      <w:r w:rsidR="00395880">
        <w:t>:</w:t>
      </w:r>
    </w:p>
    <w:p w14:paraId="768279A3" w14:textId="571050A0" w:rsidR="003F5D88" w:rsidRDefault="00BD6B35" w:rsidP="00BD6B35">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product</m:t>
                              </m:r>
                            </m:sub>
                            <m:sup>
                              <m:r>
                                <w:rPr>
                                  <w:rFonts w:ascii="Cambria Math" w:hAnsi="Cambria Math"/>
                                </w:rPr>
                                <m:t>A</m:t>
                              </m:r>
                            </m:sup>
                          </m:sSubSup>
                        </m:e>
                      </m:nary>
                    </m:num>
                    <m:den>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reactant</m:t>
                              </m:r>
                            </m:sub>
                            <m:sup>
                              <m:r>
                                <w:rPr>
                                  <w:rFonts w:ascii="Cambria Math" w:hAnsi="Cambria Math"/>
                                </w:rPr>
                                <m:t>A</m:t>
                              </m:r>
                            </m:sup>
                          </m:sSubSup>
                        </m:e>
                      </m:nary>
                    </m:den>
                  </m:f>
                </m:e>
              </m:d>
            </m:e>
          </m:func>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m:oMathPara>
    </w:p>
    <w:p w14:paraId="46167977" w14:textId="77777777" w:rsidR="002254E3" w:rsidRPr="002254E3" w:rsidRDefault="001B12A5" w:rsidP="00BD6B35">
      <m:oMathPara>
        <m:oMath>
          <m:r>
            <w:rPr>
              <w:rFonts w:ascii="Cambria Math" w:hAnsi="Cambria Math"/>
            </w:rPr>
            <m:t>z=electrons released per mol of reaction;F=Faraday const.;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=Atmospheric pressure;</m:t>
          </m:r>
        </m:oMath>
      </m:oMathPara>
    </w:p>
    <w:p w14:paraId="64692405" w14:textId="2B48E08F" w:rsidR="00BD6B35" w:rsidRPr="00F22A30" w:rsidRDefault="003F5D88" w:rsidP="00BD6B35">
      <m:oMathPara>
        <m:oMath>
          <m:r>
            <w:rPr>
              <w:rFonts w:ascii="Cambria Math" w:hAnsi="Cambria Math"/>
            </w:rPr>
            <m:t>X=mole ratio for whole mixture; A=relative moles per  mole of the reaction</m:t>
          </m:r>
        </m:oMath>
      </m:oMathPara>
    </w:p>
    <w:p w14:paraId="7550FD15" w14:textId="6CB9ECD6" w:rsidR="00F22A30" w:rsidRPr="00FB7606" w:rsidRDefault="00107884" w:rsidP="00BD6B35">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0</m:t>
                      </m:r>
                    </m:sub>
                  </m:sSub>
                </m:e>
              </m:acc>
            </m:num>
            <m:den>
              <m:r>
                <w:rPr>
                  <w:rFonts w:ascii="Cambria Math" w:hAnsi="Cambria Math"/>
                </w:rPr>
                <m:t>zF</m:t>
              </m:r>
            </m:den>
          </m:f>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0,reaction</m:t>
                      </m:r>
                    </m:sub>
                  </m:sSub>
                </m:e>
              </m:acc>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0,reaction</m:t>
                      </m:r>
                    </m:sub>
                  </m:sSub>
                </m:e>
              </m:acc>
            </m:num>
            <m:den>
              <m:r>
                <w:rPr>
                  <w:rFonts w:ascii="Cambria Math" w:hAnsi="Cambria Math"/>
                </w:rPr>
                <m:t>zF</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products</m:t>
                  </m:r>
                </m:sub>
                <m:sup/>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e>
              </m:nary>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reactants</m:t>
                  </m:r>
                </m:sub>
                <m:sup/>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e>
              </m:nary>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m:t>
              </m:r>
            </m:num>
            <m:den>
              <m:r>
                <w:rPr>
                  <w:rFonts w:ascii="Cambria Math" w:hAnsi="Cambria Math"/>
                </w:rPr>
                <m:t>zF</m:t>
              </m:r>
            </m:den>
          </m:f>
          <m:r>
            <w:rPr>
              <w:rFonts w:ascii="Cambria Math" w:hAnsi="Cambria Math"/>
            </w:rPr>
            <m:t xml:space="preserve"> </m:t>
          </m:r>
        </m:oMath>
      </m:oMathPara>
    </w:p>
    <w:p w14:paraId="4903821A" w14:textId="0DE0E449" w:rsidR="00956D39" w:rsidRPr="00A81EFA" w:rsidRDefault="00107884" w:rsidP="00BD6B35">
      <m:oMathPara>
        <m:oMath>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 xml:space="preserve">=standard molar enthalpy of formation; </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acc>
          <m:r>
            <w:rPr>
              <w:rFonts w:ascii="Cambria Math" w:hAnsi="Cambria Math"/>
            </w:rPr>
            <m:t xml:space="preserve">=standard molar entropy </m:t>
          </m:r>
        </m:oMath>
      </m:oMathPara>
    </w:p>
    <w:p w14:paraId="06FB4535" w14:textId="043065C0" w:rsidR="00A81EFA" w:rsidRDefault="00A81EFA" w:rsidP="00BD6B35">
      <w:r>
        <w:t>Given</w:t>
      </w:r>
      <w:r w:rsidR="004C11E5">
        <w:t xml:space="preserve"> the chemical composition of inlets and outlets and states (</w:t>
      </w:r>
      <w:r w:rsidR="004C11E5">
        <w:rPr>
          <w:i/>
        </w:rPr>
        <w:t>as calculated per above</w:t>
      </w:r>
      <w:r w:rsidR="004C11E5">
        <w:t>)</w:t>
      </w:r>
      <w:r w:rsidR="009E2FFD">
        <w:t xml:space="preserve">, along with tables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oMath>
      <w:r w:rsidR="009E2FFD">
        <w:t xml:space="preserve">and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e>
        </m:acc>
      </m:oMath>
      <w:r>
        <w:t xml:space="preserve"> </w:t>
      </w:r>
      <w:sdt>
        <w:sdtPr>
          <w:id w:val="-2118362828"/>
          <w:citation/>
        </w:sdtPr>
        <w:sdtContent>
          <w:r w:rsidR="009E2FFD">
            <w:fldChar w:fldCharType="begin"/>
          </w:r>
          <w:r w:rsidR="009E2FFD">
            <w:instrText xml:space="preserve"> CITATION CRC00 \l 2057 </w:instrText>
          </w:r>
          <w:r w:rsidR="009E2FFD">
            <w:fldChar w:fldCharType="separate"/>
          </w:r>
          <w:r w:rsidR="009E2FFD" w:rsidRPr="009E2FFD">
            <w:rPr>
              <w:noProof/>
            </w:rPr>
            <w:t>(CRC Press Ltd, 2000)</w:t>
          </w:r>
          <w:r w:rsidR="009E2FFD">
            <w:fldChar w:fldCharType="end"/>
          </w:r>
        </w:sdtContent>
      </w:sdt>
      <w:r w:rsidR="009E2FFD">
        <w:t xml:space="preserve"> </w:t>
      </w:r>
      <w:bookmarkStart w:id="0" w:name="_GoBack"/>
      <w:bookmarkEnd w:id="0"/>
      <w:r w:rsidR="004C11E5">
        <w:t>the ideal Nernst voltage was calculated.</w:t>
      </w:r>
      <w:r w:rsidR="00EA5ED7">
        <w:t xml:space="preserve"> Then usin</w:t>
      </w:r>
      <w:r w:rsidR="007357F5">
        <w:t xml:space="preserve">g </w:t>
      </w:r>
      <w:r w:rsidR="007357F5">
        <w:fldChar w:fldCharType="begin"/>
      </w:r>
      <w:r w:rsidR="007357F5">
        <w:instrText xml:space="preserve"> REF _Ref504700678 \h </w:instrText>
      </w:r>
      <w:r w:rsidR="007357F5">
        <w:fldChar w:fldCharType="separate"/>
      </w:r>
      <w:r w:rsidR="00107884">
        <w:t xml:space="preserve">Figure </w:t>
      </w:r>
      <w:r w:rsidR="00107884">
        <w:rPr>
          <w:noProof/>
        </w:rPr>
        <w:t>1</w:t>
      </w:r>
      <w:r w:rsidR="007357F5">
        <w:fldChar w:fldCharType="end"/>
      </w:r>
      <w:r w:rsidR="007357F5">
        <w:t xml:space="preserve"> </w:t>
      </w:r>
      <w:r w:rsidR="00EA5ED7">
        <w:t>the ohmic and activation losses were determined</w:t>
      </w:r>
      <w:r w:rsidR="00DC4AD2">
        <w:t xml:space="preserve"> at the nominal temp (</w:t>
      </w:r>
      <w:r w:rsidR="00DC4AD2">
        <w:rPr>
          <w:i/>
        </w:rPr>
        <w:t>given as 900</w:t>
      </w:r>
      <m:oMath>
        <m:r>
          <w:rPr>
            <w:rFonts w:ascii="Cambria Math" w:hAnsi="Cambria Math"/>
          </w:rPr>
          <m:t>℃</m:t>
        </m:r>
      </m:oMath>
      <w:r w:rsidR="00DC4AD2">
        <w:rPr>
          <w:i/>
        </w:rPr>
        <w:t xml:space="preserve"> by coursework</w:t>
      </w:r>
      <w:r w:rsidR="00DC4AD2">
        <w:t>)</w:t>
      </w:r>
      <w:r w:rsidR="00A2433A">
        <w:t>.</w:t>
      </w:r>
      <w:r w:rsidR="00A4010E">
        <w:t xml:space="preserve"> The losses were then subtracted from the ideal Nernst voltage</w:t>
      </w:r>
      <w:r w:rsidR="00233C7D">
        <w:t>.</w:t>
      </w:r>
    </w:p>
    <w:p w14:paraId="4B3597EA" w14:textId="2E67D935" w:rsidR="00233C7D" w:rsidRDefault="00107884" w:rsidP="00BD6B35">
      <m:oMathPara>
        <m:oMath>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activation</m:t>
              </m:r>
            </m:sub>
          </m:sSub>
        </m:oMath>
      </m:oMathPara>
    </w:p>
    <w:p w14:paraId="614DF445" w14:textId="77777777" w:rsidR="00DC4AD2" w:rsidRDefault="00DC4AD2" w:rsidP="00DC4AD2">
      <w:pPr>
        <w:keepNext/>
      </w:pPr>
      <w:r>
        <w:rPr>
          <w:noProof/>
        </w:rPr>
        <w:lastRenderedPageBreak/>
        <w:drawing>
          <wp:inline distT="0" distB="0" distL="0" distR="0" wp14:anchorId="531B4A2E" wp14:editId="45401771">
            <wp:extent cx="6524625" cy="2647950"/>
            <wp:effectExtent l="0" t="0" r="9525" b="0"/>
            <wp:docPr id="2" name="Picture 2" descr="https://gyazo.com/c497498a4c4418d0e010c4e44129a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c497498a4c4418d0e010c4e44129ada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79" t="7641" r="3168"/>
                    <a:stretch/>
                  </pic:blipFill>
                  <pic:spPr bwMode="auto">
                    <a:xfrm>
                      <a:off x="0" y="0"/>
                      <a:ext cx="6524625"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7A5BE196" w14:textId="077E0E69" w:rsidR="00DC4AD2" w:rsidRPr="00A81EFA" w:rsidRDefault="00DC4AD2" w:rsidP="00DC4AD2">
      <w:pPr>
        <w:pStyle w:val="Caption"/>
      </w:pPr>
      <w:bookmarkStart w:id="1" w:name="_Ref504700678"/>
      <w:r>
        <w:t xml:space="preserve">Figure </w:t>
      </w:r>
      <w:fldSimple w:instr=" SEQ Figure \* ARABIC ">
        <w:r w:rsidR="00107884">
          <w:rPr>
            <w:noProof/>
          </w:rPr>
          <w:t>1</w:t>
        </w:r>
      </w:fldSimple>
      <w:bookmarkEnd w:id="1"/>
      <w:r>
        <w:t xml:space="preserve"> Ohmic and Activation losses in SOFC as function of temperature</w:t>
      </w:r>
    </w:p>
    <w:p w14:paraId="729425C3" w14:textId="4E0128DD" w:rsidR="00C12292" w:rsidRDefault="007A07FA" w:rsidP="00C12292">
      <w:pPr>
        <w:pStyle w:val="Heading2"/>
      </w:pPr>
      <w:r>
        <w:t>AC power</w:t>
      </w:r>
    </w:p>
    <w:p w14:paraId="1D8973FD" w14:textId="198DC081" w:rsidR="00A4010E" w:rsidRDefault="00A4010E" w:rsidP="00A4010E">
      <w:r>
        <w:t>The AC power was determined from</w:t>
      </w:r>
      <w:r w:rsidR="0026361D">
        <w:t>:</w:t>
      </w:r>
    </w:p>
    <w:p w14:paraId="05E67C76" w14:textId="259730A9" w:rsidR="006F6E49" w:rsidRPr="00242F28" w:rsidRDefault="00107884" w:rsidP="006F6E49">
      <m:oMathPara>
        <m:oMath>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reacts</m:t>
              </m:r>
            </m:sub>
          </m:sSub>
          <m:sSub>
            <m:sSubPr>
              <m:ctrlPr>
                <w:rPr>
                  <w:rFonts w:ascii="Cambria Math" w:hAnsi="Cambria Math"/>
                  <w:i/>
                </w:rPr>
              </m:ctrlPr>
            </m:sSubPr>
            <m:e>
              <m:r>
                <w:rPr>
                  <w:rFonts w:ascii="Cambria Math" w:hAnsi="Cambria Math"/>
                </w:rPr>
                <m:t>V</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AC/DC</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H2</m:t>
                          </m:r>
                        </m:sub>
                      </m:sSub>
                    </m:e>
                  </m:acc>
                </m:e>
                <m:sub>
                  <m:r>
                    <w:rPr>
                      <w:rFonts w:ascii="Cambria Math" w:hAnsi="Cambria Math"/>
                    </w:rPr>
                    <m:t>react</m:t>
                  </m:r>
                </m:sub>
              </m:sSub>
            </m:num>
            <m:den>
              <m:r>
                <w:rPr>
                  <w:rFonts w:ascii="Cambria Math" w:hAnsi="Cambria Math"/>
                </w:rPr>
                <m:t>zF</m:t>
              </m:r>
            </m:den>
          </m:f>
          <m:sSub>
            <m:sSubPr>
              <m:ctrlPr>
                <w:rPr>
                  <w:rFonts w:ascii="Cambria Math" w:hAnsi="Cambria Math"/>
                  <w:i/>
                </w:rPr>
              </m:ctrlPr>
            </m:sSubPr>
            <m:e>
              <m:r>
                <w:rPr>
                  <w:rFonts w:ascii="Cambria Math" w:hAnsi="Cambria Math"/>
                </w:rPr>
                <m:t>V</m:t>
              </m:r>
            </m:e>
            <m:sub>
              <m:r>
                <w:rPr>
                  <w:rFonts w:ascii="Cambria Math" w:hAnsi="Cambria Math"/>
                </w:rPr>
                <m:t>real</m:t>
              </m:r>
            </m:sub>
          </m:sSub>
        </m:oMath>
      </m:oMathPara>
    </w:p>
    <w:p w14:paraId="219A8E59" w14:textId="27CC3031" w:rsidR="006F6E49" w:rsidRPr="00A4010E" w:rsidRDefault="006F6E49" w:rsidP="006F6E49">
      <w:r>
        <w:t xml:space="preserve">Where </w:t>
      </w:r>
      <m:oMath>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H2</m:t>
                    </m:r>
                  </m:sub>
                </m:sSub>
              </m:e>
            </m:acc>
          </m:e>
          <m:sub>
            <m:r>
              <w:rPr>
                <w:rFonts w:ascii="Cambria Math" w:hAnsi="Cambria Math"/>
              </w:rPr>
              <m:t>reacts</m:t>
            </m:r>
          </m:sub>
        </m:sSub>
      </m:oMath>
      <w:r>
        <w:t xml:space="preserve"> was the molar flowrate of hydrogen reacting in the fuel cell as obtained from the SOFC analysis as above.</w:t>
      </w:r>
    </w:p>
    <w:p w14:paraId="654D5353" w14:textId="420B5C28" w:rsidR="007A07FA" w:rsidRDefault="007A07FA" w:rsidP="007A07FA">
      <w:pPr>
        <w:pStyle w:val="Heading2"/>
      </w:pPr>
      <w:r>
        <w:t>Fuel cell efficiency</w:t>
      </w:r>
    </w:p>
    <w:p w14:paraId="4A936A23" w14:textId="4B95CE0A" w:rsidR="00202C99" w:rsidRDefault="00233C7D" w:rsidP="00233C7D">
      <w:r>
        <w:t>Fuel cell efficiency was evaluated through voltage efficiency</w:t>
      </w:r>
      <w:r w:rsidR="00AF2DFB">
        <w:t xml:space="preserve"> (</w:t>
      </w:r>
      <w:r w:rsidR="00AF2DFB">
        <w:rPr>
          <w:i/>
        </w:rPr>
        <w:t>given by TDE notes</w:t>
      </w:r>
      <w:r w:rsidR="00AF2DFB">
        <w:t>)</w:t>
      </w:r>
      <w:r>
        <w:t xml:space="preserve"> </w:t>
      </w:r>
      <w:r w:rsidR="00FF1117">
        <w:t xml:space="preserve">with it </w:t>
      </w:r>
      <w:r>
        <w:t xml:space="preserve">being a more useful indicator of the useful </w:t>
      </w:r>
      <w:r w:rsidR="00DE06A6">
        <w:t>efficiency coming out as usable voltage and current.</w:t>
      </w:r>
    </w:p>
    <w:p w14:paraId="1173EC67" w14:textId="6F406418" w:rsidR="00DE06A6" w:rsidRPr="00233C7D" w:rsidRDefault="00107884" w:rsidP="00233C7D">
      <m:oMathPara>
        <m:oMath>
          <m:sSub>
            <m:sSubPr>
              <m:ctrlPr>
                <w:rPr>
                  <w:rFonts w:ascii="Cambria Math" w:hAnsi="Cambria Math"/>
                  <w:i/>
                </w:rPr>
              </m:ctrlPr>
            </m:sSubPr>
            <m:e>
              <m:r>
                <w:rPr>
                  <w:rFonts w:ascii="Cambria Math" w:hAnsi="Cambria Math"/>
                </w:rPr>
                <m:t>η</m:t>
              </m:r>
            </m:e>
            <m:sub>
              <m:r>
                <w:rPr>
                  <w:rFonts w:ascii="Cambria Math" w:hAnsi="Cambria Math"/>
                </w:rPr>
                <m:t>Volt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fuel util</m:t>
              </m:r>
            </m:sub>
          </m:sSub>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real</m:t>
                  </m:r>
                </m:sub>
              </m:sSub>
            </m:num>
            <m:den>
              <m:sSub>
                <m:sSubPr>
                  <m:ctrlPr>
                    <w:rPr>
                      <w:rFonts w:ascii="Cambria Math" w:hAnsi="Cambria Math"/>
                    </w:rPr>
                  </m:ctrlPr>
                </m:sSubPr>
                <m:e>
                  <m:r>
                    <m:rPr>
                      <m:sty m:val="p"/>
                    </m:rPr>
                    <w:rPr>
                      <w:rFonts w:ascii="Cambria Math" w:hAnsi="Cambria Math"/>
                    </w:rPr>
                    <m:t>E</m:t>
                  </m:r>
                </m:e>
                <m:sub>
                  <m:r>
                    <m:rPr>
                      <m:sty m:val="p"/>
                    </m:rPr>
                    <w:rPr>
                      <w:rFonts w:ascii="Cambria Math" w:hAnsi="Cambria Math"/>
                    </w:rPr>
                    <m:t>max</m:t>
                  </m:r>
                </m:sub>
              </m:sSub>
              <m:r>
                <m:rPr>
                  <m:sty m:val="p"/>
                </m:rPr>
                <w:rPr>
                  <w:rFonts w:ascii="Cambria Math" w:hAnsi="Cambria Math"/>
                </w:rPr>
                <m:t xml:space="preserve">  </m:t>
              </m:r>
            </m:den>
          </m:f>
          <m:r>
            <w:rPr>
              <w:rFonts w:ascii="Cambria Math" w:hAnsi="Cambria Math"/>
            </w:rPr>
            <m:t xml:space="preserve"> where </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num>
            <m:den>
              <m:r>
                <w:rPr>
                  <w:rFonts w:ascii="Cambria Math" w:hAnsi="Cambria Math"/>
                </w:rPr>
                <m:t>zF</m:t>
              </m:r>
            </m:den>
          </m:f>
        </m:oMath>
      </m:oMathPara>
    </w:p>
    <w:p w14:paraId="3ACA5A08" w14:textId="536D29A3" w:rsidR="007A07FA" w:rsidRDefault="007A07FA" w:rsidP="007A07FA">
      <w:pPr>
        <w:pStyle w:val="Heading2"/>
      </w:pPr>
      <w:r>
        <w:t>Active area</w:t>
      </w:r>
    </w:p>
    <w:p w14:paraId="1DE331C0" w14:textId="25258BE3" w:rsidR="004848AA" w:rsidRDefault="004848AA" w:rsidP="004848AA">
      <w:r>
        <w:t>The active area of the fuel cell was determined through the current calculated and the current density given by the coursework:</w:t>
      </w:r>
    </w:p>
    <w:p w14:paraId="2C744BEC" w14:textId="2C7E914F" w:rsidR="004848AA" w:rsidRPr="004848AA" w:rsidRDefault="004848AA" w:rsidP="004848AA">
      <m:oMathPara>
        <m:oMath>
          <m:r>
            <w:rPr>
              <w:rFonts w:ascii="Cambria Math" w:hAnsi="Cambria Math"/>
            </w:rPr>
            <m:t>A=</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ρ</m:t>
                  </m:r>
                </m:e>
                <m:sub>
                  <m:r>
                    <w:rPr>
                      <w:rFonts w:ascii="Cambria Math" w:hAnsi="Cambria Math"/>
                    </w:rPr>
                    <m:t>current</m:t>
                  </m:r>
                </m:sub>
              </m:sSub>
            </m:den>
          </m:f>
          <m:r>
            <w:rPr>
              <w:rFonts w:ascii="Cambria Math" w:hAnsi="Cambria Math"/>
            </w:rPr>
            <m:t>=68 828</m:t>
          </m:r>
        </m:oMath>
      </m:oMathPara>
    </w:p>
    <w:p w14:paraId="1614D031" w14:textId="546B2061" w:rsidR="007A07FA" w:rsidRDefault="007A07FA" w:rsidP="007A07FA">
      <w:pPr>
        <w:pStyle w:val="Heading2"/>
      </w:pPr>
      <w:r>
        <w:t>Heat losses</w:t>
      </w:r>
    </w:p>
    <w:p w14:paraId="2CC5FEA8" w14:textId="29527D37" w:rsidR="00BD095F" w:rsidRDefault="00BD095F" w:rsidP="00BD095F">
      <w:r>
        <w:t>Net heat loss of the SOFC</w:t>
      </w:r>
      <w:r w:rsidR="00B264E4">
        <w:t xml:space="preserve"> was obtained through a rearranged SFEE on the reformer and fuel cell, as other components where assumed adiabatic (</w:t>
      </w:r>
      <w:r w:rsidR="00B264E4">
        <w:rPr>
          <w:i/>
        </w:rPr>
        <w:t>given by coursework</w:t>
      </w:r>
      <w:r w:rsidR="00B264E4">
        <w:t>):</w:t>
      </w:r>
    </w:p>
    <w:p w14:paraId="69DD25E8" w14:textId="2BFFCE03" w:rsidR="00B264E4" w:rsidRPr="00785115" w:rsidRDefault="008022B2"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net</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reformer</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reaction</m:t>
              </m:r>
            </m:sub>
          </m:sSub>
          <m:r>
            <w:rPr>
              <w:rFonts w:ascii="Cambria Math" w:hAnsi="Cambria Math"/>
            </w:rPr>
            <m: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losses</m:t>
              </m:r>
            </m:sub>
          </m:sSub>
          <m:r>
            <w:rPr>
              <w:rFonts w:ascii="Cambria Math" w:hAnsi="Cambria Math"/>
            </w:rPr>
            <m:t>=-37.4MW</m:t>
          </m:r>
        </m:oMath>
      </m:oMathPara>
    </w:p>
    <w:p w14:paraId="5A207ED8" w14:textId="1AD8D1EC" w:rsidR="00785115" w:rsidRDefault="00785115" w:rsidP="00BD095F">
      <w:r>
        <w:t>Whe</w:t>
      </w:r>
      <w:r w:rsidR="00DB1F88">
        <w:t>re, ignoring activation losses as they are not given to the surrounding but rather to the reaction</w:t>
      </w:r>
      <w:r>
        <w:t>:</w:t>
      </w:r>
    </w:p>
    <w:p w14:paraId="14931A83" w14:textId="2C404FE8" w:rsidR="00785115" w:rsidRPr="004A46BB" w:rsidRDefault="00785115" w:rsidP="00BD095F">
      <m:oMathPara>
        <m:oMath>
          <m:r>
            <m:rPr>
              <m:sty m:val="p"/>
            </m:rPr>
            <w:rPr>
              <w:rFonts w:ascii="Cambria Math" w:hAnsi="Cambria Math"/>
            </w:rPr>
            <w:lastRenderedPageBreak/>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reformer</m:t>
              </m:r>
            </m:sub>
          </m:sSub>
          <m:r>
            <w:rPr>
              <w:rFonts w:ascii="Cambria Math" w:hAnsi="Cambria Math"/>
            </w:rPr>
            <m:t xml:space="preserve">= </m:t>
          </m:r>
          <m:r>
            <m:rPr>
              <m:sty m:val="p"/>
            </m:rPr>
            <w:rPr>
              <w:rFonts w:ascii="Cambria Math" w:hAnsi="Cambria Math"/>
            </w:rPr>
            <m:t>Δ</m:t>
          </m:r>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  0.2MW</m:t>
          </m:r>
        </m:oMath>
      </m:oMathPara>
    </w:p>
    <w:p w14:paraId="5291399C" w14:textId="33A5347E" w:rsidR="004A46BB" w:rsidRPr="00CA3C26" w:rsidRDefault="004A46BB"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reaction</m:t>
              </m:r>
            </m:sub>
          </m:sSub>
          <m:r>
            <w:rPr>
              <w:rFonts w:ascii="Cambria Math" w:hAnsi="Cambria Math"/>
            </w:rPr>
            <m:t xml:space="preserve">= </m:t>
          </m:r>
          <m:sSub>
            <m:sSubPr>
              <m:ctrlPr>
                <w:rPr>
                  <w:rFonts w:ascii="Cambria Math" w:hAnsi="Cambria Math"/>
                  <w:i/>
                </w:rPr>
              </m:ctrlPr>
            </m:sSubPr>
            <m:e>
              <m:d>
                <m:dPr>
                  <m:ctrlPr>
                    <w:rPr>
                      <w:rFonts w:ascii="Cambria Math" w:hAnsi="Cambria Math"/>
                    </w:rPr>
                  </m:ctrlPr>
                </m:dPr>
                <m:e>
                  <m:r>
                    <m:rPr>
                      <m:sty m:val="p"/>
                    </m:rPr>
                    <w:rPr>
                      <w:rFonts w:ascii="Cambria Math" w:hAnsi="Cambria Math"/>
                    </w:rPr>
                    <m:t>Δ</m:t>
                  </m:r>
                  <m:acc>
                    <m:accPr>
                      <m:chr m:val="̇"/>
                      <m:ctrlPr>
                        <w:rPr>
                          <w:rFonts w:ascii="Cambria Math" w:hAnsi="Cambria Math"/>
                          <w:i/>
                        </w:rPr>
                      </m:ctrlPr>
                    </m:accPr>
                    <m:e>
                      <m:r>
                        <w:rPr>
                          <w:rFonts w:ascii="Cambria Math" w:hAnsi="Cambria Math"/>
                        </w:rPr>
                        <m:t>H</m:t>
                      </m:r>
                    </m:e>
                  </m:acc>
                  <m:r>
                    <w:rPr>
                      <w:rFonts w:ascii="Cambria Math" w:hAnsi="Cambria Math"/>
                    </w:rPr>
                    <m:t xml:space="preserve">- </m:t>
                  </m:r>
                  <m:r>
                    <m:rPr>
                      <m:sty m:val="p"/>
                    </m:rPr>
                    <w:rPr>
                      <w:rFonts w:ascii="Cambria Math" w:hAnsi="Cambria Math"/>
                    </w:rPr>
                    <m:t>Δ</m:t>
                  </m:r>
                  <m:acc>
                    <m:accPr>
                      <m:chr m:val="̇"/>
                      <m:ctrlPr>
                        <w:rPr>
                          <w:rFonts w:ascii="Cambria Math" w:hAnsi="Cambria Math"/>
                          <w:i/>
                        </w:rPr>
                      </m:ctrlPr>
                    </m:accPr>
                    <m:e>
                      <m:r>
                        <w:rPr>
                          <w:rFonts w:ascii="Cambria Math" w:hAnsi="Cambria Math"/>
                        </w:rPr>
                        <m:t>G</m:t>
                      </m:r>
                    </m:e>
                  </m:acc>
                </m:e>
              </m:d>
            </m:e>
            <m:sub>
              <m:r>
                <w:rPr>
                  <w:rFonts w:ascii="Cambria Math" w:hAnsi="Cambria Math"/>
                </w:rPr>
                <m:t>reaction</m:t>
              </m:r>
            </m:sub>
          </m:sSub>
          <m:r>
            <w:rPr>
              <w:rFonts w:ascii="Cambria Math" w:hAnsi="Cambria Math"/>
            </w:rPr>
            <m:t>=T</m:t>
          </m:r>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reaction</m:t>
              </m:r>
            </m:sub>
          </m:sSub>
          <m:r>
            <w:rPr>
              <w:rFonts w:ascii="Cambria Math" w:hAnsi="Cambria Math"/>
            </w:rPr>
            <m:t>= T</m:t>
          </m:r>
          <m:sSub>
            <m:sSubPr>
              <m:ctrlPr>
                <w:rPr>
                  <w:rFonts w:ascii="Cambria Math" w:hAnsi="Cambria Math"/>
                  <w:i/>
                </w:rPr>
              </m:ctrlPr>
            </m:sSubPr>
            <m:e>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i</m:t>
                              </m:r>
                            </m:sub>
                          </m:sSub>
                        </m:e>
                      </m:acc>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e>
                  </m:nary>
                </m:e>
              </m:d>
            </m:e>
            <m:sub>
              <m:r>
                <w:rPr>
                  <w:rFonts w:ascii="Cambria Math" w:hAnsi="Cambria Math"/>
                </w:rPr>
                <m:t>out-in</m:t>
              </m:r>
            </m:sub>
          </m:sSub>
          <m:r>
            <w:rPr>
              <w:rFonts w:ascii="Cambria Math" w:hAnsi="Cambria Math"/>
            </w:rPr>
            <m:t>= -0.09MW</m:t>
          </m:r>
        </m:oMath>
      </m:oMathPara>
    </w:p>
    <w:p w14:paraId="54FD8247" w14:textId="57607FFF" w:rsidR="00CA3C26" w:rsidRPr="00BD095F" w:rsidRDefault="00CA3C26" w:rsidP="00BD095F">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cell losses</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 -37.6MW</m:t>
          </m:r>
        </m:oMath>
      </m:oMathPara>
    </w:p>
    <w:p w14:paraId="2532E7C1" w14:textId="192B60F8" w:rsidR="007A07FA" w:rsidRDefault="00D97A32" w:rsidP="002E2ACA">
      <w:pPr>
        <w:pStyle w:val="Heading1"/>
        <w:numPr>
          <w:ilvl w:val="0"/>
          <w:numId w:val="1"/>
        </w:numPr>
      </w:pPr>
      <w:r>
        <w:t>System Parameters</w:t>
      </w:r>
    </w:p>
    <w:p w14:paraId="528F7265" w14:textId="38CA49C5" w:rsidR="00D97A32" w:rsidRDefault="00D97A32" w:rsidP="00D97A32">
      <w:pPr>
        <w:pStyle w:val="Heading2"/>
      </w:pPr>
      <w:r>
        <w:t>Power</w:t>
      </w:r>
    </w:p>
    <w:p w14:paraId="437CCCF4" w14:textId="0F71F65D" w:rsidR="001904AE" w:rsidRDefault="00532C0E" w:rsidP="001904AE">
      <w:r>
        <w:t xml:space="preserve">The net power of the system was obtained through the sum of </w:t>
      </w:r>
      <w:r w:rsidR="00BB4642">
        <w:t>enthalpy changes across compressors, pumps, turbines</w:t>
      </w:r>
      <w:r w:rsidR="00346EFA">
        <w:t xml:space="preserve"> -assuming all to be</w:t>
      </w:r>
      <w:r w:rsidR="0034666C">
        <w:t xml:space="preserve"> enthalpy drop to correspond to work gains (a.k.a. adiabatic)</w:t>
      </w:r>
      <w:r w:rsidR="00BB4642">
        <w:t xml:space="preserve"> and </w:t>
      </w:r>
      <w:r w:rsidR="006B5597">
        <w:t>the AC power of the fuel cell system</w:t>
      </w:r>
      <w:r w:rsidR="006330C5">
        <w:t>.</w:t>
      </w:r>
      <w:r w:rsidR="00235170">
        <w:t xml:space="preserve"> </w:t>
      </w:r>
      <w:r w:rsidR="00E91207">
        <w:t xml:space="preserve">Also accounting for the units of enthalpy being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E91207">
        <w:t xml:space="preserve">. </w:t>
      </w:r>
      <w:r w:rsidR="00235170">
        <w:t>This gave a net power of</w:t>
      </w:r>
      <w:r w:rsidR="00984CF2">
        <w:t xml:space="preserve"> 763.2</w:t>
      </w:r>
      <m:oMath>
        <m:r>
          <w:rPr>
            <w:rFonts w:ascii="Cambria Math" w:hAnsi="Cambria Math"/>
          </w:rPr>
          <m:t>MW</m:t>
        </m:r>
      </m:oMath>
      <w:r w:rsidR="00235170">
        <w:t>.</w:t>
      </w:r>
    </w:p>
    <w:p w14:paraId="2D5DB318" w14:textId="0A8E0166" w:rsidR="00D554A7" w:rsidRPr="00D554A7" w:rsidRDefault="00107884" w:rsidP="001904A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AC</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r>
                <m:rPr>
                  <m:sty m:val="p"/>
                </m:rPr>
                <w:rPr>
                  <w:rFonts w:ascii="Cambria Math" w:hAnsi="Cambria Math"/>
                </w:rPr>
                <m:t xml:space="preserve"> 763.2</m:t>
              </m:r>
              <m:r>
                <w:rPr>
                  <w:rFonts w:ascii="Cambria Math" w:hAnsi="Cambria Math"/>
                </w:rPr>
                <m:t>MW</m:t>
              </m:r>
            </m:e>
          </m:nary>
          <m:r>
            <w:rPr>
              <w:rFonts w:ascii="Cambria Math" w:hAnsi="Cambria Math"/>
            </w:rPr>
            <m:t xml:space="preserve"> </m:t>
          </m:r>
        </m:oMath>
      </m:oMathPara>
    </w:p>
    <w:p w14:paraId="150A5A10" w14:textId="49301B56" w:rsidR="006B5597" w:rsidRPr="001904AE" w:rsidRDefault="00170C9D" w:rsidP="001904AE">
      <m:oMathPara>
        <m:oMath>
          <m:r>
            <w:rPr>
              <w:rFonts w:ascii="Cambria Math" w:hAnsi="Cambria Math"/>
            </w:rPr>
            <m:t>where i∈</m:t>
          </m:r>
          <m:d>
            <m:dPr>
              <m:begChr m:val="{"/>
              <m:endChr m:val="}"/>
              <m:ctrlPr>
                <w:rPr>
                  <w:rFonts w:ascii="Cambria Math" w:hAnsi="Cambria Math"/>
                  <w:i/>
                </w:rPr>
              </m:ctrlPr>
            </m:dPr>
            <m:e>
              <m:r>
                <w:rPr>
                  <w:rFonts w:ascii="Cambria Math" w:hAnsi="Cambria Math"/>
                </w:rPr>
                <m:t>4,3,15,18,21,22,24</m:t>
              </m:r>
            </m:e>
          </m:d>
          <m:r>
            <w:rPr>
              <w:rFonts w:ascii="Cambria Math" w:hAnsi="Cambria Math"/>
            </w:rPr>
            <m:t xml:space="preserve"> and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refers to flow physically before the </m:t>
          </m:r>
          <m:sSup>
            <m:sSupPr>
              <m:ctrlPr>
                <w:rPr>
                  <w:rFonts w:ascii="Cambria Math" w:hAnsi="Cambria Math"/>
                  <w:i/>
                </w:rPr>
              </m:ctrlPr>
            </m:sSupPr>
            <m:e>
              <m:r>
                <w:rPr>
                  <w:rFonts w:ascii="Cambria Math" w:hAnsi="Cambria Math"/>
                </w:rPr>
                <m:t>i</m:t>
              </m:r>
            </m:e>
            <m:sup>
              <m:r>
                <w:rPr>
                  <w:rFonts w:ascii="Cambria Math" w:hAnsi="Cambria Math"/>
                </w:rPr>
                <m:t>th</m:t>
              </m:r>
            </m:sup>
          </m:sSup>
        </m:oMath>
      </m:oMathPara>
    </w:p>
    <w:p w14:paraId="7BC8757C" w14:textId="50DF9AF2" w:rsidR="00D97A32" w:rsidRDefault="00D97A32" w:rsidP="00D97A32">
      <w:pPr>
        <w:pStyle w:val="Heading2"/>
      </w:pPr>
      <w:r>
        <w:t>Feed-water</w:t>
      </w:r>
    </w:p>
    <w:p w14:paraId="5508DB2F" w14:textId="4FCD70EA" w:rsidR="008C29A8" w:rsidRPr="008C29A8" w:rsidRDefault="00134885" w:rsidP="00134885">
      <w:r>
        <w:t xml:space="preserve">Feed water was assumed to mean the water required to be supplied to the </w:t>
      </w:r>
      <w:r w:rsidR="004E143F">
        <w:t>system during runtime to maintain functionality. This can be seen by inspection to be the water leaving the steam cycle in flow 6, and as such:</w:t>
      </w:r>
    </w:p>
    <w:p w14:paraId="2D480A82" w14:textId="76143CDF" w:rsidR="00134885" w:rsidRPr="00134885" w:rsidRDefault="00107884" w:rsidP="0013488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feed water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6</m:t>
              </m:r>
            </m:sub>
          </m:sSub>
          <m:r>
            <w:rPr>
              <w:rFonts w:ascii="Cambria Math" w:hAnsi="Cambria Math"/>
            </w:rPr>
            <m:t>=55.9kg</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14:paraId="423C5E0D" w14:textId="3FC7F9D7" w:rsidR="00D97A32" w:rsidRDefault="00D97A32" w:rsidP="00D97A32">
      <w:pPr>
        <w:pStyle w:val="Heading2"/>
      </w:pPr>
      <w:r>
        <w:t>Efficiency</w:t>
      </w:r>
    </w:p>
    <w:p w14:paraId="75C8740F" w14:textId="0A1628B2" w:rsidR="00134885" w:rsidRDefault="00D13AE4" w:rsidP="00134885">
      <w:r>
        <w:t xml:space="preserve">For such a complex system, the most meaningful efficiency </w:t>
      </w:r>
      <w:r w:rsidR="000D1544">
        <w:t>can be derived by going by to the root concept of efficiency</w:t>
      </w:r>
      <w:r w:rsidR="008356F5">
        <w:t xml:space="preserve">. Assuming the only source of energy for the system is given by the supply of fuel as all other heat </w:t>
      </w:r>
      <w:r w:rsidR="00D2204E">
        <w:t>intake</w:t>
      </w:r>
      <w:r w:rsidR="008356F5">
        <w:t xml:space="preserve"> is internal to the system as whole</w:t>
      </w:r>
      <w:r w:rsidR="00B129BE">
        <w:t>, and the feed water is never brought below the supply temperature</w:t>
      </w:r>
      <w:r w:rsidR="002337B5">
        <w:t xml:space="preserve"> meaning </w:t>
      </w:r>
      <w:r w:rsidR="00196F0E">
        <w:t>heat</w:t>
      </w:r>
      <w:r w:rsidR="002337B5">
        <w:t xml:space="preserve"> is not extracted from surrounding water</w:t>
      </w:r>
      <w:r w:rsidR="008356F5">
        <w:t>.</w:t>
      </w:r>
      <w:r w:rsidR="00121DAD">
        <w:t xml:space="preserve"> Furthermore, from a design perspective our primary source of energy contribution can be viewed as just the fuel as it is all we supply that costs significantly.</w:t>
      </w:r>
      <w:r w:rsidR="0052517F">
        <w:t xml:space="preserve"> This efficiency came out to be</w:t>
      </w:r>
      <w:r w:rsidR="00EA0BFD">
        <w:t>:</w:t>
      </w:r>
    </w:p>
    <w:p w14:paraId="75B9EBB4" w14:textId="319C3735" w:rsidR="000D1544" w:rsidRPr="000D1544" w:rsidRDefault="00107884" w:rsidP="00134885">
      <m:oMathPara>
        <m:oMath>
          <m:sSub>
            <m:sSubPr>
              <m:ctrlPr>
                <w:rPr>
                  <w:rFonts w:ascii="Cambria Math" w:hAnsi="Cambria Math"/>
                  <w:i/>
                </w:rPr>
              </m:ctrlPr>
            </m:sSubPr>
            <m:e>
              <m:r>
                <w:rPr>
                  <w:rFonts w:ascii="Cambria Math" w:hAnsi="Cambria Math"/>
                </w:rPr>
                <m:t>η</m:t>
              </m:r>
            </m:e>
            <m:sub>
              <m:r>
                <w:rPr>
                  <w:rFonts w:ascii="Cambria Math" w:hAnsi="Cambria Math"/>
                </w:rPr>
                <m:t>system</m:t>
              </m:r>
            </m:sub>
          </m:sSub>
          <m:r>
            <w:rPr>
              <w:rFonts w:ascii="Cambria Math" w:hAnsi="Cambria Math"/>
            </w:rPr>
            <m:t>=</m:t>
          </m:r>
          <m:f>
            <m:fPr>
              <m:ctrlPr>
                <w:rPr>
                  <w:rFonts w:ascii="Cambria Math" w:hAnsi="Cambria Math"/>
                  <w:i/>
                </w:rPr>
              </m:ctrlPr>
            </m:fPr>
            <m:num>
              <m:r>
                <w:rPr>
                  <w:rFonts w:ascii="Cambria Math" w:hAnsi="Cambria Math"/>
                </w:rPr>
                <m:t>Work out</m:t>
              </m:r>
            </m:num>
            <m:den>
              <m:r>
                <w:rPr>
                  <w:rFonts w:ascii="Cambria Math" w:hAnsi="Cambria Math"/>
                </w:rPr>
                <m:t>Energy in</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fuel</m:t>
                      </m:r>
                    </m:sub>
                  </m:sSub>
                </m:e>
              </m:acc>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net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LHV</m:t>
              </m:r>
            </m:den>
          </m:f>
          <m:r>
            <w:rPr>
              <w:rFonts w:ascii="Cambria Math" w:hAnsi="Cambria Math"/>
            </w:rPr>
            <m:t>=68.1%</m:t>
          </m:r>
        </m:oMath>
      </m:oMathPara>
    </w:p>
    <w:p w14:paraId="3724EE96" w14:textId="17855F07" w:rsidR="00134885" w:rsidRPr="00134885" w:rsidRDefault="00195669" w:rsidP="00134885">
      <w:pPr>
        <w:pStyle w:val="Heading2"/>
      </w:pPr>
      <w:r>
        <w:t>Emissions</w:t>
      </w:r>
    </w:p>
    <w:p w14:paraId="40EA597E" w14:textId="729B5DB1" w:rsidR="00195669" w:rsidRDefault="00195669" w:rsidP="00195669">
      <w:pPr>
        <w:pStyle w:val="Heading3"/>
        <w:rPr>
          <w:vertAlign w:val="subscript"/>
        </w:rPr>
      </w:pPr>
      <w:r>
        <w:t>CO</w:t>
      </w:r>
      <w:r>
        <w:rPr>
          <w:vertAlign w:val="subscript"/>
        </w:rPr>
        <w:t>2</w:t>
      </w:r>
    </w:p>
    <w:p w14:paraId="4D663A73" w14:textId="736F322D" w:rsidR="00134885" w:rsidRDefault="00194837" w:rsidP="00134885">
      <w:r>
        <w:t>Emissions were determined from:</w:t>
      </w:r>
    </w:p>
    <w:p w14:paraId="0BE4EF86" w14:textId="2575A405" w:rsidR="00194837" w:rsidRPr="00420105" w:rsidRDefault="00107884" w:rsidP="00134885">
      <m:oMathPara>
        <m:oMath>
          <m:sSub>
            <m:sSubPr>
              <m:ctrlPr>
                <w:rPr>
                  <w:rFonts w:ascii="Cambria Math" w:hAnsi="Cambria Math"/>
                  <w:i/>
                </w:rPr>
              </m:ctrlPr>
            </m:sSubPr>
            <m:e>
              <m:r>
                <w:rPr>
                  <w:rFonts w:ascii="Cambria Math" w:hAnsi="Cambria Math"/>
                </w:rPr>
                <m:t>ϵ</m:t>
              </m:r>
            </m:e>
            <m:sub>
              <m:r>
                <w:rPr>
                  <w:rFonts w:ascii="Cambria Math" w:hAnsi="Cambria Math"/>
                </w:rPr>
                <m:t>CO2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16</m:t>
                  </m:r>
                </m:sub>
              </m:sSub>
              <m:sSubSup>
                <m:sSubSupPr>
                  <m:ctrlPr>
                    <w:rPr>
                      <w:rFonts w:ascii="Cambria Math" w:hAnsi="Cambria Math"/>
                      <w:i/>
                    </w:rPr>
                  </m:ctrlPr>
                </m:sSubSupPr>
                <m:e>
                  <m:r>
                    <w:rPr>
                      <w:rFonts w:ascii="Cambria Math" w:hAnsi="Cambria Math"/>
                    </w:rPr>
                    <m:t>r</m:t>
                  </m:r>
                </m:e>
                <m:sub>
                  <m:r>
                    <w:rPr>
                      <w:rFonts w:ascii="Cambria Math" w:hAnsi="Cambria Math"/>
                    </w:rPr>
                    <m:t>CO2</m:t>
                  </m:r>
                </m:sub>
                <m:sup>
                  <m:r>
                    <w:rPr>
                      <w:rFonts w:ascii="Cambria Math" w:hAnsi="Cambria Math"/>
                    </w:rPr>
                    <m:t>mass</m:t>
                  </m:r>
                </m:sup>
              </m:sSubSup>
            </m:num>
            <m:den>
              <m:sSub>
                <m:sSubPr>
                  <m:ctrlPr>
                    <w:rPr>
                      <w:rFonts w:ascii="Cambria Math" w:hAnsi="Cambria Math"/>
                      <w:i/>
                    </w:rPr>
                  </m:ctrlPr>
                </m:sSubPr>
                <m:e>
                  <m:r>
                    <w:rPr>
                      <w:rFonts w:ascii="Cambria Math" w:hAnsi="Cambria Math"/>
                    </w:rPr>
                    <m:t>W</m:t>
                  </m:r>
                </m:e>
                <m:sub>
                  <m:r>
                    <w:rPr>
                      <w:rFonts w:ascii="Cambria Math" w:hAnsi="Cambria Math"/>
                    </w:rPr>
                    <m:t>out</m:t>
                  </m:r>
                </m:sub>
              </m:sSub>
            </m:den>
          </m:f>
          <m:r>
            <w:rPr>
              <w:rFonts w:ascii="Cambria Math" w:hAnsi="Cambria Math"/>
            </w:rPr>
            <m:t>=360</m:t>
          </m:r>
          <m:f>
            <m:fPr>
              <m:ctrlPr>
                <w:rPr>
                  <w:rFonts w:ascii="Cambria Math" w:hAnsi="Cambria Math"/>
                  <w:i/>
                </w:rPr>
              </m:ctrlPr>
            </m:fPr>
            <m:num>
              <m:r>
                <w:rPr>
                  <w:rFonts w:ascii="Cambria Math" w:hAnsi="Cambria Math"/>
                </w:rPr>
                <m:t>g</m:t>
              </m:r>
            </m:num>
            <m:den>
              <m:r>
                <w:rPr>
                  <w:rFonts w:ascii="Cambria Math" w:hAnsi="Cambria Math"/>
                </w:rPr>
                <m:t>kWh</m:t>
              </m:r>
            </m:den>
          </m:f>
          <m:r>
            <w:rPr>
              <w:rFonts w:ascii="Cambria Math" w:hAnsi="Cambria Math"/>
            </w:rPr>
            <m:t xml:space="preserve"> </m:t>
          </m:r>
        </m:oMath>
      </m:oMathPara>
    </w:p>
    <w:p w14:paraId="73A35CE1" w14:textId="7CA26620" w:rsidR="00420105" w:rsidRPr="00134885" w:rsidRDefault="00420105" w:rsidP="00134885">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CO2</m:t>
            </m:r>
          </m:sub>
          <m:sup>
            <m:r>
              <w:rPr>
                <w:rFonts w:ascii="Cambria Math" w:hAnsi="Cambria Math"/>
              </w:rPr>
              <m:t>mass</m:t>
            </m:r>
          </m:sup>
        </m:sSubSup>
      </m:oMath>
      <w:r>
        <w:t xml:space="preserve"> is the mass fraction of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w:r>
        <w:t xml:space="preserve"> in the emission at position 16 (from GASEQ)</w:t>
      </w:r>
      <w:r w:rsidR="00A13E19">
        <w:t xml:space="preserve"> and </w:t>
      </w:r>
      <m:oMath>
        <m:sSub>
          <m:sSubPr>
            <m:ctrlPr>
              <w:rPr>
                <w:rFonts w:ascii="Cambria Math" w:hAnsi="Cambria Math"/>
                <w:i/>
              </w:rPr>
            </m:ctrlPr>
          </m:sSubPr>
          <m:e>
            <m:r>
              <w:rPr>
                <w:rFonts w:ascii="Cambria Math" w:hAnsi="Cambria Math"/>
              </w:rPr>
              <m:t>W</m:t>
            </m:r>
          </m:e>
          <m:sub>
            <m:r>
              <w:rPr>
                <w:rFonts w:ascii="Cambria Math" w:hAnsi="Cambria Math"/>
              </w:rPr>
              <m:t>out</m:t>
            </m:r>
          </m:sub>
        </m:sSub>
      </m:oMath>
      <w:r w:rsidR="00A13E19">
        <w:t xml:space="preserve"> is in units of </w:t>
      </w:r>
      <m:oMath>
        <m:r>
          <w:rPr>
            <w:rFonts w:ascii="Cambria Math" w:hAnsi="Cambria Math"/>
          </w:rPr>
          <m:t>kWh</m:t>
        </m:r>
      </m:oMath>
      <w:r w:rsidR="00A13E19">
        <w:t>.</w:t>
      </w:r>
    </w:p>
    <w:p w14:paraId="07296955" w14:textId="231F85B7" w:rsidR="00DB4CA4" w:rsidRDefault="00195669" w:rsidP="003A1EE8">
      <w:pPr>
        <w:pStyle w:val="Heading3"/>
        <w:rPr>
          <w:vertAlign w:val="subscript"/>
        </w:rPr>
      </w:pPr>
      <w:r>
        <w:t>NO</w:t>
      </w:r>
      <w:r>
        <w:rPr>
          <w:vertAlign w:val="subscript"/>
        </w:rPr>
        <w:t>x</w:t>
      </w:r>
    </w:p>
    <w:p w14:paraId="0B599440" w14:textId="655204DE" w:rsidR="00FF5F42" w:rsidRDefault="00307F36" w:rsidP="00FF5F42">
      <w:r>
        <w:t xml:space="preserve">And using the same method but with the cumulative mass fraction of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oMath>
      <w:r>
        <w:t>:</w:t>
      </w:r>
    </w:p>
    <w:p w14:paraId="74A704A1" w14:textId="76C22FA5" w:rsidR="008029D8" w:rsidRPr="00420105" w:rsidRDefault="00107884" w:rsidP="008029D8">
      <m:oMathPara>
        <m:oMath>
          <m:sSub>
            <m:sSubPr>
              <m:ctrlPr>
                <w:rPr>
                  <w:rFonts w:ascii="Cambria Math" w:hAnsi="Cambria Math"/>
                  <w:i/>
                </w:rPr>
              </m:ctrlPr>
            </m:sSubPr>
            <m:e>
              <m:r>
                <w:rPr>
                  <w:rFonts w:ascii="Cambria Math" w:hAnsi="Cambria Math"/>
                </w:rPr>
                <m:t>ϵ</m:t>
              </m:r>
            </m:e>
            <m:sub>
              <m:r>
                <w:rPr>
                  <w:rFonts w:ascii="Cambria Math" w:hAnsi="Cambria Math"/>
                </w:rPr>
                <m:t>CO2</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16</m:t>
                  </m:r>
                </m:sub>
              </m:sSub>
              <m:sSubSup>
                <m:sSubSupPr>
                  <m:ctrlPr>
                    <w:rPr>
                      <w:rFonts w:ascii="Cambria Math" w:hAnsi="Cambria Math"/>
                      <w:i/>
                    </w:rPr>
                  </m:ctrlPr>
                </m:sSubSupPr>
                <m:e>
                  <m:r>
                    <w:rPr>
                      <w:rFonts w:ascii="Cambria Math" w:hAnsi="Cambria Math"/>
                    </w:rPr>
                    <m:t>r</m:t>
                  </m:r>
                </m:e>
                <m:sub>
                  <m:r>
                    <w:rPr>
                      <w:rFonts w:ascii="Cambria Math" w:hAnsi="Cambria Math"/>
                    </w:rPr>
                    <m:t>NOx</m:t>
                  </m:r>
                </m:sub>
                <m:sup>
                  <m:r>
                    <w:rPr>
                      <w:rFonts w:ascii="Cambria Math" w:hAnsi="Cambria Math"/>
                    </w:rPr>
                    <m:t>mass</m:t>
                  </m:r>
                </m:sup>
              </m:sSubSup>
            </m:num>
            <m:den>
              <m:sSub>
                <m:sSubPr>
                  <m:ctrlPr>
                    <w:rPr>
                      <w:rFonts w:ascii="Cambria Math" w:hAnsi="Cambria Math"/>
                      <w:i/>
                    </w:rPr>
                  </m:ctrlPr>
                </m:sSubPr>
                <m:e>
                  <m:r>
                    <w:rPr>
                      <w:rFonts w:ascii="Cambria Math" w:hAnsi="Cambria Math"/>
                    </w:rPr>
                    <m:t>W</m:t>
                  </m:r>
                </m:e>
                <m:sub>
                  <m:r>
                    <w:rPr>
                      <w:rFonts w:ascii="Cambria Math" w:hAnsi="Cambria Math"/>
                    </w:rPr>
                    <m:t>out</m:t>
                  </m:r>
                </m:sub>
              </m:sSub>
            </m:den>
          </m:f>
          <m:r>
            <w:rPr>
              <w:rFonts w:ascii="Cambria Math" w:hAnsi="Cambria Math"/>
            </w:rPr>
            <m:t xml:space="preserve">=2.45 </m:t>
          </m:r>
          <m:f>
            <m:fPr>
              <m:ctrlPr>
                <w:rPr>
                  <w:rFonts w:ascii="Cambria Math" w:hAnsi="Cambria Math"/>
                  <w:i/>
                </w:rPr>
              </m:ctrlPr>
            </m:fPr>
            <m:num>
              <m:r>
                <w:rPr>
                  <w:rFonts w:ascii="Cambria Math" w:hAnsi="Cambria Math"/>
                </w:rPr>
                <m:t>μg</m:t>
              </m:r>
            </m:num>
            <m:den>
              <m:r>
                <w:rPr>
                  <w:rFonts w:ascii="Cambria Math" w:hAnsi="Cambria Math"/>
                </w:rPr>
                <m:t>kWh</m:t>
              </m:r>
            </m:den>
          </m:f>
          <m:r>
            <w:rPr>
              <w:rFonts w:ascii="Cambria Math" w:hAnsi="Cambria Math"/>
            </w:rPr>
            <m:t xml:space="preserve"> </m:t>
          </m:r>
        </m:oMath>
      </m:oMathPara>
    </w:p>
    <w:p w14:paraId="16919483" w14:textId="7D8BAA6B" w:rsidR="00307F36" w:rsidRPr="00FF5F42" w:rsidRDefault="00A07D7F" w:rsidP="00FF5F42">
      <w:r>
        <w:t>It is worth noting that this is exceptionally low</w:t>
      </w:r>
      <w:r w:rsidR="007A7DD6">
        <w:t xml:space="preserve"> and </w:t>
      </w:r>
      <w:r>
        <w:t xml:space="preserve">was calculated assuming there was enough time to reach equilibrium in between </w:t>
      </w:r>
      <w:r w:rsidR="008A72D9">
        <w:t>each</w:t>
      </w:r>
      <w:r>
        <w:t xml:space="preserve"> stage after the combustion</w:t>
      </w:r>
      <w:r w:rsidR="00DC564D">
        <w:t xml:space="preserve"> (including the pressure loss).</w:t>
      </w:r>
      <w:r w:rsidR="00C32063">
        <w:t xml:space="preserve"> </w:t>
      </w:r>
      <w:r w:rsidR="00207888">
        <w:t xml:space="preserve">It is worth noting that the emissions that come straight out of the turbine would cause </w:t>
      </w:r>
      <w:r w:rsidR="006F20C3">
        <w:t>~</w:t>
      </w:r>
      <m:oMath>
        <m:r>
          <w:rPr>
            <w:rFonts w:ascii="Cambria Math" w:hAnsi="Cambria Math"/>
          </w:rPr>
          <m:t>2</m:t>
        </m:r>
        <m:f>
          <m:fPr>
            <m:ctrlPr>
              <w:rPr>
                <w:rFonts w:ascii="Cambria Math" w:hAnsi="Cambria Math"/>
                <w:i/>
              </w:rPr>
            </m:ctrlPr>
          </m:fPr>
          <m:num>
            <m:r>
              <w:rPr>
                <w:rFonts w:ascii="Cambria Math" w:hAnsi="Cambria Math"/>
              </w:rPr>
              <m:t>g</m:t>
            </m:r>
          </m:num>
          <m:den>
            <m:r>
              <w:rPr>
                <w:rFonts w:ascii="Cambria Math" w:hAnsi="Cambria Math"/>
              </w:rPr>
              <m:t>kWh</m:t>
            </m:r>
          </m:den>
        </m:f>
      </m:oMath>
      <w:r w:rsidR="006F20C3">
        <w:t xml:space="preserve"> which when compared with the literature </w:t>
      </w:r>
      <w:sdt>
        <w:sdtPr>
          <w:id w:val="-1401744847"/>
          <w:citation/>
        </w:sdtPr>
        <w:sdtEndPr/>
        <w:sdtContent>
          <w:r w:rsidR="00A33642">
            <w:fldChar w:fldCharType="begin"/>
          </w:r>
          <w:r w:rsidR="00A33642">
            <w:instrText xml:space="preserve"> CITATION JAd14 \l 2057 </w:instrText>
          </w:r>
          <w:r w:rsidR="00A33642">
            <w:fldChar w:fldCharType="separate"/>
          </w:r>
          <w:r w:rsidR="006F59FB" w:rsidRPr="006F59FB">
            <w:rPr>
              <w:noProof/>
            </w:rPr>
            <w:t>(J. A. de Gouw, 2014)</w:t>
          </w:r>
          <w:r w:rsidR="00A33642">
            <w:fldChar w:fldCharType="end"/>
          </w:r>
        </w:sdtContent>
      </w:sdt>
      <w:r w:rsidR="00C3737A">
        <w:t xml:space="preserve"> is approximately the same order of magnitude as a CCP Natural gas power plant.</w:t>
      </w:r>
    </w:p>
    <w:p w14:paraId="53340F93" w14:textId="2D6CA866" w:rsidR="00DB4CA4" w:rsidRDefault="00DB4CA4" w:rsidP="00DB4CA4">
      <w:pPr>
        <w:pStyle w:val="Heading1"/>
      </w:pPr>
      <w:r>
        <w:t>Appendix</w:t>
      </w:r>
    </w:p>
    <w:p w14:paraId="4EE90373" w14:textId="77777777" w:rsidR="00DB4CA4" w:rsidRDefault="00DB4CA4" w:rsidP="00DB4CA4">
      <w:pPr>
        <w:spacing w:after="0" w:line="240" w:lineRule="auto"/>
        <w:rPr>
          <w:rFonts w:ascii="Times New Roman" w:eastAsia="Times New Roman" w:hAnsi="Times New Roman" w:cs="Times New Roman"/>
          <w:sz w:val="24"/>
          <w:szCs w:val="24"/>
        </w:rPr>
        <w:sectPr w:rsidR="00DB4CA4" w:rsidSect="00003FD6">
          <w:type w:val="continuous"/>
          <w:pgSz w:w="12240" w:h="15840"/>
          <w:pgMar w:top="1440" w:right="1080" w:bottom="1440" w:left="1080" w:header="708" w:footer="708" w:gutter="0"/>
          <w:cols w:space="708"/>
          <w:docGrid w:linePitch="360"/>
        </w:sectPr>
      </w:pPr>
    </w:p>
    <w:p w14:paraId="66A64E96" w14:textId="26B9D75E" w:rsidR="006F59FB" w:rsidRDefault="006F59FB" w:rsidP="006F59FB">
      <w:pPr>
        <w:pStyle w:val="Caption"/>
        <w:keepNext/>
      </w:pPr>
      <w:r>
        <w:t xml:space="preserve">Table </w:t>
      </w:r>
      <w:fldSimple w:instr=" SEQ Table \* ARABIC ">
        <w:r w:rsidR="00107884">
          <w:rPr>
            <w:noProof/>
          </w:rPr>
          <w:t>1</w:t>
        </w:r>
      </w:fldSimple>
      <w:r>
        <w:t xml:space="preserve"> Mass flowrates of all positions</w:t>
      </w:r>
    </w:p>
    <w:tbl>
      <w:tblPr>
        <w:tblW w:w="2500" w:type="dxa"/>
        <w:tblLook w:val="04A0" w:firstRow="1" w:lastRow="0" w:firstColumn="1" w:lastColumn="0" w:noHBand="0" w:noVBand="1"/>
      </w:tblPr>
      <w:tblGrid>
        <w:gridCol w:w="960"/>
        <w:gridCol w:w="1540"/>
      </w:tblGrid>
      <w:tr w:rsidR="006F59FB" w:rsidRPr="006F59FB" w14:paraId="643951E7" w14:textId="77777777" w:rsidTr="007D686E">
        <w:trPr>
          <w:trHeight w:val="450"/>
        </w:trPr>
        <w:tc>
          <w:tcPr>
            <w:tcW w:w="960" w:type="dxa"/>
            <w:tcBorders>
              <w:top w:val="nil"/>
              <w:left w:val="nil"/>
              <w:bottom w:val="nil"/>
              <w:right w:val="nil"/>
            </w:tcBorders>
            <w:shd w:val="clear" w:color="auto" w:fill="auto"/>
            <w:noWrap/>
            <w:vAlign w:val="bottom"/>
            <w:hideMark/>
          </w:tcPr>
          <w:p w14:paraId="11BF8222" w14:textId="77777777" w:rsidR="006F59FB" w:rsidRPr="006F59FB" w:rsidRDefault="006F59FB" w:rsidP="006F59FB"/>
        </w:tc>
        <w:tc>
          <w:tcPr>
            <w:tcW w:w="1540" w:type="dxa"/>
            <w:tcBorders>
              <w:top w:val="nil"/>
              <w:left w:val="nil"/>
              <w:bottom w:val="nil"/>
              <w:right w:val="nil"/>
            </w:tcBorders>
            <w:shd w:val="clear" w:color="auto" w:fill="auto"/>
            <w:noWrap/>
            <w:vAlign w:val="bottom"/>
            <w:hideMark/>
          </w:tcPr>
          <w:p w14:paraId="7AEFFFE8" w14:textId="77777777" w:rsidR="006F59FB" w:rsidRPr="006F59FB" w:rsidRDefault="006F59FB" w:rsidP="006F59FB">
            <w:r w:rsidRPr="006F59FB">
              <w:t>Mass (kg/s)</w:t>
            </w:r>
          </w:p>
        </w:tc>
      </w:tr>
      <w:tr w:rsidR="006F59FB" w:rsidRPr="006F59FB" w14:paraId="77C55083" w14:textId="77777777" w:rsidTr="007D686E">
        <w:trPr>
          <w:trHeight w:hRule="exact" w:val="319"/>
        </w:trPr>
        <w:tc>
          <w:tcPr>
            <w:tcW w:w="960" w:type="dxa"/>
            <w:tcBorders>
              <w:top w:val="nil"/>
              <w:left w:val="nil"/>
              <w:bottom w:val="nil"/>
              <w:right w:val="nil"/>
            </w:tcBorders>
            <w:shd w:val="clear" w:color="auto" w:fill="auto"/>
            <w:noWrap/>
            <w:vAlign w:val="bottom"/>
            <w:hideMark/>
          </w:tcPr>
          <w:p w14:paraId="0607F70B" w14:textId="77777777" w:rsidR="006F59FB" w:rsidRPr="006F59FB" w:rsidRDefault="006F59FB" w:rsidP="006F59FB">
            <w:r w:rsidRPr="006F59FB">
              <w:t>1</w:t>
            </w:r>
          </w:p>
        </w:tc>
        <w:tc>
          <w:tcPr>
            <w:tcW w:w="1540" w:type="dxa"/>
            <w:tcBorders>
              <w:top w:val="nil"/>
              <w:left w:val="nil"/>
              <w:bottom w:val="nil"/>
              <w:right w:val="nil"/>
            </w:tcBorders>
            <w:shd w:val="clear" w:color="auto" w:fill="auto"/>
            <w:noWrap/>
            <w:vAlign w:val="bottom"/>
            <w:hideMark/>
          </w:tcPr>
          <w:p w14:paraId="7A9D1897" w14:textId="77777777" w:rsidR="006F59FB" w:rsidRPr="006F59FB" w:rsidRDefault="006F59FB" w:rsidP="006F59FB">
            <w:r w:rsidRPr="006F59FB">
              <w:t>23.9</w:t>
            </w:r>
          </w:p>
        </w:tc>
      </w:tr>
      <w:tr w:rsidR="006F59FB" w:rsidRPr="006F59FB" w14:paraId="6C464389" w14:textId="77777777" w:rsidTr="007D686E">
        <w:trPr>
          <w:trHeight w:hRule="exact" w:val="297"/>
        </w:trPr>
        <w:tc>
          <w:tcPr>
            <w:tcW w:w="960" w:type="dxa"/>
            <w:tcBorders>
              <w:top w:val="nil"/>
              <w:left w:val="nil"/>
              <w:bottom w:val="nil"/>
              <w:right w:val="nil"/>
            </w:tcBorders>
            <w:shd w:val="clear" w:color="auto" w:fill="auto"/>
            <w:noWrap/>
            <w:vAlign w:val="bottom"/>
            <w:hideMark/>
          </w:tcPr>
          <w:p w14:paraId="67AEB4F0" w14:textId="77777777" w:rsidR="006F59FB" w:rsidRPr="006F59FB" w:rsidRDefault="006F59FB" w:rsidP="006F59FB">
            <w:r w:rsidRPr="006F59FB">
              <w:t>2</w:t>
            </w:r>
          </w:p>
        </w:tc>
        <w:tc>
          <w:tcPr>
            <w:tcW w:w="1540" w:type="dxa"/>
            <w:tcBorders>
              <w:top w:val="nil"/>
              <w:left w:val="nil"/>
              <w:bottom w:val="nil"/>
              <w:right w:val="nil"/>
            </w:tcBorders>
            <w:shd w:val="clear" w:color="auto" w:fill="auto"/>
            <w:noWrap/>
            <w:vAlign w:val="bottom"/>
            <w:hideMark/>
          </w:tcPr>
          <w:p w14:paraId="34604510" w14:textId="77777777" w:rsidR="006F59FB" w:rsidRPr="006F59FB" w:rsidRDefault="006F59FB" w:rsidP="006F59FB">
            <w:r w:rsidRPr="006F59FB">
              <w:t>598.7</w:t>
            </w:r>
          </w:p>
        </w:tc>
      </w:tr>
      <w:tr w:rsidR="006F59FB" w:rsidRPr="006F59FB" w14:paraId="6F0C533F" w14:textId="77777777" w:rsidTr="007D686E">
        <w:trPr>
          <w:trHeight w:hRule="exact" w:val="261"/>
        </w:trPr>
        <w:tc>
          <w:tcPr>
            <w:tcW w:w="960" w:type="dxa"/>
            <w:tcBorders>
              <w:top w:val="nil"/>
              <w:left w:val="nil"/>
              <w:bottom w:val="nil"/>
              <w:right w:val="nil"/>
            </w:tcBorders>
            <w:shd w:val="clear" w:color="auto" w:fill="auto"/>
            <w:noWrap/>
            <w:vAlign w:val="bottom"/>
            <w:hideMark/>
          </w:tcPr>
          <w:p w14:paraId="5E99DEF8" w14:textId="77777777" w:rsidR="006F59FB" w:rsidRPr="006F59FB" w:rsidRDefault="006F59FB" w:rsidP="006F59FB">
            <w:r w:rsidRPr="006F59FB">
              <w:t>3</w:t>
            </w:r>
          </w:p>
        </w:tc>
        <w:tc>
          <w:tcPr>
            <w:tcW w:w="1540" w:type="dxa"/>
            <w:tcBorders>
              <w:top w:val="nil"/>
              <w:left w:val="nil"/>
              <w:bottom w:val="nil"/>
              <w:right w:val="nil"/>
            </w:tcBorders>
            <w:shd w:val="clear" w:color="auto" w:fill="auto"/>
            <w:noWrap/>
            <w:vAlign w:val="bottom"/>
            <w:hideMark/>
          </w:tcPr>
          <w:p w14:paraId="500BC834" w14:textId="77777777" w:rsidR="006F59FB" w:rsidRPr="006F59FB" w:rsidRDefault="006F59FB" w:rsidP="006F59FB">
            <w:r w:rsidRPr="006F59FB">
              <w:t>598.7</w:t>
            </w:r>
          </w:p>
        </w:tc>
      </w:tr>
      <w:tr w:rsidR="006F59FB" w:rsidRPr="006F59FB" w14:paraId="3E6FF4C4" w14:textId="77777777" w:rsidTr="007D686E">
        <w:trPr>
          <w:trHeight w:hRule="exact" w:val="303"/>
        </w:trPr>
        <w:tc>
          <w:tcPr>
            <w:tcW w:w="960" w:type="dxa"/>
            <w:tcBorders>
              <w:top w:val="nil"/>
              <w:left w:val="nil"/>
              <w:bottom w:val="nil"/>
              <w:right w:val="nil"/>
            </w:tcBorders>
            <w:shd w:val="clear" w:color="auto" w:fill="auto"/>
            <w:noWrap/>
            <w:vAlign w:val="bottom"/>
            <w:hideMark/>
          </w:tcPr>
          <w:p w14:paraId="46E2885B" w14:textId="77777777" w:rsidR="006F59FB" w:rsidRPr="006F59FB" w:rsidRDefault="006F59FB" w:rsidP="006F59FB">
            <w:r w:rsidRPr="006F59FB">
              <w:t>4</w:t>
            </w:r>
          </w:p>
        </w:tc>
        <w:tc>
          <w:tcPr>
            <w:tcW w:w="1540" w:type="dxa"/>
            <w:tcBorders>
              <w:top w:val="nil"/>
              <w:left w:val="nil"/>
              <w:bottom w:val="nil"/>
              <w:right w:val="nil"/>
            </w:tcBorders>
            <w:shd w:val="clear" w:color="auto" w:fill="auto"/>
            <w:noWrap/>
            <w:vAlign w:val="bottom"/>
            <w:hideMark/>
          </w:tcPr>
          <w:p w14:paraId="7B95D742" w14:textId="77777777" w:rsidR="006F59FB" w:rsidRPr="006F59FB" w:rsidRDefault="006F59FB" w:rsidP="006F59FB">
            <w:r w:rsidRPr="006F59FB">
              <w:t>23.9</w:t>
            </w:r>
          </w:p>
        </w:tc>
      </w:tr>
      <w:tr w:rsidR="006F59FB" w:rsidRPr="006F59FB" w14:paraId="3E339B51" w14:textId="77777777" w:rsidTr="007D686E">
        <w:trPr>
          <w:trHeight w:hRule="exact" w:val="265"/>
        </w:trPr>
        <w:tc>
          <w:tcPr>
            <w:tcW w:w="960" w:type="dxa"/>
            <w:tcBorders>
              <w:top w:val="nil"/>
              <w:left w:val="nil"/>
              <w:bottom w:val="nil"/>
              <w:right w:val="nil"/>
            </w:tcBorders>
            <w:shd w:val="clear" w:color="auto" w:fill="auto"/>
            <w:noWrap/>
            <w:vAlign w:val="bottom"/>
            <w:hideMark/>
          </w:tcPr>
          <w:p w14:paraId="680DCB5B" w14:textId="77777777" w:rsidR="006F59FB" w:rsidRPr="006F59FB" w:rsidRDefault="006F59FB" w:rsidP="006F59FB">
            <w:r w:rsidRPr="006F59FB">
              <w:t>5</w:t>
            </w:r>
          </w:p>
        </w:tc>
        <w:tc>
          <w:tcPr>
            <w:tcW w:w="1540" w:type="dxa"/>
            <w:tcBorders>
              <w:top w:val="nil"/>
              <w:left w:val="nil"/>
              <w:bottom w:val="nil"/>
              <w:right w:val="nil"/>
            </w:tcBorders>
            <w:shd w:val="clear" w:color="auto" w:fill="auto"/>
            <w:noWrap/>
            <w:vAlign w:val="bottom"/>
            <w:hideMark/>
          </w:tcPr>
          <w:p w14:paraId="743F5F30" w14:textId="77777777" w:rsidR="006F59FB" w:rsidRPr="006F59FB" w:rsidRDefault="006F59FB" w:rsidP="006F59FB">
            <w:r w:rsidRPr="006F59FB">
              <w:t>17.9</w:t>
            </w:r>
          </w:p>
        </w:tc>
      </w:tr>
      <w:tr w:rsidR="006F59FB" w:rsidRPr="006F59FB" w14:paraId="19006829" w14:textId="77777777" w:rsidTr="007D686E">
        <w:trPr>
          <w:trHeight w:hRule="exact" w:val="297"/>
        </w:trPr>
        <w:tc>
          <w:tcPr>
            <w:tcW w:w="960" w:type="dxa"/>
            <w:tcBorders>
              <w:top w:val="nil"/>
              <w:left w:val="nil"/>
              <w:bottom w:val="nil"/>
              <w:right w:val="nil"/>
            </w:tcBorders>
            <w:shd w:val="clear" w:color="auto" w:fill="auto"/>
            <w:noWrap/>
            <w:vAlign w:val="bottom"/>
            <w:hideMark/>
          </w:tcPr>
          <w:p w14:paraId="5CDA3509" w14:textId="77777777" w:rsidR="006F59FB" w:rsidRPr="006F59FB" w:rsidRDefault="006F59FB" w:rsidP="006F59FB">
            <w:r w:rsidRPr="006F59FB">
              <w:t>6</w:t>
            </w:r>
          </w:p>
        </w:tc>
        <w:tc>
          <w:tcPr>
            <w:tcW w:w="1540" w:type="dxa"/>
            <w:tcBorders>
              <w:top w:val="nil"/>
              <w:left w:val="nil"/>
              <w:bottom w:val="nil"/>
              <w:right w:val="nil"/>
            </w:tcBorders>
            <w:shd w:val="clear" w:color="auto" w:fill="auto"/>
            <w:noWrap/>
            <w:vAlign w:val="bottom"/>
            <w:hideMark/>
          </w:tcPr>
          <w:p w14:paraId="3A318677" w14:textId="77777777" w:rsidR="006F59FB" w:rsidRPr="006F59FB" w:rsidRDefault="006F59FB" w:rsidP="006F59FB">
            <w:r w:rsidRPr="006F59FB">
              <w:t>55.96988998</w:t>
            </w:r>
          </w:p>
        </w:tc>
      </w:tr>
      <w:tr w:rsidR="006F59FB" w:rsidRPr="006F59FB" w14:paraId="11D97AF7" w14:textId="77777777" w:rsidTr="007D686E">
        <w:trPr>
          <w:trHeight w:hRule="exact" w:val="273"/>
        </w:trPr>
        <w:tc>
          <w:tcPr>
            <w:tcW w:w="960" w:type="dxa"/>
            <w:tcBorders>
              <w:top w:val="nil"/>
              <w:left w:val="nil"/>
              <w:bottom w:val="nil"/>
              <w:right w:val="nil"/>
            </w:tcBorders>
            <w:shd w:val="clear" w:color="auto" w:fill="auto"/>
            <w:noWrap/>
            <w:vAlign w:val="bottom"/>
            <w:hideMark/>
          </w:tcPr>
          <w:p w14:paraId="3FA8BA12" w14:textId="77777777" w:rsidR="006F59FB" w:rsidRPr="006F59FB" w:rsidRDefault="006F59FB" w:rsidP="006F59FB">
            <w:r w:rsidRPr="006F59FB">
              <w:t>7</w:t>
            </w:r>
          </w:p>
        </w:tc>
        <w:tc>
          <w:tcPr>
            <w:tcW w:w="1540" w:type="dxa"/>
            <w:tcBorders>
              <w:top w:val="nil"/>
              <w:left w:val="nil"/>
              <w:bottom w:val="nil"/>
              <w:right w:val="nil"/>
            </w:tcBorders>
            <w:shd w:val="clear" w:color="auto" w:fill="auto"/>
            <w:noWrap/>
            <w:vAlign w:val="bottom"/>
            <w:hideMark/>
          </w:tcPr>
          <w:p w14:paraId="46F721D3" w14:textId="77777777" w:rsidR="006F59FB" w:rsidRPr="006F59FB" w:rsidRDefault="006F59FB" w:rsidP="006F59FB">
            <w:r w:rsidRPr="006F59FB">
              <w:t>73.86988998</w:t>
            </w:r>
          </w:p>
        </w:tc>
      </w:tr>
      <w:tr w:rsidR="006F59FB" w:rsidRPr="006F59FB" w14:paraId="42D3D5DD" w14:textId="77777777" w:rsidTr="007D686E">
        <w:trPr>
          <w:trHeight w:hRule="exact" w:val="291"/>
        </w:trPr>
        <w:tc>
          <w:tcPr>
            <w:tcW w:w="960" w:type="dxa"/>
            <w:tcBorders>
              <w:top w:val="nil"/>
              <w:left w:val="nil"/>
              <w:bottom w:val="nil"/>
              <w:right w:val="nil"/>
            </w:tcBorders>
            <w:shd w:val="clear" w:color="auto" w:fill="auto"/>
            <w:noWrap/>
            <w:vAlign w:val="bottom"/>
            <w:hideMark/>
          </w:tcPr>
          <w:p w14:paraId="5F4F0B01" w14:textId="77777777" w:rsidR="006F59FB" w:rsidRPr="006F59FB" w:rsidRDefault="006F59FB" w:rsidP="006F59FB">
            <w:r w:rsidRPr="006F59FB">
              <w:t>8</w:t>
            </w:r>
          </w:p>
        </w:tc>
        <w:tc>
          <w:tcPr>
            <w:tcW w:w="1540" w:type="dxa"/>
            <w:tcBorders>
              <w:top w:val="nil"/>
              <w:left w:val="nil"/>
              <w:bottom w:val="nil"/>
              <w:right w:val="nil"/>
            </w:tcBorders>
            <w:shd w:val="clear" w:color="auto" w:fill="auto"/>
            <w:noWrap/>
            <w:vAlign w:val="bottom"/>
            <w:hideMark/>
          </w:tcPr>
          <w:p w14:paraId="766604D2" w14:textId="77777777" w:rsidR="006F59FB" w:rsidRPr="006F59FB" w:rsidRDefault="006F59FB" w:rsidP="006F59FB">
            <w:r w:rsidRPr="006F59FB">
              <w:t>417.86989</w:t>
            </w:r>
          </w:p>
        </w:tc>
      </w:tr>
      <w:tr w:rsidR="006F59FB" w:rsidRPr="006F59FB" w14:paraId="132D16B8" w14:textId="77777777" w:rsidTr="007D686E">
        <w:trPr>
          <w:trHeight w:hRule="exact" w:val="281"/>
        </w:trPr>
        <w:tc>
          <w:tcPr>
            <w:tcW w:w="960" w:type="dxa"/>
            <w:tcBorders>
              <w:top w:val="nil"/>
              <w:left w:val="nil"/>
              <w:bottom w:val="nil"/>
              <w:right w:val="nil"/>
            </w:tcBorders>
            <w:shd w:val="clear" w:color="auto" w:fill="auto"/>
            <w:noWrap/>
            <w:vAlign w:val="bottom"/>
            <w:hideMark/>
          </w:tcPr>
          <w:p w14:paraId="53C05693" w14:textId="77777777" w:rsidR="006F59FB" w:rsidRPr="006F59FB" w:rsidRDefault="006F59FB" w:rsidP="006F59FB">
            <w:r w:rsidRPr="006F59FB">
              <w:t>9</w:t>
            </w:r>
          </w:p>
        </w:tc>
        <w:tc>
          <w:tcPr>
            <w:tcW w:w="1540" w:type="dxa"/>
            <w:tcBorders>
              <w:top w:val="nil"/>
              <w:left w:val="nil"/>
              <w:bottom w:val="nil"/>
              <w:right w:val="nil"/>
            </w:tcBorders>
            <w:shd w:val="clear" w:color="auto" w:fill="auto"/>
            <w:noWrap/>
            <w:vAlign w:val="bottom"/>
            <w:hideMark/>
          </w:tcPr>
          <w:p w14:paraId="14C636B2" w14:textId="77777777" w:rsidR="006F59FB" w:rsidRPr="006F59FB" w:rsidRDefault="006F59FB" w:rsidP="006F59FB">
            <w:r w:rsidRPr="006F59FB">
              <w:t>344</w:t>
            </w:r>
          </w:p>
        </w:tc>
      </w:tr>
      <w:tr w:rsidR="006F59FB" w:rsidRPr="006F59FB" w14:paraId="3E0D14D0" w14:textId="77777777" w:rsidTr="007D686E">
        <w:trPr>
          <w:trHeight w:hRule="exact" w:val="285"/>
        </w:trPr>
        <w:tc>
          <w:tcPr>
            <w:tcW w:w="960" w:type="dxa"/>
            <w:tcBorders>
              <w:top w:val="nil"/>
              <w:left w:val="nil"/>
              <w:bottom w:val="nil"/>
              <w:right w:val="nil"/>
            </w:tcBorders>
            <w:shd w:val="clear" w:color="auto" w:fill="auto"/>
            <w:noWrap/>
            <w:vAlign w:val="bottom"/>
            <w:hideMark/>
          </w:tcPr>
          <w:p w14:paraId="43CD5255" w14:textId="77777777" w:rsidR="006F59FB" w:rsidRPr="006F59FB" w:rsidRDefault="006F59FB" w:rsidP="006F59FB">
            <w:r w:rsidRPr="006F59FB">
              <w:t>10</w:t>
            </w:r>
          </w:p>
        </w:tc>
        <w:tc>
          <w:tcPr>
            <w:tcW w:w="1540" w:type="dxa"/>
            <w:tcBorders>
              <w:top w:val="nil"/>
              <w:left w:val="nil"/>
              <w:bottom w:val="nil"/>
              <w:right w:val="nil"/>
            </w:tcBorders>
            <w:shd w:val="clear" w:color="auto" w:fill="auto"/>
            <w:noWrap/>
            <w:vAlign w:val="bottom"/>
            <w:hideMark/>
          </w:tcPr>
          <w:p w14:paraId="36DC5747" w14:textId="77777777" w:rsidR="006F59FB" w:rsidRPr="006F59FB" w:rsidRDefault="006F59FB" w:rsidP="006F59FB">
            <w:r w:rsidRPr="006F59FB">
              <w:t>344</w:t>
            </w:r>
          </w:p>
        </w:tc>
      </w:tr>
      <w:tr w:rsidR="006F59FB" w:rsidRPr="006F59FB" w14:paraId="04FF4C6D" w14:textId="77777777" w:rsidTr="007D686E">
        <w:trPr>
          <w:trHeight w:hRule="exact" w:val="289"/>
        </w:trPr>
        <w:tc>
          <w:tcPr>
            <w:tcW w:w="960" w:type="dxa"/>
            <w:tcBorders>
              <w:top w:val="nil"/>
              <w:left w:val="nil"/>
              <w:bottom w:val="nil"/>
              <w:right w:val="nil"/>
            </w:tcBorders>
            <w:shd w:val="clear" w:color="auto" w:fill="auto"/>
            <w:noWrap/>
            <w:vAlign w:val="bottom"/>
            <w:hideMark/>
          </w:tcPr>
          <w:p w14:paraId="16E4371F" w14:textId="77777777" w:rsidR="006F59FB" w:rsidRPr="006F59FB" w:rsidRDefault="006F59FB" w:rsidP="006F59FB">
            <w:r w:rsidRPr="006F59FB">
              <w:t>11</w:t>
            </w:r>
          </w:p>
        </w:tc>
        <w:tc>
          <w:tcPr>
            <w:tcW w:w="1540" w:type="dxa"/>
            <w:tcBorders>
              <w:top w:val="nil"/>
              <w:left w:val="nil"/>
              <w:bottom w:val="nil"/>
              <w:right w:val="nil"/>
            </w:tcBorders>
            <w:shd w:val="clear" w:color="auto" w:fill="auto"/>
            <w:noWrap/>
            <w:vAlign w:val="bottom"/>
            <w:hideMark/>
          </w:tcPr>
          <w:p w14:paraId="4C2365A5" w14:textId="77777777" w:rsidR="006F59FB" w:rsidRPr="006F59FB" w:rsidRDefault="006F59FB" w:rsidP="006F59FB">
            <w:r w:rsidRPr="006F59FB">
              <w:t>417.86989</w:t>
            </w:r>
          </w:p>
        </w:tc>
      </w:tr>
      <w:tr w:rsidR="006F59FB" w:rsidRPr="006F59FB" w14:paraId="3E25C830" w14:textId="77777777" w:rsidTr="007D686E">
        <w:trPr>
          <w:trHeight w:hRule="exact" w:val="265"/>
        </w:trPr>
        <w:tc>
          <w:tcPr>
            <w:tcW w:w="960" w:type="dxa"/>
            <w:tcBorders>
              <w:top w:val="nil"/>
              <w:left w:val="nil"/>
              <w:bottom w:val="nil"/>
              <w:right w:val="nil"/>
            </w:tcBorders>
            <w:shd w:val="clear" w:color="auto" w:fill="auto"/>
            <w:noWrap/>
            <w:vAlign w:val="bottom"/>
            <w:hideMark/>
          </w:tcPr>
          <w:p w14:paraId="5123B123" w14:textId="77777777" w:rsidR="006F59FB" w:rsidRPr="006F59FB" w:rsidRDefault="006F59FB" w:rsidP="006F59FB">
            <w:r w:rsidRPr="006F59FB">
              <w:t>12</w:t>
            </w:r>
          </w:p>
        </w:tc>
        <w:tc>
          <w:tcPr>
            <w:tcW w:w="1540" w:type="dxa"/>
            <w:tcBorders>
              <w:top w:val="nil"/>
              <w:left w:val="nil"/>
              <w:bottom w:val="nil"/>
              <w:right w:val="nil"/>
            </w:tcBorders>
            <w:shd w:val="clear" w:color="auto" w:fill="auto"/>
            <w:noWrap/>
            <w:vAlign w:val="bottom"/>
            <w:hideMark/>
          </w:tcPr>
          <w:p w14:paraId="614F66C0" w14:textId="77777777" w:rsidR="006F59FB" w:rsidRPr="006F59FB" w:rsidRDefault="006F59FB" w:rsidP="006F59FB">
            <w:r w:rsidRPr="006F59FB">
              <w:t>417.86989</w:t>
            </w:r>
          </w:p>
        </w:tc>
      </w:tr>
      <w:tr w:rsidR="006F59FB" w:rsidRPr="006F59FB" w14:paraId="36CFCF88" w14:textId="77777777" w:rsidTr="007D686E">
        <w:trPr>
          <w:trHeight w:hRule="exact" w:val="297"/>
        </w:trPr>
        <w:tc>
          <w:tcPr>
            <w:tcW w:w="960" w:type="dxa"/>
            <w:tcBorders>
              <w:top w:val="nil"/>
              <w:left w:val="nil"/>
              <w:bottom w:val="nil"/>
              <w:right w:val="nil"/>
            </w:tcBorders>
            <w:shd w:val="clear" w:color="auto" w:fill="auto"/>
            <w:noWrap/>
            <w:vAlign w:val="bottom"/>
            <w:hideMark/>
          </w:tcPr>
          <w:p w14:paraId="4A7DBD9E" w14:textId="77777777" w:rsidR="006F59FB" w:rsidRPr="006F59FB" w:rsidRDefault="006F59FB" w:rsidP="006F59FB">
            <w:r w:rsidRPr="006F59FB">
              <w:t>13</w:t>
            </w:r>
          </w:p>
        </w:tc>
        <w:tc>
          <w:tcPr>
            <w:tcW w:w="1540" w:type="dxa"/>
            <w:tcBorders>
              <w:top w:val="nil"/>
              <w:left w:val="nil"/>
              <w:bottom w:val="nil"/>
              <w:right w:val="nil"/>
            </w:tcBorders>
            <w:shd w:val="clear" w:color="auto" w:fill="auto"/>
            <w:noWrap/>
            <w:vAlign w:val="bottom"/>
            <w:hideMark/>
          </w:tcPr>
          <w:p w14:paraId="54E02A9E" w14:textId="77777777" w:rsidR="006F59FB" w:rsidRPr="006F59FB" w:rsidRDefault="006F59FB" w:rsidP="006F59FB">
            <w:r w:rsidRPr="006F59FB">
              <w:t>254.7</w:t>
            </w:r>
          </w:p>
        </w:tc>
      </w:tr>
      <w:tr w:rsidR="006F59FB" w:rsidRPr="006F59FB" w14:paraId="0BC522D4" w14:textId="77777777" w:rsidTr="007D686E">
        <w:trPr>
          <w:trHeight w:val="450"/>
        </w:trPr>
        <w:tc>
          <w:tcPr>
            <w:tcW w:w="960" w:type="dxa"/>
            <w:tcBorders>
              <w:top w:val="nil"/>
              <w:left w:val="nil"/>
              <w:bottom w:val="nil"/>
              <w:right w:val="nil"/>
            </w:tcBorders>
            <w:shd w:val="clear" w:color="auto" w:fill="auto"/>
            <w:noWrap/>
            <w:vAlign w:val="bottom"/>
            <w:hideMark/>
          </w:tcPr>
          <w:p w14:paraId="5D596FF8" w14:textId="77777777" w:rsidR="006F59FB" w:rsidRPr="006F59FB" w:rsidRDefault="006F59FB" w:rsidP="006F59FB">
            <w:r w:rsidRPr="006F59FB">
              <w:t>14</w:t>
            </w:r>
          </w:p>
        </w:tc>
        <w:tc>
          <w:tcPr>
            <w:tcW w:w="1540" w:type="dxa"/>
            <w:tcBorders>
              <w:top w:val="nil"/>
              <w:left w:val="nil"/>
              <w:bottom w:val="nil"/>
              <w:right w:val="nil"/>
            </w:tcBorders>
            <w:shd w:val="clear" w:color="auto" w:fill="auto"/>
            <w:noWrap/>
            <w:vAlign w:val="bottom"/>
            <w:hideMark/>
          </w:tcPr>
          <w:p w14:paraId="4B295595" w14:textId="77777777" w:rsidR="006F59FB" w:rsidRPr="006F59FB" w:rsidRDefault="006F59FB" w:rsidP="006F59FB">
            <w:r w:rsidRPr="006F59FB">
              <w:t>678.56989</w:t>
            </w:r>
          </w:p>
        </w:tc>
      </w:tr>
      <w:tr w:rsidR="006F59FB" w:rsidRPr="006F59FB" w14:paraId="651F4C2D" w14:textId="77777777" w:rsidTr="007D686E">
        <w:trPr>
          <w:trHeight w:val="450"/>
        </w:trPr>
        <w:tc>
          <w:tcPr>
            <w:tcW w:w="960" w:type="dxa"/>
            <w:tcBorders>
              <w:top w:val="nil"/>
              <w:left w:val="nil"/>
              <w:bottom w:val="nil"/>
              <w:right w:val="nil"/>
            </w:tcBorders>
            <w:shd w:val="clear" w:color="auto" w:fill="auto"/>
            <w:noWrap/>
            <w:vAlign w:val="bottom"/>
            <w:hideMark/>
          </w:tcPr>
          <w:p w14:paraId="24D5CF7F" w14:textId="77777777" w:rsidR="006F59FB" w:rsidRPr="006F59FB" w:rsidRDefault="006F59FB" w:rsidP="006F59FB">
            <w:r w:rsidRPr="006F59FB">
              <w:t>15</w:t>
            </w:r>
          </w:p>
        </w:tc>
        <w:tc>
          <w:tcPr>
            <w:tcW w:w="1540" w:type="dxa"/>
            <w:tcBorders>
              <w:top w:val="nil"/>
              <w:left w:val="nil"/>
              <w:bottom w:val="nil"/>
              <w:right w:val="nil"/>
            </w:tcBorders>
            <w:shd w:val="clear" w:color="auto" w:fill="auto"/>
            <w:noWrap/>
            <w:vAlign w:val="bottom"/>
            <w:hideMark/>
          </w:tcPr>
          <w:p w14:paraId="3986029E" w14:textId="77777777" w:rsidR="006F59FB" w:rsidRPr="006F59FB" w:rsidRDefault="006F59FB" w:rsidP="006F59FB">
            <w:r w:rsidRPr="006F59FB">
              <w:t>678.56989</w:t>
            </w:r>
          </w:p>
        </w:tc>
      </w:tr>
      <w:tr w:rsidR="006F59FB" w:rsidRPr="006F59FB" w14:paraId="3D8DE779" w14:textId="77777777" w:rsidTr="007D686E">
        <w:trPr>
          <w:trHeight w:val="450"/>
        </w:trPr>
        <w:tc>
          <w:tcPr>
            <w:tcW w:w="960" w:type="dxa"/>
            <w:tcBorders>
              <w:top w:val="nil"/>
              <w:left w:val="nil"/>
              <w:bottom w:val="nil"/>
              <w:right w:val="nil"/>
            </w:tcBorders>
            <w:shd w:val="clear" w:color="auto" w:fill="auto"/>
            <w:noWrap/>
            <w:vAlign w:val="bottom"/>
            <w:hideMark/>
          </w:tcPr>
          <w:p w14:paraId="7CBA3FF2" w14:textId="77777777" w:rsidR="006F59FB" w:rsidRPr="006F59FB" w:rsidRDefault="006F59FB" w:rsidP="006F59FB">
            <w:r w:rsidRPr="006F59FB">
              <w:t>16</w:t>
            </w:r>
          </w:p>
        </w:tc>
        <w:tc>
          <w:tcPr>
            <w:tcW w:w="1540" w:type="dxa"/>
            <w:tcBorders>
              <w:top w:val="nil"/>
              <w:left w:val="nil"/>
              <w:bottom w:val="nil"/>
              <w:right w:val="nil"/>
            </w:tcBorders>
            <w:shd w:val="clear" w:color="auto" w:fill="auto"/>
            <w:noWrap/>
            <w:vAlign w:val="bottom"/>
            <w:hideMark/>
          </w:tcPr>
          <w:p w14:paraId="103432CF" w14:textId="77777777" w:rsidR="006F59FB" w:rsidRPr="006F59FB" w:rsidRDefault="006F59FB" w:rsidP="006F59FB">
            <w:r w:rsidRPr="006F59FB">
              <w:t>678.56989</w:t>
            </w:r>
          </w:p>
        </w:tc>
      </w:tr>
      <w:tr w:rsidR="006F59FB" w:rsidRPr="006F59FB" w14:paraId="26B4DDF5" w14:textId="77777777" w:rsidTr="007D686E">
        <w:trPr>
          <w:trHeight w:val="450"/>
        </w:trPr>
        <w:tc>
          <w:tcPr>
            <w:tcW w:w="960" w:type="dxa"/>
            <w:tcBorders>
              <w:top w:val="nil"/>
              <w:left w:val="nil"/>
              <w:bottom w:val="nil"/>
              <w:right w:val="nil"/>
            </w:tcBorders>
            <w:shd w:val="clear" w:color="auto" w:fill="auto"/>
            <w:noWrap/>
            <w:vAlign w:val="bottom"/>
            <w:hideMark/>
          </w:tcPr>
          <w:p w14:paraId="07F5D03F" w14:textId="77777777" w:rsidR="006F59FB" w:rsidRPr="006F59FB" w:rsidRDefault="006F59FB" w:rsidP="006F59FB">
            <w:r w:rsidRPr="006F59FB">
              <w:t>17</w:t>
            </w:r>
          </w:p>
        </w:tc>
        <w:tc>
          <w:tcPr>
            <w:tcW w:w="1540" w:type="dxa"/>
            <w:tcBorders>
              <w:top w:val="nil"/>
              <w:left w:val="nil"/>
              <w:bottom w:val="nil"/>
              <w:right w:val="nil"/>
            </w:tcBorders>
            <w:shd w:val="clear" w:color="auto" w:fill="auto"/>
            <w:noWrap/>
            <w:vAlign w:val="bottom"/>
            <w:hideMark/>
          </w:tcPr>
          <w:p w14:paraId="7C42B8B4" w14:textId="77777777" w:rsidR="006F59FB" w:rsidRPr="006F59FB" w:rsidRDefault="006F59FB" w:rsidP="006F59FB">
            <w:r w:rsidRPr="006F59FB">
              <w:t>132.4402616</w:t>
            </w:r>
          </w:p>
        </w:tc>
      </w:tr>
      <w:tr w:rsidR="006F59FB" w:rsidRPr="006F59FB" w14:paraId="5BEBC506" w14:textId="77777777" w:rsidTr="007D686E">
        <w:trPr>
          <w:trHeight w:val="450"/>
        </w:trPr>
        <w:tc>
          <w:tcPr>
            <w:tcW w:w="960" w:type="dxa"/>
            <w:tcBorders>
              <w:top w:val="nil"/>
              <w:left w:val="nil"/>
              <w:bottom w:val="nil"/>
              <w:right w:val="nil"/>
            </w:tcBorders>
            <w:shd w:val="clear" w:color="auto" w:fill="auto"/>
            <w:noWrap/>
            <w:vAlign w:val="bottom"/>
            <w:hideMark/>
          </w:tcPr>
          <w:p w14:paraId="03B3D08E" w14:textId="77777777" w:rsidR="006F59FB" w:rsidRPr="006F59FB" w:rsidRDefault="006F59FB" w:rsidP="006F59FB">
            <w:r w:rsidRPr="006F59FB">
              <w:t>18</w:t>
            </w:r>
          </w:p>
        </w:tc>
        <w:tc>
          <w:tcPr>
            <w:tcW w:w="1540" w:type="dxa"/>
            <w:tcBorders>
              <w:top w:val="nil"/>
              <w:left w:val="nil"/>
              <w:bottom w:val="nil"/>
              <w:right w:val="nil"/>
            </w:tcBorders>
            <w:shd w:val="clear" w:color="auto" w:fill="auto"/>
            <w:noWrap/>
            <w:vAlign w:val="bottom"/>
            <w:hideMark/>
          </w:tcPr>
          <w:p w14:paraId="2454952E" w14:textId="77777777" w:rsidR="006F59FB" w:rsidRPr="006F59FB" w:rsidRDefault="006F59FB" w:rsidP="006F59FB">
            <w:r w:rsidRPr="006F59FB">
              <w:t>132.4402616</w:t>
            </w:r>
          </w:p>
        </w:tc>
      </w:tr>
      <w:tr w:rsidR="006F59FB" w:rsidRPr="006F59FB" w14:paraId="361ED9A7" w14:textId="77777777" w:rsidTr="007D686E">
        <w:trPr>
          <w:trHeight w:val="450"/>
        </w:trPr>
        <w:tc>
          <w:tcPr>
            <w:tcW w:w="960" w:type="dxa"/>
            <w:tcBorders>
              <w:top w:val="nil"/>
              <w:left w:val="nil"/>
              <w:bottom w:val="nil"/>
              <w:right w:val="nil"/>
            </w:tcBorders>
            <w:shd w:val="clear" w:color="auto" w:fill="auto"/>
            <w:noWrap/>
            <w:vAlign w:val="bottom"/>
            <w:hideMark/>
          </w:tcPr>
          <w:p w14:paraId="7EF263AC" w14:textId="77777777" w:rsidR="006F59FB" w:rsidRPr="006F59FB" w:rsidRDefault="006F59FB" w:rsidP="006F59FB">
            <w:r w:rsidRPr="006F59FB">
              <w:t>19</w:t>
            </w:r>
          </w:p>
        </w:tc>
        <w:tc>
          <w:tcPr>
            <w:tcW w:w="1540" w:type="dxa"/>
            <w:tcBorders>
              <w:top w:val="nil"/>
              <w:left w:val="nil"/>
              <w:bottom w:val="nil"/>
              <w:right w:val="nil"/>
            </w:tcBorders>
            <w:shd w:val="clear" w:color="auto" w:fill="auto"/>
            <w:noWrap/>
            <w:vAlign w:val="bottom"/>
            <w:hideMark/>
          </w:tcPr>
          <w:p w14:paraId="33E6BE4A" w14:textId="77777777" w:rsidR="006F59FB" w:rsidRPr="006F59FB" w:rsidRDefault="006F59FB" w:rsidP="006F59FB">
            <w:r w:rsidRPr="006F59FB">
              <w:t>132.4402616</w:t>
            </w:r>
          </w:p>
        </w:tc>
      </w:tr>
      <w:tr w:rsidR="006F59FB" w:rsidRPr="006F59FB" w14:paraId="1C5A068B" w14:textId="77777777" w:rsidTr="007D686E">
        <w:trPr>
          <w:trHeight w:val="450"/>
        </w:trPr>
        <w:tc>
          <w:tcPr>
            <w:tcW w:w="960" w:type="dxa"/>
            <w:tcBorders>
              <w:top w:val="nil"/>
              <w:left w:val="nil"/>
              <w:bottom w:val="nil"/>
              <w:right w:val="nil"/>
            </w:tcBorders>
            <w:shd w:val="clear" w:color="auto" w:fill="auto"/>
            <w:noWrap/>
            <w:vAlign w:val="bottom"/>
            <w:hideMark/>
          </w:tcPr>
          <w:p w14:paraId="58909B0E" w14:textId="77777777" w:rsidR="006F59FB" w:rsidRPr="006F59FB" w:rsidRDefault="006F59FB" w:rsidP="006F59FB">
            <w:r w:rsidRPr="006F59FB">
              <w:t>20</w:t>
            </w:r>
          </w:p>
        </w:tc>
        <w:tc>
          <w:tcPr>
            <w:tcW w:w="1540" w:type="dxa"/>
            <w:tcBorders>
              <w:top w:val="nil"/>
              <w:left w:val="nil"/>
              <w:bottom w:val="nil"/>
              <w:right w:val="nil"/>
            </w:tcBorders>
            <w:shd w:val="clear" w:color="auto" w:fill="auto"/>
            <w:noWrap/>
            <w:vAlign w:val="bottom"/>
            <w:hideMark/>
          </w:tcPr>
          <w:p w14:paraId="3E995B8D" w14:textId="77777777" w:rsidR="006F59FB" w:rsidRPr="006F59FB" w:rsidRDefault="006F59FB" w:rsidP="006F59FB">
            <w:r w:rsidRPr="006F59FB">
              <w:t>76.47037159</w:t>
            </w:r>
          </w:p>
        </w:tc>
      </w:tr>
      <w:tr w:rsidR="006F59FB" w:rsidRPr="006F59FB" w14:paraId="2BF93462" w14:textId="77777777" w:rsidTr="007D686E">
        <w:trPr>
          <w:trHeight w:val="450"/>
        </w:trPr>
        <w:tc>
          <w:tcPr>
            <w:tcW w:w="960" w:type="dxa"/>
            <w:tcBorders>
              <w:top w:val="nil"/>
              <w:left w:val="nil"/>
              <w:bottom w:val="nil"/>
              <w:right w:val="nil"/>
            </w:tcBorders>
            <w:shd w:val="clear" w:color="auto" w:fill="auto"/>
            <w:noWrap/>
            <w:vAlign w:val="bottom"/>
            <w:hideMark/>
          </w:tcPr>
          <w:p w14:paraId="44B9BF90" w14:textId="77777777" w:rsidR="006F59FB" w:rsidRPr="006F59FB" w:rsidRDefault="006F59FB" w:rsidP="006F59FB">
            <w:r w:rsidRPr="006F59FB">
              <w:t>21</w:t>
            </w:r>
          </w:p>
        </w:tc>
        <w:tc>
          <w:tcPr>
            <w:tcW w:w="1540" w:type="dxa"/>
            <w:tcBorders>
              <w:top w:val="nil"/>
              <w:left w:val="nil"/>
              <w:bottom w:val="nil"/>
              <w:right w:val="nil"/>
            </w:tcBorders>
            <w:shd w:val="clear" w:color="auto" w:fill="auto"/>
            <w:noWrap/>
            <w:vAlign w:val="bottom"/>
            <w:hideMark/>
          </w:tcPr>
          <w:p w14:paraId="24F6D294" w14:textId="77777777" w:rsidR="006F59FB" w:rsidRPr="006F59FB" w:rsidRDefault="006F59FB" w:rsidP="006F59FB">
            <w:r w:rsidRPr="006F59FB">
              <w:t>76.47037159</w:t>
            </w:r>
          </w:p>
        </w:tc>
      </w:tr>
      <w:tr w:rsidR="006F59FB" w:rsidRPr="006F59FB" w14:paraId="7A4BBC8C" w14:textId="77777777" w:rsidTr="007D686E">
        <w:trPr>
          <w:trHeight w:val="450"/>
        </w:trPr>
        <w:tc>
          <w:tcPr>
            <w:tcW w:w="960" w:type="dxa"/>
            <w:tcBorders>
              <w:top w:val="nil"/>
              <w:left w:val="nil"/>
              <w:bottom w:val="nil"/>
              <w:right w:val="nil"/>
            </w:tcBorders>
            <w:shd w:val="clear" w:color="auto" w:fill="auto"/>
            <w:noWrap/>
            <w:vAlign w:val="bottom"/>
            <w:hideMark/>
          </w:tcPr>
          <w:p w14:paraId="125B6B6C" w14:textId="77777777" w:rsidR="006F59FB" w:rsidRPr="006F59FB" w:rsidRDefault="006F59FB" w:rsidP="006F59FB">
            <w:r w:rsidRPr="006F59FB">
              <w:t>22</w:t>
            </w:r>
          </w:p>
        </w:tc>
        <w:tc>
          <w:tcPr>
            <w:tcW w:w="1540" w:type="dxa"/>
            <w:tcBorders>
              <w:top w:val="nil"/>
              <w:left w:val="nil"/>
              <w:bottom w:val="nil"/>
              <w:right w:val="nil"/>
            </w:tcBorders>
            <w:shd w:val="clear" w:color="auto" w:fill="auto"/>
            <w:noWrap/>
            <w:vAlign w:val="bottom"/>
            <w:hideMark/>
          </w:tcPr>
          <w:p w14:paraId="5834BD37" w14:textId="77777777" w:rsidR="006F59FB" w:rsidRPr="006F59FB" w:rsidRDefault="006F59FB" w:rsidP="006F59FB">
            <w:r w:rsidRPr="006F59FB">
              <w:t>76.47037159</w:t>
            </w:r>
          </w:p>
        </w:tc>
      </w:tr>
      <w:tr w:rsidR="006F59FB" w:rsidRPr="006F59FB" w14:paraId="71671403" w14:textId="77777777" w:rsidTr="007D686E">
        <w:trPr>
          <w:trHeight w:val="450"/>
        </w:trPr>
        <w:tc>
          <w:tcPr>
            <w:tcW w:w="960" w:type="dxa"/>
            <w:tcBorders>
              <w:top w:val="nil"/>
              <w:left w:val="nil"/>
              <w:bottom w:val="nil"/>
              <w:right w:val="nil"/>
            </w:tcBorders>
            <w:shd w:val="clear" w:color="auto" w:fill="auto"/>
            <w:noWrap/>
            <w:vAlign w:val="bottom"/>
            <w:hideMark/>
          </w:tcPr>
          <w:p w14:paraId="468D3155" w14:textId="77777777" w:rsidR="006F59FB" w:rsidRPr="006F59FB" w:rsidRDefault="006F59FB" w:rsidP="006F59FB">
            <w:r w:rsidRPr="006F59FB">
              <w:t>23</w:t>
            </w:r>
          </w:p>
        </w:tc>
        <w:tc>
          <w:tcPr>
            <w:tcW w:w="1540" w:type="dxa"/>
            <w:tcBorders>
              <w:top w:val="nil"/>
              <w:left w:val="nil"/>
              <w:bottom w:val="nil"/>
              <w:right w:val="nil"/>
            </w:tcBorders>
            <w:shd w:val="clear" w:color="auto" w:fill="auto"/>
            <w:noWrap/>
            <w:vAlign w:val="bottom"/>
            <w:hideMark/>
          </w:tcPr>
          <w:p w14:paraId="31AA6811" w14:textId="77777777" w:rsidR="006F59FB" w:rsidRPr="006F59FB" w:rsidRDefault="006F59FB" w:rsidP="006F59FB">
            <w:r w:rsidRPr="006F59FB">
              <w:t>55.96988998</w:t>
            </w:r>
          </w:p>
        </w:tc>
      </w:tr>
      <w:tr w:rsidR="006F59FB" w:rsidRPr="006F59FB" w14:paraId="4E026B30" w14:textId="77777777" w:rsidTr="007D686E">
        <w:trPr>
          <w:trHeight w:val="450"/>
        </w:trPr>
        <w:tc>
          <w:tcPr>
            <w:tcW w:w="960" w:type="dxa"/>
            <w:tcBorders>
              <w:top w:val="nil"/>
              <w:left w:val="nil"/>
              <w:bottom w:val="nil"/>
              <w:right w:val="nil"/>
            </w:tcBorders>
            <w:shd w:val="clear" w:color="auto" w:fill="auto"/>
            <w:noWrap/>
            <w:vAlign w:val="bottom"/>
            <w:hideMark/>
          </w:tcPr>
          <w:p w14:paraId="1A77AE01" w14:textId="77777777" w:rsidR="006F59FB" w:rsidRPr="006F59FB" w:rsidRDefault="006F59FB" w:rsidP="006F59FB">
            <w:r w:rsidRPr="006F59FB">
              <w:t>24</w:t>
            </w:r>
          </w:p>
        </w:tc>
        <w:tc>
          <w:tcPr>
            <w:tcW w:w="1540" w:type="dxa"/>
            <w:tcBorders>
              <w:top w:val="nil"/>
              <w:left w:val="nil"/>
              <w:bottom w:val="nil"/>
              <w:right w:val="nil"/>
            </w:tcBorders>
            <w:shd w:val="clear" w:color="auto" w:fill="auto"/>
            <w:noWrap/>
            <w:vAlign w:val="bottom"/>
            <w:hideMark/>
          </w:tcPr>
          <w:p w14:paraId="7C5B1A07" w14:textId="77777777" w:rsidR="006F59FB" w:rsidRPr="006F59FB" w:rsidRDefault="006F59FB" w:rsidP="006F59FB">
            <w:r w:rsidRPr="006F59FB">
              <w:t>132.4402616</w:t>
            </w:r>
          </w:p>
        </w:tc>
      </w:tr>
      <w:tr w:rsidR="006F59FB" w:rsidRPr="006F59FB" w14:paraId="3A6AFC31" w14:textId="77777777" w:rsidTr="007D686E">
        <w:trPr>
          <w:trHeight w:val="450"/>
        </w:trPr>
        <w:tc>
          <w:tcPr>
            <w:tcW w:w="960" w:type="dxa"/>
            <w:tcBorders>
              <w:top w:val="nil"/>
              <w:left w:val="nil"/>
              <w:bottom w:val="nil"/>
              <w:right w:val="nil"/>
            </w:tcBorders>
            <w:shd w:val="clear" w:color="auto" w:fill="auto"/>
            <w:noWrap/>
            <w:vAlign w:val="bottom"/>
            <w:hideMark/>
          </w:tcPr>
          <w:p w14:paraId="4DD6F8F6" w14:textId="77777777" w:rsidR="006F59FB" w:rsidRPr="006F59FB" w:rsidRDefault="006F59FB" w:rsidP="006F59FB">
            <w:r w:rsidRPr="006F59FB">
              <w:t>25</w:t>
            </w:r>
          </w:p>
        </w:tc>
        <w:tc>
          <w:tcPr>
            <w:tcW w:w="1540" w:type="dxa"/>
            <w:tcBorders>
              <w:top w:val="nil"/>
              <w:left w:val="nil"/>
              <w:bottom w:val="nil"/>
              <w:right w:val="nil"/>
            </w:tcBorders>
            <w:shd w:val="clear" w:color="auto" w:fill="auto"/>
            <w:noWrap/>
            <w:vAlign w:val="bottom"/>
            <w:hideMark/>
          </w:tcPr>
          <w:p w14:paraId="4B19DE1E" w14:textId="77777777" w:rsidR="006F59FB" w:rsidRPr="006F59FB" w:rsidRDefault="006F59FB" w:rsidP="006F59FB">
            <w:r w:rsidRPr="006F59FB">
              <w:t>6</w:t>
            </w:r>
          </w:p>
        </w:tc>
      </w:tr>
    </w:tbl>
    <w:p w14:paraId="24A56338" w14:textId="77777777" w:rsidR="00DB4CA4" w:rsidRDefault="00DB4CA4" w:rsidP="00DB4CA4">
      <w:pPr>
        <w:sectPr w:rsidR="00DB4CA4" w:rsidSect="00DB4CA4">
          <w:type w:val="continuous"/>
          <w:pgSz w:w="12240" w:h="15840"/>
          <w:pgMar w:top="1440" w:right="1440" w:bottom="1440" w:left="1440" w:header="708" w:footer="708" w:gutter="0"/>
          <w:cols w:num="2" w:space="708"/>
          <w:docGrid w:linePitch="360"/>
        </w:sectPr>
      </w:pPr>
    </w:p>
    <w:p w14:paraId="3C852F04" w14:textId="5C3627E5" w:rsidR="00DB4CA4" w:rsidRPr="00DB4CA4" w:rsidRDefault="00DB4CA4" w:rsidP="00DB4CA4"/>
    <w:sdt>
      <w:sdtPr>
        <w:rPr>
          <w:rFonts w:asciiTheme="minorHAnsi" w:eastAsiaTheme="minorEastAsia" w:hAnsiTheme="minorHAnsi" w:cstheme="minorBidi"/>
          <w:color w:val="auto"/>
          <w:sz w:val="22"/>
          <w:szCs w:val="22"/>
        </w:rPr>
        <w:id w:val="-1026162431"/>
        <w:docPartObj>
          <w:docPartGallery w:val="Bibliographies"/>
          <w:docPartUnique/>
        </w:docPartObj>
      </w:sdtPr>
      <w:sdtEndPr/>
      <w:sdtContent>
        <w:p w14:paraId="2A01575A" w14:textId="57B95145" w:rsidR="004D69D0" w:rsidRDefault="004D69D0">
          <w:pPr>
            <w:pStyle w:val="Heading1"/>
          </w:pPr>
          <w:r>
            <w:t>Bibliography</w:t>
          </w:r>
        </w:p>
        <w:sdt>
          <w:sdtPr>
            <w:id w:val="111145805"/>
            <w:bibliography/>
          </w:sdtPr>
          <w:sdtEndPr/>
          <w:sdtContent>
            <w:p w14:paraId="62C8100B" w14:textId="77777777" w:rsidR="006F59FB" w:rsidRDefault="004D69D0" w:rsidP="006F59FB">
              <w:pPr>
                <w:pStyle w:val="Bibliography"/>
                <w:rPr>
                  <w:noProof/>
                  <w:sz w:val="24"/>
                  <w:szCs w:val="24"/>
                </w:rPr>
              </w:pPr>
              <w:r>
                <w:fldChar w:fldCharType="begin"/>
              </w:r>
              <w:r>
                <w:instrText xml:space="preserve"> BIBLIOGRAPHY </w:instrText>
              </w:r>
              <w:r>
                <w:fldChar w:fldCharType="separate"/>
              </w:r>
              <w:r w:rsidR="006F59FB">
                <w:rPr>
                  <w:noProof/>
                </w:rPr>
                <w:t xml:space="preserve">Dixon, H., 2010. Fluid Mechanics and Thermodynamics of Turbomachinery (6th Edition). In: </w:t>
              </w:r>
              <w:r w:rsidR="006F59FB">
                <w:rPr>
                  <w:i/>
                  <w:iCs/>
                  <w:noProof/>
                </w:rPr>
                <w:t xml:space="preserve">Fluid Mechanics and Thermodynamics of Turbomachinery (6th Edition). </w:t>
              </w:r>
              <w:r w:rsidR="006F59FB">
                <w:rPr>
                  <w:noProof/>
                </w:rPr>
                <w:t>s.l.:Knovel.</w:t>
              </w:r>
            </w:p>
            <w:p w14:paraId="301C5D40" w14:textId="77777777" w:rsidR="006F59FB" w:rsidRDefault="006F59FB" w:rsidP="006F59FB">
              <w:pPr>
                <w:pStyle w:val="Bibliography"/>
                <w:rPr>
                  <w:noProof/>
                </w:rPr>
              </w:pPr>
              <w:r>
                <w:rPr>
                  <w:noProof/>
                </w:rPr>
                <w:t xml:space="preserve">J. A. de Gouw, D. D. P. G. M. T., 2014. Reduced emissions of CO2, NOx and SO2 from US power plants owing to switching from coal to natural gas with combined cycle technology. </w:t>
              </w:r>
              <w:r>
                <w:rPr>
                  <w:i/>
                  <w:iCs/>
                  <w:noProof/>
                </w:rPr>
                <w:t xml:space="preserve">Earth's Future, </w:t>
              </w:r>
              <w:r>
                <w:rPr>
                  <w:noProof/>
                </w:rPr>
                <w:t>2(2), pp. 75-83.</w:t>
              </w:r>
            </w:p>
            <w:p w14:paraId="4B321F44" w14:textId="77777777" w:rsidR="006F59FB" w:rsidRDefault="006F59FB" w:rsidP="006F59FB">
              <w:pPr>
                <w:pStyle w:val="Bibliography"/>
                <w:rPr>
                  <w:noProof/>
                </w:rPr>
              </w:pPr>
              <w:r>
                <w:rPr>
                  <w:noProof/>
                </w:rPr>
                <w:t xml:space="preserve">Union Gas, 2018. </w:t>
              </w:r>
              <w:r>
                <w:rPr>
                  <w:i/>
                  <w:iCs/>
                  <w:noProof/>
                </w:rPr>
                <w:t xml:space="preserve">Chemical Composition of Natural Gas - Union Gas. </w:t>
              </w:r>
              <w:r>
                <w:rPr>
                  <w:noProof/>
                </w:rPr>
                <w:t xml:space="preserve">[Online] </w:t>
              </w:r>
              <w:r>
                <w:rPr>
                  <w:noProof/>
                </w:rPr>
                <w:br/>
                <w:t xml:space="preserve">Available at: </w:t>
              </w:r>
              <w:r>
                <w:rPr>
                  <w:noProof/>
                  <w:u w:val="single"/>
                </w:rPr>
                <w:t>https://www.uniongas.com/about-us/about-natural-gas/Chemical-Composition-of-Natural-Gas</w:t>
              </w:r>
              <w:r>
                <w:rPr>
                  <w:noProof/>
                </w:rPr>
                <w:br/>
                <w:t>[Accessed 26 01 2018].</w:t>
              </w:r>
            </w:p>
            <w:p w14:paraId="5CE64453" w14:textId="77777777" w:rsidR="006F59FB" w:rsidRDefault="006F59FB" w:rsidP="006F59FB">
              <w:pPr>
                <w:pStyle w:val="Bibliography"/>
                <w:rPr>
                  <w:noProof/>
                </w:rPr>
              </w:pPr>
              <w:r>
                <w:rPr>
                  <w:noProof/>
                </w:rPr>
                <w:t xml:space="preserve">University Corporation of Atmospheric research, 2018. </w:t>
              </w:r>
              <w:r>
                <w:rPr>
                  <w:i/>
                  <w:iCs/>
                  <w:noProof/>
                </w:rPr>
                <w:t xml:space="preserve">Air Composition. </w:t>
              </w:r>
              <w:r>
                <w:rPr>
                  <w:noProof/>
                </w:rPr>
                <w:t xml:space="preserve">[Online] </w:t>
              </w:r>
              <w:r>
                <w:rPr>
                  <w:noProof/>
                </w:rPr>
                <w:br/>
                <w:t xml:space="preserve">Available at: </w:t>
              </w:r>
              <w:r>
                <w:rPr>
                  <w:noProof/>
                  <w:u w:val="single"/>
                </w:rPr>
                <w:t>https://www.eo.ucar.edu/basics/wx_1_b_1.html</w:t>
              </w:r>
              <w:r>
                <w:rPr>
                  <w:noProof/>
                </w:rPr>
                <w:br/>
                <w:t>[Accessed 26 01 2018].</w:t>
              </w:r>
            </w:p>
            <w:p w14:paraId="07958BEC" w14:textId="37538D81" w:rsidR="004D69D0" w:rsidRPr="004D69D0" w:rsidRDefault="004D69D0" w:rsidP="006F59FB">
              <w:r>
                <w:rPr>
                  <w:b/>
                  <w:bCs/>
                  <w:noProof/>
                </w:rPr>
                <w:lastRenderedPageBreak/>
                <w:fldChar w:fldCharType="end"/>
              </w:r>
            </w:p>
          </w:sdtContent>
        </w:sdt>
      </w:sdtContent>
    </w:sdt>
    <w:sectPr w:rsidR="004D69D0" w:rsidRPr="004D69D0" w:rsidSect="00137D0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8F88" w14:textId="77777777" w:rsidR="009C4A30" w:rsidRDefault="009C4A30" w:rsidP="00C24885">
      <w:pPr>
        <w:spacing w:after="0" w:line="240" w:lineRule="auto"/>
      </w:pPr>
      <w:r>
        <w:separator/>
      </w:r>
    </w:p>
  </w:endnote>
  <w:endnote w:type="continuationSeparator" w:id="0">
    <w:p w14:paraId="4CADFED3" w14:textId="77777777" w:rsidR="009C4A30" w:rsidRDefault="009C4A30" w:rsidP="00C2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4AA9" w14:textId="77777777" w:rsidR="009C4A30" w:rsidRDefault="009C4A30" w:rsidP="00C24885">
      <w:pPr>
        <w:spacing w:after="0" w:line="240" w:lineRule="auto"/>
      </w:pPr>
      <w:r>
        <w:separator/>
      </w:r>
    </w:p>
  </w:footnote>
  <w:footnote w:type="continuationSeparator" w:id="0">
    <w:p w14:paraId="1F3DBEE8" w14:textId="77777777" w:rsidR="009C4A30" w:rsidRDefault="009C4A30" w:rsidP="00C24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7AE1" w14:textId="77777777" w:rsidR="00907989" w:rsidRDefault="00907989">
    <w:pPr>
      <w:pStyle w:val="Header"/>
    </w:pPr>
    <w:r>
      <w:t>TDE January Coursework 2018</w:t>
    </w:r>
    <w:r>
      <w:tab/>
    </w:r>
    <w:r>
      <w:tab/>
      <w:t>Alex Larionov CID: 01075623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608F3"/>
    <w:multiLevelType w:val="hybridMultilevel"/>
    <w:tmpl w:val="A5345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85"/>
    <w:rsid w:val="00003747"/>
    <w:rsid w:val="00003FD6"/>
    <w:rsid w:val="00007007"/>
    <w:rsid w:val="00013D57"/>
    <w:rsid w:val="00045ED9"/>
    <w:rsid w:val="00053F80"/>
    <w:rsid w:val="00054B24"/>
    <w:rsid w:val="00062BBF"/>
    <w:rsid w:val="000A6B9C"/>
    <w:rsid w:val="000A7494"/>
    <w:rsid w:val="000A77B0"/>
    <w:rsid w:val="000B245F"/>
    <w:rsid w:val="000C192B"/>
    <w:rsid w:val="000D1544"/>
    <w:rsid w:val="000E48FC"/>
    <w:rsid w:val="00107197"/>
    <w:rsid w:val="00107884"/>
    <w:rsid w:val="00115141"/>
    <w:rsid w:val="00121DAD"/>
    <w:rsid w:val="00125783"/>
    <w:rsid w:val="00134885"/>
    <w:rsid w:val="00137D02"/>
    <w:rsid w:val="00140537"/>
    <w:rsid w:val="0015634E"/>
    <w:rsid w:val="00164E74"/>
    <w:rsid w:val="00165A55"/>
    <w:rsid w:val="00170C9D"/>
    <w:rsid w:val="00171FC2"/>
    <w:rsid w:val="00174978"/>
    <w:rsid w:val="001904AE"/>
    <w:rsid w:val="00194837"/>
    <w:rsid w:val="00195669"/>
    <w:rsid w:val="00196F0E"/>
    <w:rsid w:val="001973DA"/>
    <w:rsid w:val="001B12A5"/>
    <w:rsid w:val="001C6C2F"/>
    <w:rsid w:val="001D2CB7"/>
    <w:rsid w:val="001D5C57"/>
    <w:rsid w:val="001D68ED"/>
    <w:rsid w:val="001E1EE3"/>
    <w:rsid w:val="001E2937"/>
    <w:rsid w:val="001F013F"/>
    <w:rsid w:val="001F2D0A"/>
    <w:rsid w:val="00202BB9"/>
    <w:rsid w:val="00202C99"/>
    <w:rsid w:val="00207888"/>
    <w:rsid w:val="002254E3"/>
    <w:rsid w:val="00230425"/>
    <w:rsid w:val="002337B5"/>
    <w:rsid w:val="00233C7D"/>
    <w:rsid w:val="00235170"/>
    <w:rsid w:val="00242F28"/>
    <w:rsid w:val="0026361D"/>
    <w:rsid w:val="00274284"/>
    <w:rsid w:val="002748F8"/>
    <w:rsid w:val="002A365E"/>
    <w:rsid w:val="002B610B"/>
    <w:rsid w:val="002C3266"/>
    <w:rsid w:val="002D1DFB"/>
    <w:rsid w:val="002E2ACA"/>
    <w:rsid w:val="0030026B"/>
    <w:rsid w:val="00307758"/>
    <w:rsid w:val="00307F36"/>
    <w:rsid w:val="00315C8A"/>
    <w:rsid w:val="003205CB"/>
    <w:rsid w:val="0032089F"/>
    <w:rsid w:val="00322BC4"/>
    <w:rsid w:val="003279B0"/>
    <w:rsid w:val="00330C87"/>
    <w:rsid w:val="0034666C"/>
    <w:rsid w:val="00346EFA"/>
    <w:rsid w:val="00364D7F"/>
    <w:rsid w:val="00395880"/>
    <w:rsid w:val="003A1EE8"/>
    <w:rsid w:val="003A57CB"/>
    <w:rsid w:val="003B06FB"/>
    <w:rsid w:val="003B0FE5"/>
    <w:rsid w:val="003D0437"/>
    <w:rsid w:val="003D7E0C"/>
    <w:rsid w:val="003E1CE9"/>
    <w:rsid w:val="003F5D88"/>
    <w:rsid w:val="004041B2"/>
    <w:rsid w:val="00415F2D"/>
    <w:rsid w:val="00420105"/>
    <w:rsid w:val="00426AB4"/>
    <w:rsid w:val="00426C05"/>
    <w:rsid w:val="00436783"/>
    <w:rsid w:val="0044661D"/>
    <w:rsid w:val="00447780"/>
    <w:rsid w:val="00450F77"/>
    <w:rsid w:val="00453493"/>
    <w:rsid w:val="00453F40"/>
    <w:rsid w:val="00456C35"/>
    <w:rsid w:val="0046028D"/>
    <w:rsid w:val="004812E4"/>
    <w:rsid w:val="004848AA"/>
    <w:rsid w:val="00487C19"/>
    <w:rsid w:val="004A46BB"/>
    <w:rsid w:val="004B4880"/>
    <w:rsid w:val="004C11E5"/>
    <w:rsid w:val="004C571C"/>
    <w:rsid w:val="004C7AC0"/>
    <w:rsid w:val="004D149D"/>
    <w:rsid w:val="004D69D0"/>
    <w:rsid w:val="004E143F"/>
    <w:rsid w:val="00503B61"/>
    <w:rsid w:val="00505855"/>
    <w:rsid w:val="00511709"/>
    <w:rsid w:val="00521772"/>
    <w:rsid w:val="00521C4C"/>
    <w:rsid w:val="0052517F"/>
    <w:rsid w:val="00530C44"/>
    <w:rsid w:val="00531D11"/>
    <w:rsid w:val="00532C0E"/>
    <w:rsid w:val="00537482"/>
    <w:rsid w:val="005435E9"/>
    <w:rsid w:val="005774DB"/>
    <w:rsid w:val="00582CFD"/>
    <w:rsid w:val="0059106A"/>
    <w:rsid w:val="005A0C7A"/>
    <w:rsid w:val="005B2EAE"/>
    <w:rsid w:val="005B6AAA"/>
    <w:rsid w:val="005C167E"/>
    <w:rsid w:val="005C3AF1"/>
    <w:rsid w:val="005D1801"/>
    <w:rsid w:val="005D6451"/>
    <w:rsid w:val="005E776E"/>
    <w:rsid w:val="005F5515"/>
    <w:rsid w:val="005F60BC"/>
    <w:rsid w:val="00601BD0"/>
    <w:rsid w:val="0062423C"/>
    <w:rsid w:val="0063015C"/>
    <w:rsid w:val="006330C5"/>
    <w:rsid w:val="006749E0"/>
    <w:rsid w:val="006B5597"/>
    <w:rsid w:val="006C3D3B"/>
    <w:rsid w:val="006D25B2"/>
    <w:rsid w:val="006D25C8"/>
    <w:rsid w:val="006D309A"/>
    <w:rsid w:val="006D3BDB"/>
    <w:rsid w:val="006E1F53"/>
    <w:rsid w:val="006F20C3"/>
    <w:rsid w:val="006F59FB"/>
    <w:rsid w:val="006F6E49"/>
    <w:rsid w:val="0071491B"/>
    <w:rsid w:val="007219F2"/>
    <w:rsid w:val="00730338"/>
    <w:rsid w:val="00731FDE"/>
    <w:rsid w:val="0073378C"/>
    <w:rsid w:val="007357F5"/>
    <w:rsid w:val="00750B97"/>
    <w:rsid w:val="00753601"/>
    <w:rsid w:val="00781224"/>
    <w:rsid w:val="00785115"/>
    <w:rsid w:val="00791074"/>
    <w:rsid w:val="00796200"/>
    <w:rsid w:val="007A07FA"/>
    <w:rsid w:val="007A1760"/>
    <w:rsid w:val="007A7DD6"/>
    <w:rsid w:val="007D686E"/>
    <w:rsid w:val="007E5212"/>
    <w:rsid w:val="007F4913"/>
    <w:rsid w:val="007F6CFE"/>
    <w:rsid w:val="008022B2"/>
    <w:rsid w:val="008029D8"/>
    <w:rsid w:val="008356F5"/>
    <w:rsid w:val="00845C84"/>
    <w:rsid w:val="008609A3"/>
    <w:rsid w:val="00873E7B"/>
    <w:rsid w:val="00881295"/>
    <w:rsid w:val="00882B5C"/>
    <w:rsid w:val="00891562"/>
    <w:rsid w:val="008970B0"/>
    <w:rsid w:val="008A4C5B"/>
    <w:rsid w:val="008A72D9"/>
    <w:rsid w:val="008B638A"/>
    <w:rsid w:val="008C29A8"/>
    <w:rsid w:val="008E3230"/>
    <w:rsid w:val="008F27E0"/>
    <w:rsid w:val="00907989"/>
    <w:rsid w:val="00926504"/>
    <w:rsid w:val="00956D39"/>
    <w:rsid w:val="00962AA4"/>
    <w:rsid w:val="0097057C"/>
    <w:rsid w:val="00984CF2"/>
    <w:rsid w:val="009A586A"/>
    <w:rsid w:val="009B6396"/>
    <w:rsid w:val="009B6FF7"/>
    <w:rsid w:val="009B75F9"/>
    <w:rsid w:val="009C26AE"/>
    <w:rsid w:val="009C4A30"/>
    <w:rsid w:val="009E2FFD"/>
    <w:rsid w:val="009E5527"/>
    <w:rsid w:val="009E72A9"/>
    <w:rsid w:val="009F5C51"/>
    <w:rsid w:val="00A03DA8"/>
    <w:rsid w:val="00A07D7F"/>
    <w:rsid w:val="00A121DB"/>
    <w:rsid w:val="00A131CB"/>
    <w:rsid w:val="00A13E19"/>
    <w:rsid w:val="00A2433A"/>
    <w:rsid w:val="00A27686"/>
    <w:rsid w:val="00A315E0"/>
    <w:rsid w:val="00A33642"/>
    <w:rsid w:val="00A36CA0"/>
    <w:rsid w:val="00A4010E"/>
    <w:rsid w:val="00A506CD"/>
    <w:rsid w:val="00A51441"/>
    <w:rsid w:val="00A60366"/>
    <w:rsid w:val="00A6399E"/>
    <w:rsid w:val="00A72AC4"/>
    <w:rsid w:val="00A779E1"/>
    <w:rsid w:val="00A81EFA"/>
    <w:rsid w:val="00A95643"/>
    <w:rsid w:val="00AA09FA"/>
    <w:rsid w:val="00AA2326"/>
    <w:rsid w:val="00AB5EDE"/>
    <w:rsid w:val="00AC1723"/>
    <w:rsid w:val="00AC4ADD"/>
    <w:rsid w:val="00AE45FD"/>
    <w:rsid w:val="00AF2859"/>
    <w:rsid w:val="00AF2B44"/>
    <w:rsid w:val="00AF2DFB"/>
    <w:rsid w:val="00B06B5C"/>
    <w:rsid w:val="00B071E1"/>
    <w:rsid w:val="00B103C7"/>
    <w:rsid w:val="00B129BE"/>
    <w:rsid w:val="00B16046"/>
    <w:rsid w:val="00B264E4"/>
    <w:rsid w:val="00B34C57"/>
    <w:rsid w:val="00B35440"/>
    <w:rsid w:val="00B35DA0"/>
    <w:rsid w:val="00B52D7C"/>
    <w:rsid w:val="00B53D2E"/>
    <w:rsid w:val="00B54287"/>
    <w:rsid w:val="00B66446"/>
    <w:rsid w:val="00B7571B"/>
    <w:rsid w:val="00B83A77"/>
    <w:rsid w:val="00B96EDE"/>
    <w:rsid w:val="00BA3097"/>
    <w:rsid w:val="00BA4AF7"/>
    <w:rsid w:val="00BA775B"/>
    <w:rsid w:val="00BB4642"/>
    <w:rsid w:val="00BC7353"/>
    <w:rsid w:val="00BD095F"/>
    <w:rsid w:val="00BD6B35"/>
    <w:rsid w:val="00BE0238"/>
    <w:rsid w:val="00BE0523"/>
    <w:rsid w:val="00BF2E68"/>
    <w:rsid w:val="00C12292"/>
    <w:rsid w:val="00C15A64"/>
    <w:rsid w:val="00C24885"/>
    <w:rsid w:val="00C30F37"/>
    <w:rsid w:val="00C32063"/>
    <w:rsid w:val="00C346B0"/>
    <w:rsid w:val="00C3535B"/>
    <w:rsid w:val="00C3737A"/>
    <w:rsid w:val="00C53A7B"/>
    <w:rsid w:val="00C71671"/>
    <w:rsid w:val="00C72EA1"/>
    <w:rsid w:val="00C90965"/>
    <w:rsid w:val="00C952DC"/>
    <w:rsid w:val="00C9574D"/>
    <w:rsid w:val="00CA3C26"/>
    <w:rsid w:val="00CB407D"/>
    <w:rsid w:val="00CD3602"/>
    <w:rsid w:val="00CE0D7C"/>
    <w:rsid w:val="00CF41F4"/>
    <w:rsid w:val="00CF5CB5"/>
    <w:rsid w:val="00D131BC"/>
    <w:rsid w:val="00D13AE4"/>
    <w:rsid w:val="00D2204E"/>
    <w:rsid w:val="00D41027"/>
    <w:rsid w:val="00D42BA5"/>
    <w:rsid w:val="00D5084F"/>
    <w:rsid w:val="00D554A7"/>
    <w:rsid w:val="00D55BF8"/>
    <w:rsid w:val="00D8647A"/>
    <w:rsid w:val="00D86923"/>
    <w:rsid w:val="00D97A32"/>
    <w:rsid w:val="00DB1F88"/>
    <w:rsid w:val="00DB4CA4"/>
    <w:rsid w:val="00DC0A31"/>
    <w:rsid w:val="00DC0D97"/>
    <w:rsid w:val="00DC4AD2"/>
    <w:rsid w:val="00DC564D"/>
    <w:rsid w:val="00DC7C75"/>
    <w:rsid w:val="00DD10E5"/>
    <w:rsid w:val="00DD43E3"/>
    <w:rsid w:val="00DE06A6"/>
    <w:rsid w:val="00DE72EC"/>
    <w:rsid w:val="00E2258E"/>
    <w:rsid w:val="00E3199A"/>
    <w:rsid w:val="00E3549B"/>
    <w:rsid w:val="00E72542"/>
    <w:rsid w:val="00E72F4B"/>
    <w:rsid w:val="00E7487D"/>
    <w:rsid w:val="00E8220E"/>
    <w:rsid w:val="00E8779E"/>
    <w:rsid w:val="00E91207"/>
    <w:rsid w:val="00E91545"/>
    <w:rsid w:val="00EA0BFD"/>
    <w:rsid w:val="00EA5ED7"/>
    <w:rsid w:val="00EA6F07"/>
    <w:rsid w:val="00EA7C01"/>
    <w:rsid w:val="00EC1A59"/>
    <w:rsid w:val="00EE04B4"/>
    <w:rsid w:val="00EE478F"/>
    <w:rsid w:val="00EF4ECA"/>
    <w:rsid w:val="00F00133"/>
    <w:rsid w:val="00F027AB"/>
    <w:rsid w:val="00F108AC"/>
    <w:rsid w:val="00F120A4"/>
    <w:rsid w:val="00F22A30"/>
    <w:rsid w:val="00F52813"/>
    <w:rsid w:val="00F60CC9"/>
    <w:rsid w:val="00F61CC2"/>
    <w:rsid w:val="00F80EF7"/>
    <w:rsid w:val="00F8236A"/>
    <w:rsid w:val="00FA3150"/>
    <w:rsid w:val="00FB331D"/>
    <w:rsid w:val="00FB7606"/>
    <w:rsid w:val="00FC0FB2"/>
    <w:rsid w:val="00FC262C"/>
    <w:rsid w:val="00FE49E9"/>
    <w:rsid w:val="00FE63CC"/>
    <w:rsid w:val="00FF1117"/>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868"/>
  <w15:chartTrackingRefBased/>
  <w15:docId w15:val="{170D17B0-662C-4743-9D06-0CC97C8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885"/>
  </w:style>
  <w:style w:type="paragraph" w:styleId="Footer">
    <w:name w:val="footer"/>
    <w:basedOn w:val="Normal"/>
    <w:link w:val="FooterChar"/>
    <w:uiPriority w:val="99"/>
    <w:unhideWhenUsed/>
    <w:rsid w:val="00C24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885"/>
  </w:style>
  <w:style w:type="character" w:customStyle="1" w:styleId="Heading1Char">
    <w:name w:val="Heading 1 Char"/>
    <w:basedOn w:val="DefaultParagraphFont"/>
    <w:link w:val="Heading1"/>
    <w:uiPriority w:val="9"/>
    <w:rsid w:val="00791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6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F2B4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774DB"/>
    <w:rPr>
      <w:color w:val="808080"/>
    </w:rPr>
  </w:style>
  <w:style w:type="character" w:customStyle="1" w:styleId="Heading4Char">
    <w:name w:val="Heading 4 Char"/>
    <w:basedOn w:val="DefaultParagraphFont"/>
    <w:link w:val="Heading4"/>
    <w:uiPriority w:val="9"/>
    <w:rsid w:val="005B2EA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C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4AD2"/>
    <w:rPr>
      <w:color w:val="0000FF"/>
      <w:u w:val="single"/>
    </w:rPr>
  </w:style>
  <w:style w:type="paragraph" w:styleId="Bibliography">
    <w:name w:val="Bibliography"/>
    <w:basedOn w:val="Normal"/>
    <w:next w:val="Normal"/>
    <w:uiPriority w:val="37"/>
    <w:unhideWhenUsed/>
    <w:rsid w:val="00591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673">
      <w:bodyDiv w:val="1"/>
      <w:marLeft w:val="0"/>
      <w:marRight w:val="0"/>
      <w:marTop w:val="0"/>
      <w:marBottom w:val="0"/>
      <w:divBdr>
        <w:top w:val="none" w:sz="0" w:space="0" w:color="auto"/>
        <w:left w:val="none" w:sz="0" w:space="0" w:color="auto"/>
        <w:bottom w:val="none" w:sz="0" w:space="0" w:color="auto"/>
        <w:right w:val="none" w:sz="0" w:space="0" w:color="auto"/>
      </w:divBdr>
    </w:div>
    <w:div w:id="16974476">
      <w:bodyDiv w:val="1"/>
      <w:marLeft w:val="0"/>
      <w:marRight w:val="0"/>
      <w:marTop w:val="0"/>
      <w:marBottom w:val="0"/>
      <w:divBdr>
        <w:top w:val="none" w:sz="0" w:space="0" w:color="auto"/>
        <w:left w:val="none" w:sz="0" w:space="0" w:color="auto"/>
        <w:bottom w:val="none" w:sz="0" w:space="0" w:color="auto"/>
        <w:right w:val="none" w:sz="0" w:space="0" w:color="auto"/>
      </w:divBdr>
    </w:div>
    <w:div w:id="20521375">
      <w:bodyDiv w:val="1"/>
      <w:marLeft w:val="0"/>
      <w:marRight w:val="0"/>
      <w:marTop w:val="0"/>
      <w:marBottom w:val="0"/>
      <w:divBdr>
        <w:top w:val="none" w:sz="0" w:space="0" w:color="auto"/>
        <w:left w:val="none" w:sz="0" w:space="0" w:color="auto"/>
        <w:bottom w:val="none" w:sz="0" w:space="0" w:color="auto"/>
        <w:right w:val="none" w:sz="0" w:space="0" w:color="auto"/>
      </w:divBdr>
    </w:div>
    <w:div w:id="51124361">
      <w:bodyDiv w:val="1"/>
      <w:marLeft w:val="0"/>
      <w:marRight w:val="0"/>
      <w:marTop w:val="0"/>
      <w:marBottom w:val="0"/>
      <w:divBdr>
        <w:top w:val="none" w:sz="0" w:space="0" w:color="auto"/>
        <w:left w:val="none" w:sz="0" w:space="0" w:color="auto"/>
        <w:bottom w:val="none" w:sz="0" w:space="0" w:color="auto"/>
        <w:right w:val="none" w:sz="0" w:space="0" w:color="auto"/>
      </w:divBdr>
    </w:div>
    <w:div w:id="63260533">
      <w:bodyDiv w:val="1"/>
      <w:marLeft w:val="0"/>
      <w:marRight w:val="0"/>
      <w:marTop w:val="0"/>
      <w:marBottom w:val="0"/>
      <w:divBdr>
        <w:top w:val="none" w:sz="0" w:space="0" w:color="auto"/>
        <w:left w:val="none" w:sz="0" w:space="0" w:color="auto"/>
        <w:bottom w:val="none" w:sz="0" w:space="0" w:color="auto"/>
        <w:right w:val="none" w:sz="0" w:space="0" w:color="auto"/>
      </w:divBdr>
    </w:div>
    <w:div w:id="64492211">
      <w:bodyDiv w:val="1"/>
      <w:marLeft w:val="0"/>
      <w:marRight w:val="0"/>
      <w:marTop w:val="0"/>
      <w:marBottom w:val="0"/>
      <w:divBdr>
        <w:top w:val="none" w:sz="0" w:space="0" w:color="auto"/>
        <w:left w:val="none" w:sz="0" w:space="0" w:color="auto"/>
        <w:bottom w:val="none" w:sz="0" w:space="0" w:color="auto"/>
        <w:right w:val="none" w:sz="0" w:space="0" w:color="auto"/>
      </w:divBdr>
    </w:div>
    <w:div w:id="290524103">
      <w:bodyDiv w:val="1"/>
      <w:marLeft w:val="0"/>
      <w:marRight w:val="0"/>
      <w:marTop w:val="0"/>
      <w:marBottom w:val="0"/>
      <w:divBdr>
        <w:top w:val="none" w:sz="0" w:space="0" w:color="auto"/>
        <w:left w:val="none" w:sz="0" w:space="0" w:color="auto"/>
        <w:bottom w:val="none" w:sz="0" w:space="0" w:color="auto"/>
        <w:right w:val="none" w:sz="0" w:space="0" w:color="auto"/>
      </w:divBdr>
    </w:div>
    <w:div w:id="314265954">
      <w:bodyDiv w:val="1"/>
      <w:marLeft w:val="0"/>
      <w:marRight w:val="0"/>
      <w:marTop w:val="0"/>
      <w:marBottom w:val="0"/>
      <w:divBdr>
        <w:top w:val="none" w:sz="0" w:space="0" w:color="auto"/>
        <w:left w:val="none" w:sz="0" w:space="0" w:color="auto"/>
        <w:bottom w:val="none" w:sz="0" w:space="0" w:color="auto"/>
        <w:right w:val="none" w:sz="0" w:space="0" w:color="auto"/>
      </w:divBdr>
    </w:div>
    <w:div w:id="486484947">
      <w:bodyDiv w:val="1"/>
      <w:marLeft w:val="0"/>
      <w:marRight w:val="0"/>
      <w:marTop w:val="0"/>
      <w:marBottom w:val="0"/>
      <w:divBdr>
        <w:top w:val="none" w:sz="0" w:space="0" w:color="auto"/>
        <w:left w:val="none" w:sz="0" w:space="0" w:color="auto"/>
        <w:bottom w:val="none" w:sz="0" w:space="0" w:color="auto"/>
        <w:right w:val="none" w:sz="0" w:space="0" w:color="auto"/>
      </w:divBdr>
    </w:div>
    <w:div w:id="575477995">
      <w:bodyDiv w:val="1"/>
      <w:marLeft w:val="0"/>
      <w:marRight w:val="0"/>
      <w:marTop w:val="0"/>
      <w:marBottom w:val="0"/>
      <w:divBdr>
        <w:top w:val="none" w:sz="0" w:space="0" w:color="auto"/>
        <w:left w:val="none" w:sz="0" w:space="0" w:color="auto"/>
        <w:bottom w:val="none" w:sz="0" w:space="0" w:color="auto"/>
        <w:right w:val="none" w:sz="0" w:space="0" w:color="auto"/>
      </w:divBdr>
    </w:div>
    <w:div w:id="676350400">
      <w:bodyDiv w:val="1"/>
      <w:marLeft w:val="0"/>
      <w:marRight w:val="0"/>
      <w:marTop w:val="0"/>
      <w:marBottom w:val="0"/>
      <w:divBdr>
        <w:top w:val="none" w:sz="0" w:space="0" w:color="auto"/>
        <w:left w:val="none" w:sz="0" w:space="0" w:color="auto"/>
        <w:bottom w:val="none" w:sz="0" w:space="0" w:color="auto"/>
        <w:right w:val="none" w:sz="0" w:space="0" w:color="auto"/>
      </w:divBdr>
    </w:div>
    <w:div w:id="684988133">
      <w:bodyDiv w:val="1"/>
      <w:marLeft w:val="0"/>
      <w:marRight w:val="0"/>
      <w:marTop w:val="0"/>
      <w:marBottom w:val="0"/>
      <w:divBdr>
        <w:top w:val="none" w:sz="0" w:space="0" w:color="auto"/>
        <w:left w:val="none" w:sz="0" w:space="0" w:color="auto"/>
        <w:bottom w:val="none" w:sz="0" w:space="0" w:color="auto"/>
        <w:right w:val="none" w:sz="0" w:space="0" w:color="auto"/>
      </w:divBdr>
    </w:div>
    <w:div w:id="728961037">
      <w:bodyDiv w:val="1"/>
      <w:marLeft w:val="0"/>
      <w:marRight w:val="0"/>
      <w:marTop w:val="0"/>
      <w:marBottom w:val="0"/>
      <w:divBdr>
        <w:top w:val="none" w:sz="0" w:space="0" w:color="auto"/>
        <w:left w:val="none" w:sz="0" w:space="0" w:color="auto"/>
        <w:bottom w:val="none" w:sz="0" w:space="0" w:color="auto"/>
        <w:right w:val="none" w:sz="0" w:space="0" w:color="auto"/>
      </w:divBdr>
    </w:div>
    <w:div w:id="759452377">
      <w:bodyDiv w:val="1"/>
      <w:marLeft w:val="0"/>
      <w:marRight w:val="0"/>
      <w:marTop w:val="0"/>
      <w:marBottom w:val="0"/>
      <w:divBdr>
        <w:top w:val="none" w:sz="0" w:space="0" w:color="auto"/>
        <w:left w:val="none" w:sz="0" w:space="0" w:color="auto"/>
        <w:bottom w:val="none" w:sz="0" w:space="0" w:color="auto"/>
        <w:right w:val="none" w:sz="0" w:space="0" w:color="auto"/>
      </w:divBdr>
    </w:div>
    <w:div w:id="815220217">
      <w:bodyDiv w:val="1"/>
      <w:marLeft w:val="0"/>
      <w:marRight w:val="0"/>
      <w:marTop w:val="0"/>
      <w:marBottom w:val="0"/>
      <w:divBdr>
        <w:top w:val="none" w:sz="0" w:space="0" w:color="auto"/>
        <w:left w:val="none" w:sz="0" w:space="0" w:color="auto"/>
        <w:bottom w:val="none" w:sz="0" w:space="0" w:color="auto"/>
        <w:right w:val="none" w:sz="0" w:space="0" w:color="auto"/>
      </w:divBdr>
    </w:div>
    <w:div w:id="895242144">
      <w:bodyDiv w:val="1"/>
      <w:marLeft w:val="0"/>
      <w:marRight w:val="0"/>
      <w:marTop w:val="0"/>
      <w:marBottom w:val="0"/>
      <w:divBdr>
        <w:top w:val="none" w:sz="0" w:space="0" w:color="auto"/>
        <w:left w:val="none" w:sz="0" w:space="0" w:color="auto"/>
        <w:bottom w:val="none" w:sz="0" w:space="0" w:color="auto"/>
        <w:right w:val="none" w:sz="0" w:space="0" w:color="auto"/>
      </w:divBdr>
    </w:div>
    <w:div w:id="903760157">
      <w:bodyDiv w:val="1"/>
      <w:marLeft w:val="0"/>
      <w:marRight w:val="0"/>
      <w:marTop w:val="0"/>
      <w:marBottom w:val="0"/>
      <w:divBdr>
        <w:top w:val="none" w:sz="0" w:space="0" w:color="auto"/>
        <w:left w:val="none" w:sz="0" w:space="0" w:color="auto"/>
        <w:bottom w:val="none" w:sz="0" w:space="0" w:color="auto"/>
        <w:right w:val="none" w:sz="0" w:space="0" w:color="auto"/>
      </w:divBdr>
    </w:div>
    <w:div w:id="951522127">
      <w:bodyDiv w:val="1"/>
      <w:marLeft w:val="0"/>
      <w:marRight w:val="0"/>
      <w:marTop w:val="0"/>
      <w:marBottom w:val="0"/>
      <w:divBdr>
        <w:top w:val="none" w:sz="0" w:space="0" w:color="auto"/>
        <w:left w:val="none" w:sz="0" w:space="0" w:color="auto"/>
        <w:bottom w:val="none" w:sz="0" w:space="0" w:color="auto"/>
        <w:right w:val="none" w:sz="0" w:space="0" w:color="auto"/>
      </w:divBdr>
    </w:div>
    <w:div w:id="977684778">
      <w:bodyDiv w:val="1"/>
      <w:marLeft w:val="0"/>
      <w:marRight w:val="0"/>
      <w:marTop w:val="0"/>
      <w:marBottom w:val="0"/>
      <w:divBdr>
        <w:top w:val="none" w:sz="0" w:space="0" w:color="auto"/>
        <w:left w:val="none" w:sz="0" w:space="0" w:color="auto"/>
        <w:bottom w:val="none" w:sz="0" w:space="0" w:color="auto"/>
        <w:right w:val="none" w:sz="0" w:space="0" w:color="auto"/>
      </w:divBdr>
    </w:div>
    <w:div w:id="986516017">
      <w:bodyDiv w:val="1"/>
      <w:marLeft w:val="0"/>
      <w:marRight w:val="0"/>
      <w:marTop w:val="0"/>
      <w:marBottom w:val="0"/>
      <w:divBdr>
        <w:top w:val="none" w:sz="0" w:space="0" w:color="auto"/>
        <w:left w:val="none" w:sz="0" w:space="0" w:color="auto"/>
        <w:bottom w:val="none" w:sz="0" w:space="0" w:color="auto"/>
        <w:right w:val="none" w:sz="0" w:space="0" w:color="auto"/>
      </w:divBdr>
    </w:div>
    <w:div w:id="1031105084">
      <w:bodyDiv w:val="1"/>
      <w:marLeft w:val="0"/>
      <w:marRight w:val="0"/>
      <w:marTop w:val="0"/>
      <w:marBottom w:val="0"/>
      <w:divBdr>
        <w:top w:val="none" w:sz="0" w:space="0" w:color="auto"/>
        <w:left w:val="none" w:sz="0" w:space="0" w:color="auto"/>
        <w:bottom w:val="none" w:sz="0" w:space="0" w:color="auto"/>
        <w:right w:val="none" w:sz="0" w:space="0" w:color="auto"/>
      </w:divBdr>
    </w:div>
    <w:div w:id="1099525373">
      <w:bodyDiv w:val="1"/>
      <w:marLeft w:val="0"/>
      <w:marRight w:val="0"/>
      <w:marTop w:val="0"/>
      <w:marBottom w:val="0"/>
      <w:divBdr>
        <w:top w:val="none" w:sz="0" w:space="0" w:color="auto"/>
        <w:left w:val="none" w:sz="0" w:space="0" w:color="auto"/>
        <w:bottom w:val="none" w:sz="0" w:space="0" w:color="auto"/>
        <w:right w:val="none" w:sz="0" w:space="0" w:color="auto"/>
      </w:divBdr>
    </w:div>
    <w:div w:id="1141776607">
      <w:bodyDiv w:val="1"/>
      <w:marLeft w:val="0"/>
      <w:marRight w:val="0"/>
      <w:marTop w:val="0"/>
      <w:marBottom w:val="0"/>
      <w:divBdr>
        <w:top w:val="none" w:sz="0" w:space="0" w:color="auto"/>
        <w:left w:val="none" w:sz="0" w:space="0" w:color="auto"/>
        <w:bottom w:val="none" w:sz="0" w:space="0" w:color="auto"/>
        <w:right w:val="none" w:sz="0" w:space="0" w:color="auto"/>
      </w:divBdr>
    </w:div>
    <w:div w:id="1194079477">
      <w:bodyDiv w:val="1"/>
      <w:marLeft w:val="0"/>
      <w:marRight w:val="0"/>
      <w:marTop w:val="0"/>
      <w:marBottom w:val="0"/>
      <w:divBdr>
        <w:top w:val="none" w:sz="0" w:space="0" w:color="auto"/>
        <w:left w:val="none" w:sz="0" w:space="0" w:color="auto"/>
        <w:bottom w:val="none" w:sz="0" w:space="0" w:color="auto"/>
        <w:right w:val="none" w:sz="0" w:space="0" w:color="auto"/>
      </w:divBdr>
    </w:div>
    <w:div w:id="1224218667">
      <w:bodyDiv w:val="1"/>
      <w:marLeft w:val="0"/>
      <w:marRight w:val="0"/>
      <w:marTop w:val="0"/>
      <w:marBottom w:val="0"/>
      <w:divBdr>
        <w:top w:val="none" w:sz="0" w:space="0" w:color="auto"/>
        <w:left w:val="none" w:sz="0" w:space="0" w:color="auto"/>
        <w:bottom w:val="none" w:sz="0" w:space="0" w:color="auto"/>
        <w:right w:val="none" w:sz="0" w:space="0" w:color="auto"/>
      </w:divBdr>
    </w:div>
    <w:div w:id="1257254232">
      <w:bodyDiv w:val="1"/>
      <w:marLeft w:val="0"/>
      <w:marRight w:val="0"/>
      <w:marTop w:val="0"/>
      <w:marBottom w:val="0"/>
      <w:divBdr>
        <w:top w:val="none" w:sz="0" w:space="0" w:color="auto"/>
        <w:left w:val="none" w:sz="0" w:space="0" w:color="auto"/>
        <w:bottom w:val="none" w:sz="0" w:space="0" w:color="auto"/>
        <w:right w:val="none" w:sz="0" w:space="0" w:color="auto"/>
      </w:divBdr>
    </w:div>
    <w:div w:id="1303392150">
      <w:bodyDiv w:val="1"/>
      <w:marLeft w:val="0"/>
      <w:marRight w:val="0"/>
      <w:marTop w:val="0"/>
      <w:marBottom w:val="0"/>
      <w:divBdr>
        <w:top w:val="none" w:sz="0" w:space="0" w:color="auto"/>
        <w:left w:val="none" w:sz="0" w:space="0" w:color="auto"/>
        <w:bottom w:val="none" w:sz="0" w:space="0" w:color="auto"/>
        <w:right w:val="none" w:sz="0" w:space="0" w:color="auto"/>
      </w:divBdr>
    </w:div>
    <w:div w:id="1321690948">
      <w:bodyDiv w:val="1"/>
      <w:marLeft w:val="0"/>
      <w:marRight w:val="0"/>
      <w:marTop w:val="0"/>
      <w:marBottom w:val="0"/>
      <w:divBdr>
        <w:top w:val="none" w:sz="0" w:space="0" w:color="auto"/>
        <w:left w:val="none" w:sz="0" w:space="0" w:color="auto"/>
        <w:bottom w:val="none" w:sz="0" w:space="0" w:color="auto"/>
        <w:right w:val="none" w:sz="0" w:space="0" w:color="auto"/>
      </w:divBdr>
    </w:div>
    <w:div w:id="1356232862">
      <w:bodyDiv w:val="1"/>
      <w:marLeft w:val="0"/>
      <w:marRight w:val="0"/>
      <w:marTop w:val="0"/>
      <w:marBottom w:val="0"/>
      <w:divBdr>
        <w:top w:val="none" w:sz="0" w:space="0" w:color="auto"/>
        <w:left w:val="none" w:sz="0" w:space="0" w:color="auto"/>
        <w:bottom w:val="none" w:sz="0" w:space="0" w:color="auto"/>
        <w:right w:val="none" w:sz="0" w:space="0" w:color="auto"/>
      </w:divBdr>
    </w:div>
    <w:div w:id="1386445971">
      <w:bodyDiv w:val="1"/>
      <w:marLeft w:val="0"/>
      <w:marRight w:val="0"/>
      <w:marTop w:val="0"/>
      <w:marBottom w:val="0"/>
      <w:divBdr>
        <w:top w:val="none" w:sz="0" w:space="0" w:color="auto"/>
        <w:left w:val="none" w:sz="0" w:space="0" w:color="auto"/>
        <w:bottom w:val="none" w:sz="0" w:space="0" w:color="auto"/>
        <w:right w:val="none" w:sz="0" w:space="0" w:color="auto"/>
      </w:divBdr>
    </w:div>
    <w:div w:id="1422485942">
      <w:bodyDiv w:val="1"/>
      <w:marLeft w:val="0"/>
      <w:marRight w:val="0"/>
      <w:marTop w:val="0"/>
      <w:marBottom w:val="0"/>
      <w:divBdr>
        <w:top w:val="none" w:sz="0" w:space="0" w:color="auto"/>
        <w:left w:val="none" w:sz="0" w:space="0" w:color="auto"/>
        <w:bottom w:val="none" w:sz="0" w:space="0" w:color="auto"/>
        <w:right w:val="none" w:sz="0" w:space="0" w:color="auto"/>
      </w:divBdr>
    </w:div>
    <w:div w:id="1449007030">
      <w:bodyDiv w:val="1"/>
      <w:marLeft w:val="0"/>
      <w:marRight w:val="0"/>
      <w:marTop w:val="0"/>
      <w:marBottom w:val="0"/>
      <w:divBdr>
        <w:top w:val="none" w:sz="0" w:space="0" w:color="auto"/>
        <w:left w:val="none" w:sz="0" w:space="0" w:color="auto"/>
        <w:bottom w:val="none" w:sz="0" w:space="0" w:color="auto"/>
        <w:right w:val="none" w:sz="0" w:space="0" w:color="auto"/>
      </w:divBdr>
    </w:div>
    <w:div w:id="1657605367">
      <w:bodyDiv w:val="1"/>
      <w:marLeft w:val="0"/>
      <w:marRight w:val="0"/>
      <w:marTop w:val="0"/>
      <w:marBottom w:val="0"/>
      <w:divBdr>
        <w:top w:val="none" w:sz="0" w:space="0" w:color="auto"/>
        <w:left w:val="none" w:sz="0" w:space="0" w:color="auto"/>
        <w:bottom w:val="none" w:sz="0" w:space="0" w:color="auto"/>
        <w:right w:val="none" w:sz="0" w:space="0" w:color="auto"/>
      </w:divBdr>
    </w:div>
    <w:div w:id="1690137183">
      <w:bodyDiv w:val="1"/>
      <w:marLeft w:val="0"/>
      <w:marRight w:val="0"/>
      <w:marTop w:val="0"/>
      <w:marBottom w:val="0"/>
      <w:divBdr>
        <w:top w:val="none" w:sz="0" w:space="0" w:color="auto"/>
        <w:left w:val="none" w:sz="0" w:space="0" w:color="auto"/>
        <w:bottom w:val="none" w:sz="0" w:space="0" w:color="auto"/>
        <w:right w:val="none" w:sz="0" w:space="0" w:color="auto"/>
      </w:divBdr>
    </w:div>
    <w:div w:id="1813599936">
      <w:bodyDiv w:val="1"/>
      <w:marLeft w:val="0"/>
      <w:marRight w:val="0"/>
      <w:marTop w:val="0"/>
      <w:marBottom w:val="0"/>
      <w:divBdr>
        <w:top w:val="none" w:sz="0" w:space="0" w:color="auto"/>
        <w:left w:val="none" w:sz="0" w:space="0" w:color="auto"/>
        <w:bottom w:val="none" w:sz="0" w:space="0" w:color="auto"/>
        <w:right w:val="none" w:sz="0" w:space="0" w:color="auto"/>
      </w:divBdr>
    </w:div>
    <w:div w:id="1822647665">
      <w:bodyDiv w:val="1"/>
      <w:marLeft w:val="0"/>
      <w:marRight w:val="0"/>
      <w:marTop w:val="0"/>
      <w:marBottom w:val="0"/>
      <w:divBdr>
        <w:top w:val="none" w:sz="0" w:space="0" w:color="auto"/>
        <w:left w:val="none" w:sz="0" w:space="0" w:color="auto"/>
        <w:bottom w:val="none" w:sz="0" w:space="0" w:color="auto"/>
        <w:right w:val="none" w:sz="0" w:space="0" w:color="auto"/>
      </w:divBdr>
    </w:div>
    <w:div w:id="209003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7"/>
    <w:rsid w:val="00153D00"/>
    <w:rsid w:val="003F5707"/>
    <w:rsid w:val="0061147D"/>
    <w:rsid w:val="00B87B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B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Dix10</b:Tag>
    <b:SourceType>BookSection</b:SourceType>
    <b:Guid>{CD2EAAFA-8CFC-4378-8956-1F481543E81C}</b:Guid>
    <b:Title>Fluid Mechanics and Thermodynamics of Turbomachinery (6th Edition)</b:Title>
    <b:Year>2010</b:Year>
    <b:Author>
      <b:Author>
        <b:NameList>
          <b:Person>
            <b:Last>Dixon</b:Last>
            <b:First>Hall</b:First>
          </b:Person>
        </b:NameList>
      </b:Author>
      <b:BookAuthor>
        <b:NameList>
          <b:Person>
            <b:Last>Dixon</b:Last>
            <b:First>Hall</b:First>
          </b:Person>
        </b:NameList>
      </b:BookAuthor>
    </b:Author>
    <b:BookTitle>Fluid Mechanics and Thermodynamics of Turbomachinery (6th Edition)</b:BookTitle>
    <b:Publisher>Knovel</b:Publisher>
    <b:RefOrder>1</b:RefOrder>
  </b:Source>
  <b:Source>
    <b:Tag>1801</b:Tag>
    <b:SourceType>InternetSite</b:SourceType>
    <b:Guid>{164DFB87-F6E3-44FD-A5E0-FB13BC75F64E}</b:Guid>
    <b:YearAccessed>2018</b:YearAccessed>
    <b:MonthAccessed>01</b:MonthAccessed>
    <b:DayAccessed>26</b:DayAccessed>
    <b:URL>https://www.eo.ucar.edu/basics/wx_1_b_1.html</b:URL>
    <b:Author>
      <b:Author>
        <b:Corporate>University Corporation of Atmospheric research</b:Corporate>
      </b:Author>
    </b:Author>
    <b:Title>Air Composition</b:Title>
    <b:Year>2018</b:Year>
    <b:RefOrder>3</b:RefOrder>
  </b:Source>
  <b:Source>
    <b:Tag>Uni18</b:Tag>
    <b:SourceType>InternetSite</b:SourceType>
    <b:Guid>{26F56010-770E-4167-A3C4-A982B285AA97}</b:Guid>
    <b:Author>
      <b:Author>
        <b:Corporate>Union Gas</b:Corporate>
      </b:Author>
    </b:Author>
    <b:Title>Chemical Composition of Natural Gas - Union Gas</b:Title>
    <b:Year>2018</b:Year>
    <b:YearAccessed>2018</b:YearAccessed>
    <b:MonthAccessed>01</b:MonthAccessed>
    <b:DayAccessed>26</b:DayAccessed>
    <b:URL>https://www.uniongas.com/about-us/about-natural-gas/Chemical-Composition-of-Natural-Gas</b:URL>
    <b:RefOrder>2</b:RefOrder>
  </b:Source>
  <b:Source>
    <b:Tag>JAd14</b:Tag>
    <b:SourceType>JournalArticle</b:SourceType>
    <b:Guid>{2F4151A0-33D9-4D66-8473-544BFD4AE644}</b:Guid>
    <b:Title>Reduced emissions of CO2, NOx and SO2 from US power plants owing to switching from coal to natural gas with combined cycle technology</b:Title>
    <b:Year>2014</b:Year>
    <b:Author>
      <b:Author>
        <b:NameList>
          <b:Person>
            <b:Last>J. A. de Gouw</b:Last>
            <b:First>D.</b:First>
            <b:Middle>D. Parish, G.J.Frost, M. Trainer</b:Middle>
          </b:Person>
        </b:NameList>
      </b:Author>
    </b:Author>
    <b:JournalName>Earth's Future</b:JournalName>
    <b:Pages>75-83</b:Pages>
    <b:Volume>2</b:Volume>
    <b:Issue>2</b:Issue>
    <b:RefOrder>5</b:RefOrder>
  </b:Source>
  <b:Source>
    <b:Tag>CRC00</b:Tag>
    <b:SourceType>Report</b:SourceType>
    <b:Guid>{1E16BADC-FF7E-459B-A666-846FC1F7B665}</b:Guid>
    <b:Author>
      <b:Author>
        <b:Corporate>CRC Press Ltd</b:Corporate>
      </b:Author>
    </b:Author>
    <b:Title>STANDARD THERMODYNAMIC PROPERTIES OF CHEMICAL SUBSTANCES</b:Title>
    <b:Year>2000</b:Year>
    <b:Month>1</b:Month>
    <b:Day>1</b:Day>
    <b:Publisher>CRC Press Ltd</b:Publisher>
    <b:RefOrder>4</b:RefOrder>
  </b:Source>
</b:Sources>
</file>

<file path=customXml/itemProps1.xml><?xml version="1.0" encoding="utf-8"?>
<ds:datastoreItem xmlns:ds="http://schemas.openxmlformats.org/officeDocument/2006/customXml" ds:itemID="{1ECD2A0F-5254-4ADE-A179-1AD8726F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9</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Larionov, Alexander</dc:creator>
  <cp:keywords/>
  <dc:description/>
  <cp:lastModifiedBy>Larionov, Alexander</cp:lastModifiedBy>
  <cp:revision>239</cp:revision>
  <cp:lastPrinted>2018-01-26T03:38:00Z</cp:lastPrinted>
  <dcterms:created xsi:type="dcterms:W3CDTF">2018-01-23T17:02:00Z</dcterms:created>
  <dcterms:modified xsi:type="dcterms:W3CDTF">2018-01-26T03:40:00Z</dcterms:modified>
</cp:coreProperties>
</file>