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1392B" w14:textId="32DBD1F1" w:rsidR="004714BA" w:rsidRDefault="004714BA" w:rsidP="004714BA">
      <w:pPr>
        <w:pStyle w:val="BodyText"/>
        <w:rPr>
          <w:rFonts w:ascii="Times New Roman"/>
          <w:sz w:val="20"/>
        </w:rPr>
      </w:pPr>
    </w:p>
    <w:p w14:paraId="386B0B07" w14:textId="77777777" w:rsidR="004714BA" w:rsidRDefault="004714BA" w:rsidP="004714BA">
      <w:pPr>
        <w:pStyle w:val="BodyText"/>
        <w:rPr>
          <w:rFonts w:ascii="Times New Roman"/>
          <w:sz w:val="20"/>
        </w:rPr>
      </w:pPr>
    </w:p>
    <w:p w14:paraId="7D92CE4D" w14:textId="77777777" w:rsidR="004714BA" w:rsidRDefault="004714BA" w:rsidP="004714BA">
      <w:pPr>
        <w:pStyle w:val="BodyText"/>
        <w:spacing w:before="6"/>
        <w:rPr>
          <w:rFonts w:ascii="Times New Roman"/>
          <w:sz w:val="20"/>
        </w:rPr>
      </w:pPr>
    </w:p>
    <w:p w14:paraId="04015A1C" w14:textId="77777777" w:rsidR="004714BA" w:rsidRDefault="004714BA" w:rsidP="004714BA">
      <w:pPr>
        <w:pStyle w:val="BodyText"/>
        <w:ind w:left="-1440" w:firstLine="1440"/>
        <w:jc w:val="center"/>
        <w:rPr>
          <w:rFonts w:ascii="Times New Roman"/>
          <w:sz w:val="20"/>
        </w:rPr>
      </w:pPr>
      <w:r>
        <w:rPr>
          <w:rFonts w:ascii="Times New Roman"/>
          <w:noProof/>
          <w:sz w:val="20"/>
        </w:rPr>
        <w:drawing>
          <wp:inline distT="0" distB="0" distL="0" distR="0" wp14:anchorId="50501F62" wp14:editId="2CD0D4D6">
            <wp:extent cx="2076831" cy="207683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076831" cy="2076830"/>
                    </a:xfrm>
                    <a:prstGeom prst="rect">
                      <a:avLst/>
                    </a:prstGeom>
                  </pic:spPr>
                </pic:pic>
              </a:graphicData>
            </a:graphic>
          </wp:inline>
        </w:drawing>
      </w:r>
    </w:p>
    <w:p w14:paraId="3D3B87CE" w14:textId="77777777" w:rsidR="004714BA" w:rsidRPr="003F1801" w:rsidRDefault="004714BA" w:rsidP="004714BA">
      <w:pPr>
        <w:pStyle w:val="BodyText"/>
        <w:jc w:val="center"/>
        <w:rPr>
          <w:rFonts w:ascii="Arial"/>
          <w:b/>
          <w:bCs/>
          <w:sz w:val="24"/>
        </w:rPr>
      </w:pPr>
    </w:p>
    <w:p w14:paraId="2FD5B7D6" w14:textId="2234EF7A" w:rsidR="004714BA" w:rsidRPr="003F1801" w:rsidRDefault="003F1801" w:rsidP="003F1801">
      <w:pPr>
        <w:pStyle w:val="BodyText"/>
        <w:jc w:val="center"/>
        <w:rPr>
          <w:rFonts w:ascii="Arial"/>
          <w:b/>
          <w:bCs/>
          <w:sz w:val="24"/>
          <w:szCs w:val="24"/>
        </w:rPr>
      </w:pPr>
      <w:proofErr w:type="spellStart"/>
      <w:r w:rsidRPr="003F1801">
        <w:rPr>
          <w:rFonts w:ascii="Arial" w:hAnsi="Arial" w:cs="Arial"/>
          <w:b/>
          <w:bCs/>
          <w:sz w:val="24"/>
          <w:szCs w:val="24"/>
        </w:rPr>
        <w:t>ServiFinance</w:t>
      </w:r>
      <w:proofErr w:type="spellEnd"/>
      <w:r w:rsidRPr="003F1801">
        <w:rPr>
          <w:rFonts w:ascii="Arial" w:hAnsi="Arial" w:cs="Arial"/>
          <w:b/>
          <w:bCs/>
          <w:sz w:val="24"/>
          <w:szCs w:val="24"/>
        </w:rPr>
        <w:t>: A Multi-Tenant SaaS Service Management System with Embedded Micro-Lending</w:t>
      </w:r>
    </w:p>
    <w:p w14:paraId="34FA69F4" w14:textId="77777777" w:rsidR="004714BA" w:rsidRDefault="004714BA" w:rsidP="004714BA">
      <w:pPr>
        <w:pStyle w:val="BodyText"/>
        <w:rPr>
          <w:rFonts w:ascii="Arial"/>
          <w:b/>
          <w:sz w:val="24"/>
        </w:rPr>
      </w:pPr>
    </w:p>
    <w:p w14:paraId="105D7F01" w14:textId="77777777" w:rsidR="002521BC" w:rsidRDefault="002521BC" w:rsidP="004714BA">
      <w:pPr>
        <w:pStyle w:val="BodyText"/>
        <w:rPr>
          <w:rFonts w:ascii="Arial"/>
          <w:b/>
          <w:sz w:val="24"/>
        </w:rPr>
      </w:pPr>
    </w:p>
    <w:p w14:paraId="7B950F1B" w14:textId="77777777" w:rsidR="002521BC" w:rsidRDefault="002521BC" w:rsidP="004714BA">
      <w:pPr>
        <w:pStyle w:val="BodyText"/>
        <w:rPr>
          <w:rFonts w:ascii="Arial"/>
          <w:b/>
          <w:sz w:val="24"/>
        </w:rPr>
      </w:pPr>
    </w:p>
    <w:p w14:paraId="05BF8DFC" w14:textId="77777777" w:rsidR="004714BA" w:rsidRDefault="004714BA" w:rsidP="004714BA">
      <w:pPr>
        <w:pStyle w:val="BodyText"/>
        <w:spacing w:before="20"/>
        <w:rPr>
          <w:rFonts w:ascii="Arial"/>
          <w:b/>
          <w:sz w:val="24"/>
        </w:rPr>
      </w:pPr>
    </w:p>
    <w:p w14:paraId="5163F82B" w14:textId="373A8A6A" w:rsidR="004714BA" w:rsidRPr="003F1801" w:rsidRDefault="004714BA" w:rsidP="003F1801">
      <w:pPr>
        <w:spacing w:line="242" w:lineRule="auto"/>
        <w:ind w:right="26"/>
        <w:jc w:val="center"/>
        <w:rPr>
          <w:rFonts w:ascii="Arial"/>
          <w:b/>
          <w:color w:val="252525"/>
        </w:rPr>
      </w:pPr>
      <w:r>
        <w:rPr>
          <w:rFonts w:ascii="Arial"/>
          <w:b/>
          <w:color w:val="252525"/>
        </w:rPr>
        <w:t>In</w:t>
      </w:r>
      <w:r>
        <w:rPr>
          <w:rFonts w:ascii="Arial"/>
          <w:b/>
          <w:color w:val="252525"/>
          <w:spacing w:val="-8"/>
        </w:rPr>
        <w:t xml:space="preserve"> </w:t>
      </w:r>
      <w:r>
        <w:rPr>
          <w:rFonts w:ascii="Arial"/>
          <w:b/>
          <w:color w:val="252525"/>
        </w:rPr>
        <w:t>Partial</w:t>
      </w:r>
      <w:r>
        <w:rPr>
          <w:rFonts w:ascii="Arial"/>
          <w:b/>
          <w:color w:val="252525"/>
          <w:spacing w:val="-8"/>
        </w:rPr>
        <w:t xml:space="preserve"> </w:t>
      </w:r>
      <w:r>
        <w:rPr>
          <w:rFonts w:ascii="Arial"/>
          <w:b/>
          <w:color w:val="252525"/>
        </w:rPr>
        <w:t>fulfillment</w:t>
      </w:r>
      <w:r>
        <w:rPr>
          <w:rFonts w:ascii="Arial"/>
          <w:b/>
          <w:color w:val="252525"/>
          <w:spacing w:val="-8"/>
        </w:rPr>
        <w:t xml:space="preserve"> </w:t>
      </w:r>
      <w:r>
        <w:rPr>
          <w:rFonts w:ascii="Arial"/>
          <w:b/>
          <w:color w:val="252525"/>
        </w:rPr>
        <w:t>of</w:t>
      </w:r>
      <w:r>
        <w:rPr>
          <w:rFonts w:ascii="Arial"/>
          <w:b/>
          <w:color w:val="252525"/>
          <w:spacing w:val="-8"/>
        </w:rPr>
        <w:t xml:space="preserve"> </w:t>
      </w:r>
      <w:r>
        <w:rPr>
          <w:rFonts w:ascii="Arial"/>
          <w:b/>
          <w:color w:val="252525"/>
        </w:rPr>
        <w:t>the</w:t>
      </w:r>
      <w:r>
        <w:rPr>
          <w:rFonts w:ascii="Arial"/>
          <w:b/>
          <w:color w:val="252525"/>
          <w:spacing w:val="-8"/>
        </w:rPr>
        <w:t xml:space="preserve"> </w:t>
      </w:r>
      <w:r>
        <w:rPr>
          <w:rFonts w:ascii="Arial"/>
          <w:b/>
          <w:color w:val="252525"/>
        </w:rPr>
        <w:t>requirements</w:t>
      </w:r>
      <w:r w:rsidR="003F1801">
        <w:rPr>
          <w:rFonts w:ascii="Arial"/>
          <w:b/>
          <w:color w:val="252525"/>
        </w:rPr>
        <w:br/>
      </w:r>
      <w:r>
        <w:rPr>
          <w:rFonts w:ascii="Arial"/>
          <w:b/>
          <w:color w:val="252525"/>
        </w:rPr>
        <w:t xml:space="preserve">In IT13/L Professional Track </w:t>
      </w:r>
      <w:r w:rsidR="00FC5891">
        <w:rPr>
          <w:rFonts w:ascii="Arial"/>
          <w:b/>
          <w:color w:val="252525"/>
        </w:rPr>
        <w:t>for</w:t>
      </w:r>
      <w:r>
        <w:rPr>
          <w:rFonts w:ascii="Arial"/>
          <w:b/>
          <w:color w:val="252525"/>
        </w:rPr>
        <w:t xml:space="preserve"> IT 4</w:t>
      </w:r>
    </w:p>
    <w:p w14:paraId="0334651D" w14:textId="77777777" w:rsidR="004714BA" w:rsidRDefault="004714BA" w:rsidP="004714BA">
      <w:pPr>
        <w:pStyle w:val="BodyText"/>
        <w:rPr>
          <w:rFonts w:ascii="Arial"/>
          <w:b/>
          <w:sz w:val="24"/>
        </w:rPr>
      </w:pPr>
    </w:p>
    <w:p w14:paraId="0C17B4B3" w14:textId="77777777" w:rsidR="004714BA" w:rsidRDefault="004714BA" w:rsidP="004714BA">
      <w:pPr>
        <w:pStyle w:val="BodyText"/>
        <w:spacing w:before="28"/>
        <w:rPr>
          <w:rFonts w:ascii="Arial"/>
          <w:b/>
          <w:sz w:val="24"/>
        </w:rPr>
      </w:pPr>
    </w:p>
    <w:p w14:paraId="0798C6DA" w14:textId="77777777" w:rsidR="005E6D6B" w:rsidRDefault="005E6D6B" w:rsidP="004714BA">
      <w:pPr>
        <w:pStyle w:val="BodyText"/>
        <w:spacing w:before="28"/>
        <w:rPr>
          <w:rFonts w:ascii="Arial"/>
          <w:b/>
          <w:sz w:val="24"/>
        </w:rPr>
      </w:pPr>
    </w:p>
    <w:p w14:paraId="334F61CB" w14:textId="77777777" w:rsidR="005E6D6B" w:rsidRDefault="005E6D6B" w:rsidP="004714BA">
      <w:pPr>
        <w:pStyle w:val="BodyText"/>
        <w:spacing w:before="28"/>
        <w:rPr>
          <w:rFonts w:ascii="Arial"/>
          <w:b/>
          <w:sz w:val="24"/>
        </w:rPr>
      </w:pPr>
    </w:p>
    <w:p w14:paraId="576C0FE9" w14:textId="77777777" w:rsidR="005E6D6B" w:rsidRDefault="005E6D6B" w:rsidP="004714BA">
      <w:pPr>
        <w:pStyle w:val="BodyText"/>
        <w:spacing w:before="28"/>
        <w:rPr>
          <w:rFonts w:ascii="Arial"/>
          <w:b/>
          <w:sz w:val="24"/>
        </w:rPr>
      </w:pPr>
    </w:p>
    <w:p w14:paraId="1EB8585D" w14:textId="36D05C09" w:rsidR="004714BA" w:rsidRDefault="004714BA" w:rsidP="003F1801">
      <w:pPr>
        <w:ind w:left="1058" w:right="1070"/>
        <w:jc w:val="center"/>
        <w:rPr>
          <w:rFonts w:ascii="Arial"/>
          <w:b/>
        </w:rPr>
      </w:pPr>
      <w:r>
        <w:rPr>
          <w:rFonts w:ascii="Arial"/>
          <w:b/>
          <w:color w:val="252525"/>
        </w:rPr>
        <w:t xml:space="preserve">Presented </w:t>
      </w:r>
      <w:r>
        <w:rPr>
          <w:rFonts w:ascii="Arial"/>
          <w:b/>
          <w:color w:val="252525"/>
          <w:spacing w:val="-5"/>
        </w:rPr>
        <w:t>By:</w:t>
      </w:r>
    </w:p>
    <w:p w14:paraId="478CA065" w14:textId="77777777" w:rsidR="004714BA" w:rsidRDefault="004714BA" w:rsidP="003F1801">
      <w:pPr>
        <w:spacing w:before="2"/>
        <w:ind w:right="26"/>
        <w:jc w:val="center"/>
        <w:rPr>
          <w:rFonts w:ascii="Arial MT"/>
        </w:rPr>
      </w:pPr>
      <w:r>
        <w:rPr>
          <w:rFonts w:ascii="Arial MT"/>
          <w:color w:val="252525"/>
        </w:rPr>
        <w:t>Villacino,</w:t>
      </w:r>
      <w:r>
        <w:rPr>
          <w:rFonts w:ascii="Arial MT"/>
          <w:color w:val="252525"/>
          <w:spacing w:val="-2"/>
        </w:rPr>
        <w:t xml:space="preserve"> </w:t>
      </w:r>
      <w:r>
        <w:rPr>
          <w:rFonts w:ascii="Arial MT"/>
          <w:color w:val="252525"/>
        </w:rPr>
        <w:t>Christopher</w:t>
      </w:r>
      <w:r>
        <w:rPr>
          <w:rFonts w:ascii="Arial MT"/>
          <w:color w:val="252525"/>
          <w:spacing w:val="-2"/>
        </w:rPr>
        <w:t xml:space="preserve"> </w:t>
      </w:r>
      <w:proofErr w:type="spellStart"/>
      <w:r>
        <w:rPr>
          <w:rFonts w:ascii="Arial MT"/>
          <w:color w:val="252525"/>
        </w:rPr>
        <w:t>Llander</w:t>
      </w:r>
      <w:proofErr w:type="spellEnd"/>
      <w:r>
        <w:rPr>
          <w:rFonts w:ascii="Arial MT"/>
          <w:color w:val="252525"/>
          <w:spacing w:val="-1"/>
        </w:rPr>
        <w:t xml:space="preserve"> </w:t>
      </w:r>
      <w:r>
        <w:rPr>
          <w:rFonts w:ascii="Arial MT"/>
          <w:color w:val="252525"/>
          <w:spacing w:val="-5"/>
        </w:rPr>
        <w:t>L.</w:t>
      </w:r>
    </w:p>
    <w:p w14:paraId="78F2225F" w14:textId="77777777" w:rsidR="004714BA" w:rsidRDefault="004714BA" w:rsidP="004714BA">
      <w:pPr>
        <w:pStyle w:val="BodyText"/>
        <w:rPr>
          <w:rFonts w:ascii="Arial MT"/>
          <w:sz w:val="24"/>
        </w:rPr>
      </w:pPr>
    </w:p>
    <w:p w14:paraId="7C1D94FD" w14:textId="77777777" w:rsidR="004714BA" w:rsidRDefault="004714BA" w:rsidP="004714BA">
      <w:pPr>
        <w:pStyle w:val="BodyText"/>
        <w:rPr>
          <w:rFonts w:ascii="Arial MT"/>
          <w:sz w:val="24"/>
        </w:rPr>
      </w:pPr>
    </w:p>
    <w:p w14:paraId="3E8A7A26" w14:textId="2AF86B42" w:rsidR="004714BA" w:rsidRDefault="003F1801" w:rsidP="003F1801">
      <w:pPr>
        <w:pStyle w:val="BodyText"/>
        <w:spacing w:before="12"/>
        <w:jc w:val="center"/>
        <w:rPr>
          <w:rFonts w:ascii="Arial MT"/>
          <w:b/>
          <w:bCs/>
          <w:sz w:val="24"/>
        </w:rPr>
      </w:pPr>
      <w:r w:rsidRPr="003F1801">
        <w:rPr>
          <w:rFonts w:ascii="Arial MT"/>
          <w:b/>
          <w:bCs/>
          <w:sz w:val="24"/>
        </w:rPr>
        <w:t>Presented To:</w:t>
      </w:r>
    </w:p>
    <w:p w14:paraId="4846351A" w14:textId="77777777" w:rsidR="003F1801" w:rsidRDefault="003F1801" w:rsidP="003F1801">
      <w:pPr>
        <w:pStyle w:val="BodyText"/>
        <w:spacing w:before="12"/>
        <w:jc w:val="center"/>
        <w:rPr>
          <w:rFonts w:ascii="Arial MT"/>
          <w:b/>
          <w:bCs/>
          <w:sz w:val="24"/>
        </w:rPr>
      </w:pPr>
    </w:p>
    <w:p w14:paraId="0C96B8E2" w14:textId="50CB92CB" w:rsidR="003F1801" w:rsidRPr="003F1801" w:rsidRDefault="003F1801" w:rsidP="003F1801">
      <w:pPr>
        <w:pStyle w:val="BodyText"/>
        <w:spacing w:before="12"/>
        <w:jc w:val="center"/>
        <w:rPr>
          <w:rFonts w:ascii="Arial MT"/>
          <w:b/>
          <w:bCs/>
          <w:sz w:val="24"/>
        </w:rPr>
      </w:pPr>
      <w:r>
        <w:rPr>
          <w:rFonts w:ascii="Arial MT"/>
          <w:b/>
          <w:bCs/>
          <w:sz w:val="24"/>
        </w:rPr>
        <w:t>Lloyd Ryan Largo</w:t>
      </w:r>
    </w:p>
    <w:p w14:paraId="617CD061" w14:textId="0D7CCD65" w:rsidR="004714BA" w:rsidRDefault="004714BA" w:rsidP="004714BA">
      <w:pPr>
        <w:spacing w:before="4"/>
        <w:ind w:left="1058" w:right="1070"/>
        <w:jc w:val="center"/>
        <w:rPr>
          <w:rFonts w:ascii="Arial MT"/>
        </w:rPr>
      </w:pPr>
      <w:r>
        <w:rPr>
          <w:rFonts w:ascii="Arial MT"/>
          <w:color w:val="252525"/>
        </w:rPr>
        <w:t>IT1</w:t>
      </w:r>
      <w:r w:rsidR="003F1801">
        <w:rPr>
          <w:rFonts w:ascii="Arial MT"/>
          <w:color w:val="252525"/>
        </w:rPr>
        <w:t>3</w:t>
      </w:r>
      <w:r>
        <w:rPr>
          <w:rFonts w:ascii="Arial MT"/>
          <w:color w:val="252525"/>
        </w:rPr>
        <w:t xml:space="preserve">/L </w:t>
      </w:r>
      <w:r>
        <w:rPr>
          <w:rFonts w:ascii="Arial MT"/>
          <w:color w:val="252525"/>
          <w:spacing w:val="-2"/>
        </w:rPr>
        <w:t>Adviser</w:t>
      </w:r>
    </w:p>
    <w:p w14:paraId="0C530B82" w14:textId="77777777" w:rsidR="004714BA" w:rsidRDefault="004714BA" w:rsidP="004714BA">
      <w:pPr>
        <w:pStyle w:val="BodyText"/>
        <w:rPr>
          <w:rFonts w:ascii="Arial MT"/>
          <w:sz w:val="24"/>
        </w:rPr>
      </w:pPr>
    </w:p>
    <w:p w14:paraId="68ED2DC6" w14:textId="77777777" w:rsidR="004714BA" w:rsidRDefault="004714BA" w:rsidP="004714BA">
      <w:pPr>
        <w:pStyle w:val="BodyText"/>
        <w:rPr>
          <w:rFonts w:ascii="Arial MT"/>
          <w:sz w:val="24"/>
        </w:rPr>
      </w:pPr>
    </w:p>
    <w:p w14:paraId="6E0203EE" w14:textId="77777777" w:rsidR="004714BA" w:rsidRDefault="004714BA" w:rsidP="004714BA">
      <w:pPr>
        <w:pStyle w:val="BodyText"/>
        <w:rPr>
          <w:rFonts w:ascii="Arial MT"/>
          <w:sz w:val="24"/>
        </w:rPr>
      </w:pPr>
    </w:p>
    <w:p w14:paraId="5470B12B" w14:textId="77777777" w:rsidR="003F1801" w:rsidRDefault="003F1801" w:rsidP="004714BA">
      <w:pPr>
        <w:pStyle w:val="BodyText"/>
        <w:rPr>
          <w:rFonts w:ascii="Arial MT"/>
          <w:sz w:val="24"/>
        </w:rPr>
      </w:pPr>
    </w:p>
    <w:p w14:paraId="5E25649F" w14:textId="77777777" w:rsidR="003F1801" w:rsidRDefault="003F1801" w:rsidP="004714BA">
      <w:pPr>
        <w:pStyle w:val="BodyText"/>
        <w:rPr>
          <w:rFonts w:ascii="Arial MT"/>
          <w:sz w:val="24"/>
        </w:rPr>
      </w:pPr>
    </w:p>
    <w:p w14:paraId="7B594564" w14:textId="77777777" w:rsidR="003F1801" w:rsidRDefault="003F1801" w:rsidP="004714BA">
      <w:pPr>
        <w:pStyle w:val="BodyText"/>
        <w:rPr>
          <w:rFonts w:ascii="Arial MT"/>
          <w:sz w:val="24"/>
        </w:rPr>
      </w:pPr>
    </w:p>
    <w:p w14:paraId="599356F1" w14:textId="77777777" w:rsidR="003F1801" w:rsidRDefault="003F1801" w:rsidP="004714BA">
      <w:pPr>
        <w:pStyle w:val="BodyText"/>
        <w:rPr>
          <w:rFonts w:ascii="Arial MT"/>
          <w:sz w:val="24"/>
        </w:rPr>
      </w:pPr>
    </w:p>
    <w:p w14:paraId="08E98A68" w14:textId="77777777" w:rsidR="003F1801" w:rsidRDefault="003F1801" w:rsidP="004714BA">
      <w:pPr>
        <w:pStyle w:val="BodyText"/>
        <w:rPr>
          <w:rFonts w:ascii="Arial MT"/>
          <w:sz w:val="24"/>
        </w:rPr>
      </w:pPr>
    </w:p>
    <w:p w14:paraId="4D2C1078" w14:textId="77777777" w:rsidR="004714BA" w:rsidRDefault="004714BA" w:rsidP="004714BA">
      <w:pPr>
        <w:pStyle w:val="BodyText"/>
        <w:spacing w:before="24"/>
        <w:rPr>
          <w:rFonts w:ascii="Arial MT"/>
          <w:sz w:val="24"/>
        </w:rPr>
      </w:pPr>
    </w:p>
    <w:p w14:paraId="2E80A1C3" w14:textId="29B82E0C" w:rsidR="003F1801" w:rsidRDefault="003F1801" w:rsidP="004714BA">
      <w:pPr>
        <w:ind w:left="1058" w:right="1070"/>
        <w:jc w:val="center"/>
        <w:rPr>
          <w:rFonts w:ascii="Arial"/>
          <w:b/>
          <w:color w:val="252525"/>
          <w:spacing w:val="-4"/>
        </w:rPr>
      </w:pPr>
      <w:r>
        <w:rPr>
          <w:rFonts w:ascii="Arial"/>
          <w:b/>
          <w:color w:val="252525"/>
        </w:rPr>
        <w:t>April</w:t>
      </w:r>
      <w:r w:rsidR="004714BA">
        <w:rPr>
          <w:rFonts w:ascii="Arial"/>
          <w:b/>
          <w:color w:val="252525"/>
        </w:rPr>
        <w:t xml:space="preserve"> </w:t>
      </w:r>
      <w:r w:rsidR="004714BA">
        <w:rPr>
          <w:rFonts w:ascii="Arial"/>
          <w:b/>
          <w:color w:val="252525"/>
          <w:spacing w:val="-4"/>
        </w:rPr>
        <w:t>2026</w:t>
      </w:r>
    </w:p>
    <w:p w14:paraId="4B7F633B" w14:textId="30A63FAE" w:rsidR="00CA07E9" w:rsidRPr="003F1801" w:rsidRDefault="003F1801">
      <w:pPr>
        <w:rPr>
          <w:rFonts w:ascii="Arial"/>
          <w:b/>
          <w:color w:val="252525"/>
          <w:spacing w:val="-4"/>
        </w:rPr>
      </w:pPr>
      <w:r>
        <w:rPr>
          <w:rFonts w:ascii="Arial"/>
          <w:b/>
          <w:color w:val="252525"/>
          <w:spacing w:val="-4"/>
        </w:rPr>
        <w:br w:type="page"/>
      </w:r>
      <w:r w:rsidR="00CA07E9" w:rsidRPr="00CA07E9">
        <w:rPr>
          <w:rFonts w:ascii="Arial" w:hAnsi="Arial" w:cs="Arial"/>
          <w:b/>
          <w:bCs/>
          <w:sz w:val="22"/>
          <w:szCs w:val="22"/>
        </w:rPr>
        <w:lastRenderedPageBreak/>
        <w:t>System Title</w:t>
      </w:r>
    </w:p>
    <w:p w14:paraId="60A32866" w14:textId="494BFBE2" w:rsidR="00CA07E9" w:rsidRPr="00CA07E9" w:rsidRDefault="00CA07E9">
      <w:pPr>
        <w:rPr>
          <w:rFonts w:ascii="Arial" w:hAnsi="Arial" w:cs="Arial"/>
          <w:sz w:val="22"/>
          <w:szCs w:val="22"/>
        </w:rPr>
      </w:pPr>
      <w:r w:rsidRPr="00CA07E9">
        <w:rPr>
          <w:rFonts w:ascii="Arial" w:hAnsi="Arial" w:cs="Arial"/>
          <w:b/>
          <w:bCs/>
          <w:sz w:val="22"/>
          <w:szCs w:val="22"/>
        </w:rPr>
        <w:tab/>
      </w:r>
      <w:proofErr w:type="spellStart"/>
      <w:r w:rsidRPr="00CA07E9">
        <w:rPr>
          <w:rFonts w:ascii="Arial" w:hAnsi="Arial" w:cs="Arial"/>
          <w:sz w:val="22"/>
          <w:szCs w:val="22"/>
        </w:rPr>
        <w:t>ServiFinance</w:t>
      </w:r>
      <w:proofErr w:type="spellEnd"/>
      <w:r w:rsidRPr="00CA07E9">
        <w:rPr>
          <w:rFonts w:ascii="Arial" w:hAnsi="Arial" w:cs="Arial"/>
          <w:sz w:val="22"/>
          <w:szCs w:val="22"/>
        </w:rPr>
        <w:t>: A Multi-Tenant SaaS Service Management System with Embedded Micro-Lending</w:t>
      </w:r>
    </w:p>
    <w:p w14:paraId="53562837" w14:textId="77777777" w:rsidR="00CA07E9" w:rsidRDefault="00CA07E9">
      <w:pPr>
        <w:rPr>
          <w:rFonts w:ascii="Arial" w:hAnsi="Arial" w:cs="Arial"/>
          <w:b/>
          <w:bCs/>
          <w:sz w:val="22"/>
          <w:szCs w:val="22"/>
        </w:rPr>
      </w:pPr>
    </w:p>
    <w:p w14:paraId="29CC0D89" w14:textId="77777777" w:rsidR="00DB0B57" w:rsidRDefault="00CA07E9" w:rsidP="00DB0B57">
      <w:pPr>
        <w:rPr>
          <w:rFonts w:ascii="Arial" w:hAnsi="Arial" w:cs="Arial"/>
          <w:b/>
          <w:bCs/>
          <w:sz w:val="22"/>
          <w:szCs w:val="22"/>
        </w:rPr>
      </w:pPr>
      <w:r>
        <w:rPr>
          <w:rFonts w:ascii="Arial" w:hAnsi="Arial" w:cs="Arial"/>
          <w:b/>
          <w:bCs/>
          <w:sz w:val="22"/>
          <w:szCs w:val="22"/>
        </w:rPr>
        <w:t>Rationale</w:t>
      </w:r>
    </w:p>
    <w:p w14:paraId="74EC26ED" w14:textId="1B190470" w:rsidR="00CA07E9" w:rsidRDefault="00CA07E9" w:rsidP="00DB0B57">
      <w:pPr>
        <w:rPr>
          <w:rFonts w:ascii="Arial" w:hAnsi="Arial" w:cs="Arial"/>
          <w:b/>
          <w:bCs/>
          <w:sz w:val="22"/>
          <w:szCs w:val="22"/>
        </w:rPr>
      </w:pPr>
      <w:r>
        <w:rPr>
          <w:rFonts w:ascii="Arial" w:hAnsi="Arial" w:cs="Arial"/>
          <w:b/>
          <w:bCs/>
          <w:sz w:val="22"/>
          <w:szCs w:val="22"/>
        </w:rPr>
        <w:t>Purpose</w:t>
      </w:r>
    </w:p>
    <w:p w14:paraId="6C010D88" w14:textId="14301A3D" w:rsidR="00CA07E9" w:rsidRDefault="00CA07E9" w:rsidP="00CA07E9">
      <w:pPr>
        <w:jc w:val="both"/>
        <w:rPr>
          <w:rFonts w:ascii="Arial" w:hAnsi="Arial" w:cs="Arial"/>
          <w:sz w:val="22"/>
          <w:szCs w:val="22"/>
        </w:rPr>
      </w:pPr>
      <w:r>
        <w:rPr>
          <w:rFonts w:ascii="Arial" w:hAnsi="Arial" w:cs="Arial"/>
          <w:b/>
          <w:bCs/>
          <w:sz w:val="22"/>
          <w:szCs w:val="22"/>
        </w:rPr>
        <w:tab/>
      </w:r>
      <w:r w:rsidR="00DB0B57" w:rsidRPr="00DB0B57">
        <w:rPr>
          <w:rFonts w:ascii="Arial" w:hAnsi="Arial" w:cs="Arial"/>
          <w:sz w:val="22"/>
          <w:szCs w:val="22"/>
        </w:rPr>
        <w:t xml:space="preserve">The purpose of </w:t>
      </w:r>
      <w:proofErr w:type="spellStart"/>
      <w:r w:rsidR="00DB0B57" w:rsidRPr="00DB0B57">
        <w:rPr>
          <w:rFonts w:ascii="Arial" w:hAnsi="Arial" w:cs="Arial"/>
          <w:sz w:val="22"/>
          <w:szCs w:val="22"/>
        </w:rPr>
        <w:t>ServiFinance</w:t>
      </w:r>
      <w:proofErr w:type="spellEnd"/>
      <w:r w:rsidR="00DB0B57" w:rsidRPr="00DB0B57">
        <w:rPr>
          <w:rFonts w:ascii="Arial" w:hAnsi="Arial" w:cs="Arial"/>
          <w:sz w:val="22"/>
          <w:szCs w:val="22"/>
        </w:rPr>
        <w:t xml:space="preserve"> is to address the operational and financial challenges faced by Philippine MSMEs by integrating service management and micro-lending into a single secure system. Many businesses can deliver high-value services but struggle to provide structured and reliable credit options to customers. </w:t>
      </w:r>
      <w:proofErr w:type="spellStart"/>
      <w:r w:rsidR="00DB0B57" w:rsidRPr="00DB0B57">
        <w:rPr>
          <w:rFonts w:ascii="Arial" w:hAnsi="Arial" w:cs="Arial"/>
          <w:sz w:val="22"/>
          <w:szCs w:val="22"/>
        </w:rPr>
        <w:t>ServiFinance</w:t>
      </w:r>
      <w:proofErr w:type="spellEnd"/>
      <w:r w:rsidR="00DB0B57" w:rsidRPr="00DB0B57">
        <w:rPr>
          <w:rFonts w:ascii="Arial" w:hAnsi="Arial" w:cs="Arial"/>
          <w:sz w:val="22"/>
          <w:szCs w:val="22"/>
        </w:rPr>
        <w:t xml:space="preserve"> bridges this gap by enabling enterprises to manage services, customer accounts, and micro-loans within one platform, improving both operational efficiency and financial control.</w:t>
      </w:r>
    </w:p>
    <w:p w14:paraId="72A5BBFE" w14:textId="77777777" w:rsidR="00CA07E9" w:rsidRDefault="00CA07E9" w:rsidP="00CA07E9">
      <w:pPr>
        <w:jc w:val="both"/>
        <w:rPr>
          <w:rFonts w:ascii="Arial" w:hAnsi="Arial" w:cs="Arial"/>
          <w:sz w:val="22"/>
          <w:szCs w:val="22"/>
        </w:rPr>
      </w:pPr>
    </w:p>
    <w:p w14:paraId="16AA974A" w14:textId="77777777" w:rsidR="00DB0B57" w:rsidRDefault="00DB0B57" w:rsidP="00DB0B57">
      <w:pPr>
        <w:jc w:val="both"/>
        <w:rPr>
          <w:rFonts w:ascii="Arial" w:hAnsi="Arial" w:cs="Arial"/>
          <w:b/>
          <w:bCs/>
          <w:sz w:val="22"/>
          <w:szCs w:val="22"/>
        </w:rPr>
      </w:pPr>
      <w:r w:rsidRPr="00DB0B57">
        <w:rPr>
          <w:rFonts w:ascii="Arial" w:hAnsi="Arial" w:cs="Arial"/>
          <w:b/>
          <w:bCs/>
          <w:sz w:val="22"/>
          <w:szCs w:val="22"/>
        </w:rPr>
        <w:t>Identified Problems and Proposed Solutions</w:t>
      </w:r>
    </w:p>
    <w:p w14:paraId="5B9C89E5" w14:textId="297AB8D7" w:rsidR="00DB0B57" w:rsidRPr="00DB0B57" w:rsidRDefault="00DB0B57" w:rsidP="00DB0B57">
      <w:pPr>
        <w:jc w:val="both"/>
        <w:rPr>
          <w:rFonts w:ascii="Arial" w:hAnsi="Arial" w:cs="Arial"/>
          <w:b/>
          <w:bCs/>
          <w:sz w:val="22"/>
          <w:szCs w:val="22"/>
        </w:rPr>
      </w:pPr>
      <w:r>
        <w:rPr>
          <w:rFonts w:ascii="Arial" w:hAnsi="Arial" w:cs="Arial"/>
          <w:b/>
          <w:bCs/>
          <w:sz w:val="22"/>
          <w:szCs w:val="22"/>
        </w:rPr>
        <w:tab/>
      </w:r>
      <w:r w:rsidRPr="00DB0B57">
        <w:rPr>
          <w:rFonts w:ascii="Arial" w:hAnsi="Arial" w:cs="Arial"/>
          <w:b/>
          <w:bCs/>
          <w:sz w:val="22"/>
          <w:szCs w:val="22"/>
        </w:rPr>
        <w:t>Problem 1: Limited ability of MSMEs to offer structured credit</w:t>
      </w:r>
    </w:p>
    <w:p w14:paraId="6B17CB1D" w14:textId="77777777" w:rsidR="00DB0B57" w:rsidRDefault="00DB0B57" w:rsidP="00DB0B57">
      <w:pPr>
        <w:jc w:val="both"/>
        <w:rPr>
          <w:rFonts w:ascii="Arial" w:hAnsi="Arial" w:cs="Arial"/>
          <w:sz w:val="22"/>
          <w:szCs w:val="22"/>
        </w:rPr>
      </w:pPr>
      <w:r>
        <w:rPr>
          <w:rFonts w:ascii="Arial" w:hAnsi="Arial" w:cs="Arial"/>
          <w:sz w:val="22"/>
          <w:szCs w:val="22"/>
        </w:rPr>
        <w:tab/>
      </w:r>
      <w:r w:rsidRPr="00DB0B57">
        <w:rPr>
          <w:rFonts w:ascii="Arial" w:hAnsi="Arial" w:cs="Arial"/>
          <w:sz w:val="22"/>
          <w:szCs w:val="22"/>
        </w:rPr>
        <w:t>Many MSMEs lose potential sales because they cannot provide organized installment-based payment options for high-cost services. Access to financing remains a persistent constraint for small businesses, limiting growth opportunities and customer retention (IFC, 2017).</w:t>
      </w:r>
    </w:p>
    <w:p w14:paraId="2E392BDA" w14:textId="77777777" w:rsidR="00DB0B57" w:rsidRDefault="00DB0B57" w:rsidP="00DB0B57">
      <w:pPr>
        <w:jc w:val="both"/>
        <w:rPr>
          <w:rFonts w:ascii="Arial" w:hAnsi="Arial" w:cs="Arial"/>
          <w:sz w:val="22"/>
          <w:szCs w:val="22"/>
        </w:rPr>
      </w:pPr>
      <w:r>
        <w:rPr>
          <w:rFonts w:ascii="Arial" w:hAnsi="Arial" w:cs="Arial"/>
          <w:sz w:val="22"/>
          <w:szCs w:val="22"/>
        </w:rPr>
        <w:tab/>
      </w:r>
      <w:r w:rsidRPr="00DB0B57">
        <w:rPr>
          <w:rFonts w:ascii="Arial" w:hAnsi="Arial" w:cs="Arial"/>
          <w:b/>
          <w:bCs/>
          <w:sz w:val="22"/>
          <w:szCs w:val="22"/>
        </w:rPr>
        <w:t>Solution</w:t>
      </w:r>
      <w:r>
        <w:rPr>
          <w:rFonts w:ascii="Arial" w:hAnsi="Arial" w:cs="Arial"/>
          <w:b/>
          <w:bCs/>
          <w:sz w:val="22"/>
          <w:szCs w:val="22"/>
        </w:rPr>
        <w:t>:</w:t>
      </w:r>
    </w:p>
    <w:p w14:paraId="4B6F5046" w14:textId="625416EC" w:rsidR="00DB0B57" w:rsidRPr="00DB0B57" w:rsidRDefault="00DB0B57" w:rsidP="00DB0B57">
      <w:pPr>
        <w:jc w:val="both"/>
        <w:rPr>
          <w:rFonts w:ascii="Arial" w:hAnsi="Arial" w:cs="Arial"/>
          <w:sz w:val="22"/>
          <w:szCs w:val="22"/>
        </w:rPr>
      </w:pPr>
      <w:r>
        <w:rPr>
          <w:rFonts w:ascii="Arial" w:hAnsi="Arial" w:cs="Arial"/>
          <w:sz w:val="22"/>
          <w:szCs w:val="22"/>
        </w:rPr>
        <w:tab/>
      </w:r>
      <w:proofErr w:type="spellStart"/>
      <w:r w:rsidRPr="00DB0B57">
        <w:rPr>
          <w:rFonts w:ascii="Arial" w:hAnsi="Arial" w:cs="Arial"/>
          <w:sz w:val="22"/>
          <w:szCs w:val="22"/>
        </w:rPr>
        <w:t>ServiFinance</w:t>
      </w:r>
      <w:proofErr w:type="spellEnd"/>
      <w:r w:rsidRPr="00DB0B57">
        <w:rPr>
          <w:rFonts w:ascii="Arial" w:hAnsi="Arial" w:cs="Arial"/>
          <w:sz w:val="22"/>
          <w:szCs w:val="22"/>
        </w:rPr>
        <w:t xml:space="preserve"> provides an embedded micro-lending module that allows businesses to convert completed services into manageable credit transactions. This helps MSMEs offer flexible payment arrangements while maintaining proper monitoring of loans, due dates, and balances.</w:t>
      </w:r>
    </w:p>
    <w:p w14:paraId="086761CD" w14:textId="77777777" w:rsidR="00DB0B57" w:rsidRPr="00DB0B57" w:rsidRDefault="00DB0B57" w:rsidP="00DB0B57">
      <w:pPr>
        <w:jc w:val="both"/>
        <w:rPr>
          <w:rFonts w:ascii="Arial" w:hAnsi="Arial" w:cs="Arial"/>
          <w:b/>
          <w:bCs/>
          <w:sz w:val="22"/>
          <w:szCs w:val="22"/>
        </w:rPr>
      </w:pPr>
    </w:p>
    <w:p w14:paraId="011FBD2F" w14:textId="4F003593" w:rsidR="00DB0B57" w:rsidRPr="00DB0B57" w:rsidRDefault="00DB0B57" w:rsidP="00DB0B57">
      <w:pPr>
        <w:jc w:val="both"/>
        <w:rPr>
          <w:rFonts w:ascii="Arial" w:hAnsi="Arial" w:cs="Arial"/>
          <w:b/>
          <w:bCs/>
          <w:sz w:val="22"/>
          <w:szCs w:val="22"/>
        </w:rPr>
      </w:pPr>
      <w:r>
        <w:rPr>
          <w:rFonts w:ascii="Arial" w:hAnsi="Arial" w:cs="Arial"/>
          <w:b/>
          <w:bCs/>
          <w:sz w:val="22"/>
          <w:szCs w:val="22"/>
        </w:rPr>
        <w:tab/>
      </w:r>
      <w:r w:rsidRPr="00DB0B57">
        <w:rPr>
          <w:rFonts w:ascii="Arial" w:hAnsi="Arial" w:cs="Arial"/>
          <w:b/>
          <w:bCs/>
          <w:sz w:val="22"/>
          <w:szCs w:val="22"/>
        </w:rPr>
        <w:t>Problem 2: Manual financial recording leads to transaction errors</w:t>
      </w:r>
    </w:p>
    <w:p w14:paraId="31FC4926" w14:textId="17321F79" w:rsidR="00DB0B57" w:rsidRPr="00DB0B57" w:rsidRDefault="00DB0B57" w:rsidP="00DB0B57">
      <w:pPr>
        <w:jc w:val="both"/>
        <w:rPr>
          <w:rFonts w:ascii="Arial" w:hAnsi="Arial" w:cs="Arial"/>
          <w:sz w:val="22"/>
          <w:szCs w:val="22"/>
        </w:rPr>
      </w:pPr>
      <w:r>
        <w:rPr>
          <w:rFonts w:ascii="Arial" w:hAnsi="Arial" w:cs="Arial"/>
          <w:sz w:val="22"/>
          <w:szCs w:val="22"/>
        </w:rPr>
        <w:tab/>
      </w:r>
      <w:r w:rsidRPr="00DB0B57">
        <w:rPr>
          <w:rFonts w:ascii="Arial" w:hAnsi="Arial" w:cs="Arial"/>
          <w:sz w:val="22"/>
          <w:szCs w:val="22"/>
        </w:rPr>
        <w:t>Businesses that rely on handwritten ledgers or spreadsheets for loan tracking are exposed to errors in interest computation, balance updates, and payment reconciliation. Spreadsheet-based processes are especially prone to hidden formula and encoding mistakes, which can undermine financial accuracy (Panko, 2016).</w:t>
      </w:r>
    </w:p>
    <w:p w14:paraId="368F028F" w14:textId="5C39244A" w:rsidR="00DB0B57" w:rsidRPr="00DB0B57" w:rsidRDefault="00DB0B57" w:rsidP="00DB0B57">
      <w:pPr>
        <w:jc w:val="both"/>
        <w:rPr>
          <w:rFonts w:ascii="Arial" w:hAnsi="Arial" w:cs="Arial"/>
          <w:b/>
          <w:bCs/>
          <w:sz w:val="22"/>
          <w:szCs w:val="22"/>
        </w:rPr>
      </w:pPr>
      <w:r>
        <w:rPr>
          <w:rFonts w:ascii="Arial" w:hAnsi="Arial" w:cs="Arial"/>
          <w:b/>
          <w:bCs/>
          <w:sz w:val="22"/>
          <w:szCs w:val="22"/>
        </w:rPr>
        <w:tab/>
      </w:r>
      <w:r w:rsidRPr="00DB0B57">
        <w:rPr>
          <w:rFonts w:ascii="Arial" w:hAnsi="Arial" w:cs="Arial"/>
          <w:b/>
          <w:bCs/>
          <w:sz w:val="22"/>
          <w:szCs w:val="22"/>
        </w:rPr>
        <w:t>Solution:</w:t>
      </w:r>
    </w:p>
    <w:p w14:paraId="2761F3EE" w14:textId="77777777" w:rsidR="00DB0B57" w:rsidRPr="00DB0B57" w:rsidRDefault="00DB0B57" w:rsidP="00DB0B57">
      <w:pPr>
        <w:jc w:val="both"/>
        <w:rPr>
          <w:rFonts w:ascii="Arial" w:hAnsi="Arial" w:cs="Arial"/>
          <w:sz w:val="22"/>
          <w:szCs w:val="22"/>
        </w:rPr>
      </w:pPr>
      <w:r w:rsidRPr="00DB0B57">
        <w:rPr>
          <w:rFonts w:ascii="Arial" w:hAnsi="Arial" w:cs="Arial"/>
          <w:sz w:val="22"/>
          <w:szCs w:val="22"/>
        </w:rPr>
        <w:t>The desktop terminal automates loan computation, amortization schedules, interest calculations, and payment posting. This reduces human error and ensures more accurate, consistent, and traceable financial records.</w:t>
      </w:r>
    </w:p>
    <w:p w14:paraId="73D7ABFA" w14:textId="77777777" w:rsidR="00DB0B57" w:rsidRPr="00DB0B57" w:rsidRDefault="00DB0B57" w:rsidP="00DB0B57">
      <w:pPr>
        <w:jc w:val="both"/>
        <w:rPr>
          <w:rFonts w:ascii="Arial" w:hAnsi="Arial" w:cs="Arial"/>
          <w:b/>
          <w:bCs/>
          <w:sz w:val="22"/>
          <w:szCs w:val="22"/>
        </w:rPr>
      </w:pPr>
    </w:p>
    <w:p w14:paraId="3A02AF35" w14:textId="77777777" w:rsidR="00DB0B57" w:rsidRDefault="00DB0B57" w:rsidP="00DB0B57">
      <w:pPr>
        <w:jc w:val="both"/>
        <w:rPr>
          <w:rFonts w:ascii="Arial" w:hAnsi="Arial" w:cs="Arial"/>
          <w:b/>
          <w:bCs/>
          <w:sz w:val="22"/>
          <w:szCs w:val="22"/>
        </w:rPr>
      </w:pPr>
      <w:r>
        <w:rPr>
          <w:rFonts w:ascii="Arial" w:hAnsi="Arial" w:cs="Arial"/>
          <w:b/>
          <w:bCs/>
          <w:sz w:val="22"/>
          <w:szCs w:val="22"/>
        </w:rPr>
        <w:tab/>
      </w:r>
      <w:r w:rsidRPr="00DB0B57">
        <w:rPr>
          <w:rFonts w:ascii="Arial" w:hAnsi="Arial" w:cs="Arial"/>
          <w:b/>
          <w:bCs/>
          <w:sz w:val="22"/>
          <w:szCs w:val="22"/>
        </w:rPr>
        <w:t>Problem 3: Disconnected records and weak security create data risks</w:t>
      </w:r>
    </w:p>
    <w:p w14:paraId="7A146758" w14:textId="1E3165DC" w:rsidR="00DB0B57" w:rsidRPr="00DB0B57" w:rsidRDefault="00DB0B57" w:rsidP="00DB0B57">
      <w:pPr>
        <w:jc w:val="both"/>
        <w:rPr>
          <w:rFonts w:ascii="Arial" w:hAnsi="Arial" w:cs="Arial"/>
          <w:sz w:val="22"/>
          <w:szCs w:val="22"/>
        </w:rPr>
      </w:pPr>
      <w:r>
        <w:rPr>
          <w:rFonts w:ascii="Arial" w:hAnsi="Arial" w:cs="Arial"/>
          <w:b/>
          <w:bCs/>
          <w:sz w:val="22"/>
          <w:szCs w:val="22"/>
        </w:rPr>
        <w:lastRenderedPageBreak/>
        <w:tab/>
      </w:r>
      <w:r w:rsidRPr="00DB0B57">
        <w:rPr>
          <w:rFonts w:ascii="Arial" w:hAnsi="Arial" w:cs="Arial"/>
          <w:sz w:val="22"/>
          <w:szCs w:val="22"/>
        </w:rPr>
        <w:t>When service records, customer information, and payment histories are stored separately, businesses face poor data visibility, delayed reconciliation, and reduced decision quality. At the same time, sensitive financial information requires controlled access and proper monitoring to reduce misuse and unauthorized handling (Caserio &amp; Trucco, 2020; NIST, 2024).</w:t>
      </w:r>
    </w:p>
    <w:p w14:paraId="7BCD9B51" w14:textId="4B7F2C24" w:rsidR="00DB0B57" w:rsidRPr="00DB0B57" w:rsidRDefault="00DB0B57" w:rsidP="00DB0B57">
      <w:pPr>
        <w:jc w:val="both"/>
        <w:rPr>
          <w:rFonts w:ascii="Arial" w:hAnsi="Arial" w:cs="Arial"/>
          <w:b/>
          <w:bCs/>
          <w:sz w:val="22"/>
          <w:szCs w:val="22"/>
        </w:rPr>
      </w:pPr>
      <w:r>
        <w:rPr>
          <w:rFonts w:ascii="Arial" w:hAnsi="Arial" w:cs="Arial"/>
          <w:b/>
          <w:bCs/>
          <w:sz w:val="22"/>
          <w:szCs w:val="22"/>
        </w:rPr>
        <w:tab/>
      </w:r>
      <w:r w:rsidRPr="00DB0B57">
        <w:rPr>
          <w:rFonts w:ascii="Arial" w:hAnsi="Arial" w:cs="Arial"/>
          <w:b/>
          <w:bCs/>
          <w:sz w:val="22"/>
          <w:szCs w:val="22"/>
        </w:rPr>
        <w:t>Solution:</w:t>
      </w:r>
    </w:p>
    <w:p w14:paraId="3B771F08" w14:textId="1456F8FB" w:rsidR="00AE72D9" w:rsidRDefault="00DB0B57" w:rsidP="00AE72D9">
      <w:pPr>
        <w:jc w:val="both"/>
        <w:rPr>
          <w:rFonts w:ascii="Arial" w:hAnsi="Arial" w:cs="Arial"/>
          <w:sz w:val="22"/>
          <w:szCs w:val="22"/>
        </w:rPr>
      </w:pPr>
      <w:r>
        <w:rPr>
          <w:rFonts w:ascii="Arial" w:hAnsi="Arial" w:cs="Arial"/>
          <w:b/>
          <w:bCs/>
          <w:sz w:val="22"/>
          <w:szCs w:val="22"/>
        </w:rPr>
        <w:tab/>
      </w:r>
      <w:proofErr w:type="spellStart"/>
      <w:r w:rsidR="00BC0AC1" w:rsidRPr="00BC0AC1">
        <w:rPr>
          <w:rFonts w:ascii="Arial" w:hAnsi="Arial" w:cs="Arial"/>
          <w:sz w:val="22"/>
          <w:szCs w:val="22"/>
        </w:rPr>
        <w:t>ServiFinance</w:t>
      </w:r>
      <w:proofErr w:type="spellEnd"/>
      <w:r w:rsidR="00BC0AC1" w:rsidRPr="00BC0AC1">
        <w:rPr>
          <w:rFonts w:ascii="Arial" w:hAnsi="Arial" w:cs="Arial"/>
          <w:sz w:val="22"/>
          <w:szCs w:val="22"/>
        </w:rPr>
        <w:t xml:space="preserve"> centralizes service, customer, and lending data in one secure environment with role-based access and audit logging. This improves data integrity, strengthens accountability, and supports safer management of sensitive financial transactions.</w:t>
      </w:r>
    </w:p>
    <w:p w14:paraId="5E4159CF" w14:textId="77777777" w:rsidR="00694DE3" w:rsidRDefault="00694DE3" w:rsidP="00AE72D9">
      <w:pPr>
        <w:jc w:val="both"/>
        <w:rPr>
          <w:rFonts w:ascii="Arial" w:hAnsi="Arial" w:cs="Arial"/>
          <w:sz w:val="22"/>
          <w:szCs w:val="22"/>
        </w:rPr>
      </w:pPr>
    </w:p>
    <w:p w14:paraId="2B147F88" w14:textId="77777777" w:rsidR="00AE72D9" w:rsidRDefault="00CA07E9" w:rsidP="00AE72D9">
      <w:pPr>
        <w:jc w:val="both"/>
        <w:rPr>
          <w:rFonts w:ascii="Arial" w:hAnsi="Arial" w:cs="Arial"/>
          <w:sz w:val="22"/>
          <w:szCs w:val="22"/>
        </w:rPr>
      </w:pPr>
      <w:r>
        <w:rPr>
          <w:rFonts w:ascii="Arial" w:hAnsi="Arial" w:cs="Arial"/>
          <w:b/>
          <w:bCs/>
          <w:sz w:val="22"/>
          <w:szCs w:val="22"/>
        </w:rPr>
        <w:t>Importance</w:t>
      </w:r>
    </w:p>
    <w:p w14:paraId="0DD21CFA" w14:textId="451AAABA" w:rsidR="00CA07E9" w:rsidRDefault="00CA07E9" w:rsidP="00AE72D9">
      <w:pPr>
        <w:jc w:val="both"/>
        <w:rPr>
          <w:rFonts w:ascii="Arial" w:hAnsi="Arial" w:cs="Arial"/>
          <w:sz w:val="22"/>
          <w:szCs w:val="22"/>
        </w:rPr>
      </w:pPr>
      <w:r>
        <w:rPr>
          <w:rFonts w:ascii="Arial" w:hAnsi="Arial" w:cs="Arial"/>
          <w:b/>
          <w:bCs/>
          <w:sz w:val="22"/>
          <w:szCs w:val="22"/>
        </w:rPr>
        <w:tab/>
      </w:r>
      <w:proofErr w:type="spellStart"/>
      <w:r w:rsidR="00DB0B57" w:rsidRPr="00DB0B57">
        <w:rPr>
          <w:rFonts w:ascii="Arial" w:hAnsi="Arial" w:cs="Arial"/>
          <w:sz w:val="22"/>
          <w:szCs w:val="22"/>
        </w:rPr>
        <w:t>ServiFinance</w:t>
      </w:r>
      <w:proofErr w:type="spellEnd"/>
      <w:r w:rsidR="00DB0B57" w:rsidRPr="00DB0B57">
        <w:rPr>
          <w:rFonts w:ascii="Arial" w:hAnsi="Arial" w:cs="Arial"/>
          <w:sz w:val="22"/>
          <w:szCs w:val="22"/>
        </w:rPr>
        <w:t xml:space="preserve"> is important because it enables MSMEs to improve customer service, increase revenue opportunities, and maintain stronger control over financial operations. By combining service management and micro-lending in one desktop-based system, it supports more reliable decision-making, more secure data handling, and more sustainable business growth.</w:t>
      </w:r>
    </w:p>
    <w:p w14:paraId="628D4939" w14:textId="1A0E71B6" w:rsidR="00CA07E9" w:rsidRDefault="00CA07E9">
      <w:pPr>
        <w:rPr>
          <w:rFonts w:ascii="Arial" w:hAnsi="Arial" w:cs="Arial"/>
          <w:sz w:val="22"/>
          <w:szCs w:val="22"/>
        </w:rPr>
      </w:pPr>
    </w:p>
    <w:p w14:paraId="7B2469B8" w14:textId="77777777" w:rsidR="000F0C50" w:rsidRPr="000F0C50" w:rsidRDefault="000F0C50" w:rsidP="000F0C50">
      <w:pPr>
        <w:rPr>
          <w:rFonts w:ascii="Arial" w:hAnsi="Arial" w:cs="Arial"/>
          <w:sz w:val="22"/>
          <w:szCs w:val="22"/>
        </w:rPr>
      </w:pPr>
      <w:r w:rsidRPr="000F0C50">
        <w:rPr>
          <w:rFonts w:ascii="Arial" w:hAnsi="Arial" w:cs="Arial"/>
          <w:b/>
          <w:bCs/>
          <w:sz w:val="22"/>
          <w:szCs w:val="22"/>
        </w:rPr>
        <w:t>Conclusion</w:t>
      </w:r>
    </w:p>
    <w:p w14:paraId="3EF8B7BF" w14:textId="44A9599D" w:rsidR="000F0C50" w:rsidRDefault="000F0C50" w:rsidP="000F0C50">
      <w:pPr>
        <w:jc w:val="both"/>
        <w:rPr>
          <w:rFonts w:ascii="Arial" w:hAnsi="Arial" w:cs="Arial"/>
          <w:sz w:val="22"/>
          <w:szCs w:val="22"/>
        </w:rPr>
      </w:pPr>
      <w:r>
        <w:rPr>
          <w:rFonts w:ascii="Arial" w:hAnsi="Arial" w:cs="Arial"/>
          <w:sz w:val="22"/>
          <w:szCs w:val="22"/>
        </w:rPr>
        <w:tab/>
      </w:r>
      <w:r w:rsidRPr="000F0C50">
        <w:rPr>
          <w:rFonts w:ascii="Arial" w:hAnsi="Arial" w:cs="Arial"/>
          <w:sz w:val="22"/>
          <w:szCs w:val="22"/>
        </w:rPr>
        <w:t>In conclusion, the desktop-side Micro-lending System addresses three major business problems encountered by MSMEs: the limited ability to offer structured credit, the high risk of transaction errors caused by manual recording, and the security and data risks created by disconnected records. To respond to these issues, the proposed system integrates micro-lending functions with service management, automates financial computations such as amortization and payment tracking, and centralizes sensitive records in a controlled desktop environment with improved access management and auditability. These recommendations strengthen operational efficiency, improve financial accuracy, reduce risk, and support better decision-making. Overall, the proposed solution contributes to business improvement by enabling MSMEs to serve customers more effectively while maintaining secure, reliable, and well-organized financial operations.</w:t>
      </w:r>
    </w:p>
    <w:p w14:paraId="33CFC9DE" w14:textId="77777777" w:rsidR="000F0C50" w:rsidRDefault="000F0C50" w:rsidP="000F0C50">
      <w:pPr>
        <w:jc w:val="both"/>
        <w:rPr>
          <w:rFonts w:ascii="Arial" w:hAnsi="Arial" w:cs="Arial"/>
          <w:sz w:val="22"/>
          <w:szCs w:val="22"/>
        </w:rPr>
      </w:pPr>
    </w:p>
    <w:p w14:paraId="7CB53C56" w14:textId="77777777" w:rsidR="000F0C50" w:rsidRPr="000F0C50" w:rsidRDefault="000F0C50" w:rsidP="000F0C50">
      <w:pPr>
        <w:jc w:val="both"/>
        <w:rPr>
          <w:rFonts w:ascii="Arial" w:hAnsi="Arial" w:cs="Arial"/>
          <w:sz w:val="22"/>
          <w:szCs w:val="22"/>
        </w:rPr>
      </w:pPr>
      <w:r w:rsidRPr="000F0C50">
        <w:rPr>
          <w:rFonts w:ascii="Arial" w:hAnsi="Arial" w:cs="Arial"/>
          <w:b/>
          <w:bCs/>
          <w:sz w:val="22"/>
          <w:szCs w:val="22"/>
        </w:rPr>
        <w:t>Methodology</w:t>
      </w:r>
    </w:p>
    <w:p w14:paraId="4FD8AE3F" w14:textId="15E401FF" w:rsidR="000F0C50" w:rsidRPr="000F0C50" w:rsidRDefault="000F0C50" w:rsidP="000F0C50">
      <w:pPr>
        <w:jc w:val="both"/>
        <w:rPr>
          <w:rFonts w:ascii="Arial" w:hAnsi="Arial" w:cs="Arial"/>
          <w:sz w:val="22"/>
          <w:szCs w:val="22"/>
        </w:rPr>
      </w:pPr>
      <w:r>
        <w:rPr>
          <w:rFonts w:ascii="Arial" w:hAnsi="Arial" w:cs="Arial"/>
          <w:sz w:val="22"/>
          <w:szCs w:val="22"/>
        </w:rPr>
        <w:tab/>
      </w:r>
      <w:r w:rsidRPr="000F0C50">
        <w:rPr>
          <w:rFonts w:ascii="Arial" w:hAnsi="Arial" w:cs="Arial"/>
          <w:sz w:val="22"/>
          <w:szCs w:val="22"/>
        </w:rPr>
        <w:t>This business case used a descriptive and problem-solution approach in analyzing the needs of MSMEs and in developing the proposed desktop-based Micro-lending System. The study began by identifying common operational and financial difficulties experienced by small businesses, particularly in handling installment payments, monitoring receivables, and maintaining accurate service and payment records. Relevant academic literature, institutional reports, and security guidance were reviewed to establish the practical and theoretical basis of the identified problems.</w:t>
      </w:r>
    </w:p>
    <w:p w14:paraId="46A17C3B" w14:textId="672D6070" w:rsidR="000F0C50" w:rsidRPr="000F0C50" w:rsidRDefault="000F0C50" w:rsidP="000F0C50">
      <w:pPr>
        <w:jc w:val="both"/>
        <w:rPr>
          <w:rFonts w:ascii="Arial" w:hAnsi="Arial" w:cs="Arial"/>
          <w:sz w:val="22"/>
          <w:szCs w:val="22"/>
        </w:rPr>
      </w:pPr>
      <w:r>
        <w:rPr>
          <w:rFonts w:ascii="Arial" w:hAnsi="Arial" w:cs="Arial"/>
          <w:sz w:val="22"/>
          <w:szCs w:val="22"/>
        </w:rPr>
        <w:tab/>
      </w:r>
      <w:r w:rsidRPr="000F0C50">
        <w:rPr>
          <w:rFonts w:ascii="Arial" w:hAnsi="Arial" w:cs="Arial"/>
          <w:sz w:val="22"/>
          <w:szCs w:val="22"/>
        </w:rPr>
        <w:t xml:space="preserve">The analysis focused on how current manual or disconnected processes affect transaction accuracy, information quality, and data security. From these findings, corresponding system-based solutions were formulated using a business process improvement perspective. The proposed features of the desktop system, such as automated </w:t>
      </w:r>
      <w:r w:rsidRPr="000F0C50">
        <w:rPr>
          <w:rFonts w:ascii="Arial" w:hAnsi="Arial" w:cs="Arial"/>
          <w:sz w:val="22"/>
          <w:szCs w:val="22"/>
        </w:rPr>
        <w:lastRenderedPageBreak/>
        <w:t>loan computation, centralized record management, and controlled user access, were then aligned with the objective of improving operational efficiency and financial reliability. This methodology ensured that the recommendations were not only technically appropriate but also responsive to the actual business challenges faced by MSMEs.</w:t>
      </w:r>
    </w:p>
    <w:p w14:paraId="5ED8AFD9" w14:textId="77777777" w:rsidR="000F0C50" w:rsidRDefault="000F0C50" w:rsidP="000F0C50">
      <w:pPr>
        <w:jc w:val="both"/>
        <w:rPr>
          <w:rFonts w:ascii="Arial" w:hAnsi="Arial" w:cs="Arial"/>
          <w:sz w:val="22"/>
          <w:szCs w:val="22"/>
        </w:rPr>
      </w:pPr>
    </w:p>
    <w:p w14:paraId="5CECB203" w14:textId="77777777" w:rsidR="000F0C50" w:rsidRPr="000F0C50" w:rsidRDefault="000F0C50" w:rsidP="000F0C50">
      <w:pPr>
        <w:jc w:val="both"/>
        <w:rPr>
          <w:rFonts w:ascii="Arial" w:hAnsi="Arial" w:cs="Arial"/>
          <w:sz w:val="22"/>
          <w:szCs w:val="22"/>
        </w:rPr>
      </w:pPr>
      <w:r w:rsidRPr="000F0C50">
        <w:rPr>
          <w:rFonts w:ascii="Arial" w:hAnsi="Arial" w:cs="Arial"/>
          <w:b/>
          <w:bCs/>
          <w:sz w:val="22"/>
          <w:szCs w:val="22"/>
        </w:rPr>
        <w:t>Tools</w:t>
      </w:r>
    </w:p>
    <w:p w14:paraId="1E607A36" w14:textId="77777777" w:rsidR="000F0C50" w:rsidRDefault="000F0C50" w:rsidP="000F0C50">
      <w:pPr>
        <w:rPr>
          <w:rFonts w:ascii="Arial" w:hAnsi="Arial" w:cs="Arial"/>
          <w:sz w:val="22"/>
          <w:szCs w:val="22"/>
        </w:rPr>
      </w:pPr>
      <w:r w:rsidRPr="000F0C50">
        <w:rPr>
          <w:rFonts w:ascii="Arial" w:hAnsi="Arial" w:cs="Arial"/>
          <w:b/>
          <w:bCs/>
          <w:sz w:val="22"/>
          <w:szCs w:val="22"/>
        </w:rPr>
        <w:t>1. Microsoft Word</w:t>
      </w:r>
      <w:r>
        <w:rPr>
          <w:rFonts w:ascii="Arial" w:hAnsi="Arial" w:cs="Arial"/>
          <w:sz w:val="22"/>
          <w:szCs w:val="22"/>
        </w:rPr>
        <w:t xml:space="preserve"> - </w:t>
      </w:r>
      <w:r w:rsidRPr="000F0C50">
        <w:rPr>
          <w:rFonts w:ascii="Arial" w:hAnsi="Arial" w:cs="Arial"/>
          <w:sz w:val="22"/>
          <w:szCs w:val="22"/>
        </w:rPr>
        <w:t>Used to write, organize, and format the business case, proposal content, and supporting documentation.</w:t>
      </w:r>
    </w:p>
    <w:p w14:paraId="6F351019" w14:textId="4B5CF9A4" w:rsidR="000F0C50" w:rsidRPr="000F0C50" w:rsidRDefault="000F0C50" w:rsidP="000F0C50">
      <w:pPr>
        <w:rPr>
          <w:rFonts w:ascii="Arial" w:hAnsi="Arial" w:cs="Arial"/>
          <w:sz w:val="22"/>
          <w:szCs w:val="22"/>
        </w:rPr>
      </w:pPr>
      <w:r w:rsidRPr="000F0C50">
        <w:rPr>
          <w:rFonts w:ascii="Arial" w:hAnsi="Arial" w:cs="Arial"/>
          <w:b/>
          <w:bCs/>
          <w:sz w:val="22"/>
          <w:szCs w:val="22"/>
        </w:rPr>
        <w:t>2. Visual Studio Code (VS Code)</w:t>
      </w:r>
      <w:r>
        <w:rPr>
          <w:rFonts w:ascii="Arial" w:hAnsi="Arial" w:cs="Arial"/>
          <w:sz w:val="22"/>
          <w:szCs w:val="22"/>
        </w:rPr>
        <w:t xml:space="preserve"> - </w:t>
      </w:r>
      <w:r w:rsidRPr="000F0C50">
        <w:rPr>
          <w:rFonts w:ascii="Arial" w:hAnsi="Arial" w:cs="Arial"/>
          <w:sz w:val="22"/>
          <w:szCs w:val="22"/>
        </w:rPr>
        <w:t>Used for editing source code, reviewing project files, managing frontend and backend components, and maintaining documentation during development.</w:t>
      </w:r>
    </w:p>
    <w:p w14:paraId="61B79248" w14:textId="057C286E" w:rsidR="000F0C50" w:rsidRPr="000F0C50" w:rsidRDefault="000F0C50" w:rsidP="000F0C50">
      <w:pPr>
        <w:rPr>
          <w:rFonts w:ascii="Arial" w:hAnsi="Arial" w:cs="Arial"/>
          <w:sz w:val="22"/>
          <w:szCs w:val="22"/>
        </w:rPr>
      </w:pPr>
      <w:r w:rsidRPr="000F0C50">
        <w:rPr>
          <w:rFonts w:ascii="Arial" w:hAnsi="Arial" w:cs="Arial"/>
          <w:b/>
          <w:bCs/>
          <w:sz w:val="22"/>
          <w:szCs w:val="22"/>
        </w:rPr>
        <w:t>3. Visual Studio 2022/2026</w:t>
      </w:r>
      <w:r>
        <w:rPr>
          <w:rFonts w:ascii="Arial" w:hAnsi="Arial" w:cs="Arial"/>
          <w:sz w:val="22"/>
          <w:szCs w:val="22"/>
        </w:rPr>
        <w:t xml:space="preserve"> - </w:t>
      </w:r>
      <w:r w:rsidRPr="000F0C50">
        <w:rPr>
          <w:rFonts w:ascii="Arial" w:hAnsi="Arial" w:cs="Arial"/>
          <w:sz w:val="22"/>
          <w:szCs w:val="22"/>
        </w:rPr>
        <w:t xml:space="preserve">Used as the primary integrated development environment for building, debugging, and running the .NET-based components of the </w:t>
      </w:r>
      <w:proofErr w:type="spellStart"/>
      <w:r w:rsidRPr="000F0C50">
        <w:rPr>
          <w:rFonts w:ascii="Arial" w:hAnsi="Arial" w:cs="Arial"/>
          <w:sz w:val="22"/>
          <w:szCs w:val="22"/>
        </w:rPr>
        <w:t>ServiFinance</w:t>
      </w:r>
      <w:proofErr w:type="spellEnd"/>
      <w:r w:rsidRPr="000F0C50">
        <w:rPr>
          <w:rFonts w:ascii="Arial" w:hAnsi="Arial" w:cs="Arial"/>
          <w:sz w:val="22"/>
          <w:szCs w:val="22"/>
        </w:rPr>
        <w:t xml:space="preserve"> system, including the backend API and desktop application.</w:t>
      </w:r>
    </w:p>
    <w:p w14:paraId="5A73B018" w14:textId="68832784" w:rsidR="000F0C50" w:rsidRPr="000F0C50" w:rsidRDefault="000F0C50" w:rsidP="000F0C50">
      <w:pPr>
        <w:rPr>
          <w:rFonts w:ascii="Arial" w:hAnsi="Arial" w:cs="Arial"/>
          <w:sz w:val="22"/>
          <w:szCs w:val="22"/>
        </w:rPr>
      </w:pPr>
      <w:r w:rsidRPr="000F0C50">
        <w:rPr>
          <w:rFonts w:ascii="Arial" w:hAnsi="Arial" w:cs="Arial"/>
          <w:b/>
          <w:bCs/>
          <w:sz w:val="22"/>
          <w:szCs w:val="22"/>
        </w:rPr>
        <w:t>4. .NET and ASP.NET Core</w:t>
      </w:r>
      <w:r>
        <w:rPr>
          <w:rFonts w:ascii="Arial" w:hAnsi="Arial" w:cs="Arial"/>
          <w:sz w:val="22"/>
          <w:szCs w:val="22"/>
        </w:rPr>
        <w:t xml:space="preserve"> - </w:t>
      </w:r>
      <w:r w:rsidRPr="000F0C50">
        <w:rPr>
          <w:rFonts w:ascii="Arial" w:hAnsi="Arial" w:cs="Arial"/>
          <w:sz w:val="22"/>
          <w:szCs w:val="22"/>
        </w:rPr>
        <w:t>Used to develop the core backend services of the system, including authentication, multi-tenant processing, API endpoints, business logic, and system integration.</w:t>
      </w:r>
    </w:p>
    <w:p w14:paraId="23375DB1" w14:textId="7AB9D99B" w:rsidR="000F0C50" w:rsidRPr="000F0C50" w:rsidRDefault="000F0C50" w:rsidP="000F0C50">
      <w:pPr>
        <w:rPr>
          <w:rFonts w:ascii="Arial" w:hAnsi="Arial" w:cs="Arial"/>
          <w:sz w:val="22"/>
          <w:szCs w:val="22"/>
        </w:rPr>
      </w:pPr>
      <w:r w:rsidRPr="000F0C50">
        <w:rPr>
          <w:rFonts w:ascii="Arial" w:hAnsi="Arial" w:cs="Arial"/>
          <w:b/>
          <w:bCs/>
          <w:sz w:val="22"/>
          <w:szCs w:val="22"/>
        </w:rPr>
        <w:t>5. .NET MAUI Hybrid</w:t>
      </w:r>
      <w:r>
        <w:rPr>
          <w:rFonts w:ascii="Arial" w:hAnsi="Arial" w:cs="Arial"/>
          <w:sz w:val="22"/>
          <w:szCs w:val="22"/>
        </w:rPr>
        <w:t xml:space="preserve"> - </w:t>
      </w:r>
      <w:r w:rsidRPr="000F0C50">
        <w:rPr>
          <w:rFonts w:ascii="Arial" w:hAnsi="Arial" w:cs="Arial"/>
          <w:sz w:val="22"/>
          <w:szCs w:val="22"/>
        </w:rPr>
        <w:t>Used for the desktop-side implementation of the Micro-lending System, allowing the project to combine desktop application capabilities with a shared web-based user interface.</w:t>
      </w:r>
    </w:p>
    <w:p w14:paraId="1E120208" w14:textId="0ADF8BCA" w:rsidR="000F0C50" w:rsidRPr="000F0C50" w:rsidRDefault="000F0C50" w:rsidP="000F0C50">
      <w:pPr>
        <w:rPr>
          <w:rFonts w:ascii="Arial" w:hAnsi="Arial" w:cs="Arial"/>
          <w:sz w:val="22"/>
          <w:szCs w:val="22"/>
        </w:rPr>
      </w:pPr>
      <w:r w:rsidRPr="000F0C50">
        <w:rPr>
          <w:rFonts w:ascii="Arial" w:hAnsi="Arial" w:cs="Arial"/>
          <w:b/>
          <w:bCs/>
          <w:sz w:val="22"/>
          <w:szCs w:val="22"/>
        </w:rPr>
        <w:t>6. React and TypeScript</w:t>
      </w:r>
      <w:r>
        <w:rPr>
          <w:rFonts w:ascii="Arial" w:hAnsi="Arial" w:cs="Arial"/>
          <w:sz w:val="22"/>
          <w:szCs w:val="22"/>
        </w:rPr>
        <w:t xml:space="preserve"> - </w:t>
      </w:r>
      <w:r w:rsidRPr="000F0C50">
        <w:rPr>
          <w:rFonts w:ascii="Arial" w:hAnsi="Arial" w:cs="Arial"/>
          <w:sz w:val="22"/>
          <w:szCs w:val="22"/>
        </w:rPr>
        <w:t>Used to build the user interface for the system’s web and desktop-facing screens, including dashboards, authentication views, and tenant-facing modules.</w:t>
      </w:r>
    </w:p>
    <w:p w14:paraId="33E49F42" w14:textId="6D6AE04C" w:rsidR="000F0C50" w:rsidRPr="000F0C50" w:rsidRDefault="000F0C50" w:rsidP="000F0C50">
      <w:pPr>
        <w:rPr>
          <w:rFonts w:ascii="Arial" w:hAnsi="Arial" w:cs="Arial"/>
          <w:sz w:val="22"/>
          <w:szCs w:val="22"/>
        </w:rPr>
      </w:pPr>
      <w:r w:rsidRPr="000F0C50">
        <w:rPr>
          <w:rFonts w:ascii="Arial" w:hAnsi="Arial" w:cs="Arial"/>
          <w:b/>
          <w:bCs/>
          <w:sz w:val="22"/>
          <w:szCs w:val="22"/>
        </w:rPr>
        <w:t>7. Vite</w:t>
      </w:r>
      <w:r>
        <w:rPr>
          <w:rFonts w:ascii="Arial" w:hAnsi="Arial" w:cs="Arial"/>
          <w:sz w:val="22"/>
          <w:szCs w:val="22"/>
        </w:rPr>
        <w:t xml:space="preserve"> - </w:t>
      </w:r>
      <w:r w:rsidRPr="000F0C50">
        <w:rPr>
          <w:rFonts w:ascii="Arial" w:hAnsi="Arial" w:cs="Arial"/>
          <w:sz w:val="22"/>
          <w:szCs w:val="22"/>
        </w:rPr>
        <w:t>Used as the frontend build tool for compiling, bundling, and serving the React and TypeScript application efficiently during development.</w:t>
      </w:r>
    </w:p>
    <w:p w14:paraId="64BE8336" w14:textId="4C01D874" w:rsidR="000F0C50" w:rsidRPr="000F0C50" w:rsidRDefault="000F0C50" w:rsidP="000F0C50">
      <w:pPr>
        <w:rPr>
          <w:rFonts w:ascii="Arial" w:hAnsi="Arial" w:cs="Arial"/>
          <w:sz w:val="22"/>
          <w:szCs w:val="22"/>
        </w:rPr>
      </w:pPr>
      <w:r w:rsidRPr="000F0C50">
        <w:rPr>
          <w:rFonts w:ascii="Arial" w:hAnsi="Arial" w:cs="Arial"/>
          <w:b/>
          <w:bCs/>
          <w:sz w:val="22"/>
          <w:szCs w:val="22"/>
        </w:rPr>
        <w:t>8. SQL Server</w:t>
      </w:r>
      <w:r>
        <w:rPr>
          <w:rFonts w:ascii="Arial" w:hAnsi="Arial" w:cs="Arial"/>
          <w:sz w:val="22"/>
          <w:szCs w:val="22"/>
        </w:rPr>
        <w:t xml:space="preserve"> - </w:t>
      </w:r>
      <w:r w:rsidRPr="000F0C50">
        <w:rPr>
          <w:rFonts w:ascii="Arial" w:hAnsi="Arial" w:cs="Arial"/>
          <w:sz w:val="22"/>
          <w:szCs w:val="22"/>
        </w:rPr>
        <w:t>Used as the primary relational database for storing tenants, users, customers, service requests, invoices, micro-loans, amortization schedules, and ledger transactions.</w:t>
      </w:r>
    </w:p>
    <w:p w14:paraId="7BBC9F75" w14:textId="0148C7D6" w:rsidR="000F0C50" w:rsidRPr="000F0C50" w:rsidRDefault="000F0C50" w:rsidP="000F0C50">
      <w:pPr>
        <w:rPr>
          <w:rFonts w:ascii="Arial" w:hAnsi="Arial" w:cs="Arial"/>
          <w:sz w:val="22"/>
          <w:szCs w:val="22"/>
        </w:rPr>
      </w:pPr>
      <w:r w:rsidRPr="000F0C50">
        <w:rPr>
          <w:rFonts w:ascii="Arial" w:hAnsi="Arial" w:cs="Arial"/>
          <w:b/>
          <w:bCs/>
          <w:sz w:val="22"/>
          <w:szCs w:val="22"/>
        </w:rPr>
        <w:t>9. SQL Server Management Studio (SSMS)</w:t>
      </w:r>
      <w:r>
        <w:rPr>
          <w:rFonts w:ascii="Arial" w:hAnsi="Arial" w:cs="Arial"/>
          <w:sz w:val="22"/>
          <w:szCs w:val="22"/>
        </w:rPr>
        <w:t xml:space="preserve"> - </w:t>
      </w:r>
      <w:r w:rsidRPr="000F0C50">
        <w:rPr>
          <w:rFonts w:ascii="Arial" w:hAnsi="Arial" w:cs="Arial"/>
          <w:sz w:val="22"/>
          <w:szCs w:val="22"/>
        </w:rPr>
        <w:t>Used to inspect, manage, and validate database structures, records, and queries during development and testing.</w:t>
      </w:r>
    </w:p>
    <w:p w14:paraId="0E3E3A7A" w14:textId="55B361DD" w:rsidR="000F0C50" w:rsidRPr="000F0C50" w:rsidRDefault="000F0C50" w:rsidP="000F0C50">
      <w:pPr>
        <w:rPr>
          <w:rFonts w:ascii="Arial" w:hAnsi="Arial" w:cs="Arial"/>
          <w:sz w:val="22"/>
          <w:szCs w:val="22"/>
        </w:rPr>
      </w:pPr>
      <w:r w:rsidRPr="000F0C50">
        <w:rPr>
          <w:rFonts w:ascii="Arial" w:hAnsi="Arial" w:cs="Arial"/>
          <w:b/>
          <w:bCs/>
          <w:sz w:val="22"/>
          <w:szCs w:val="22"/>
        </w:rPr>
        <w:t>10. Entity Framework Core</w:t>
      </w:r>
      <w:r>
        <w:rPr>
          <w:rFonts w:ascii="Arial" w:hAnsi="Arial" w:cs="Arial"/>
          <w:sz w:val="22"/>
          <w:szCs w:val="22"/>
        </w:rPr>
        <w:t xml:space="preserve"> - </w:t>
      </w:r>
      <w:r w:rsidRPr="000F0C50">
        <w:rPr>
          <w:rFonts w:ascii="Arial" w:hAnsi="Arial" w:cs="Arial"/>
          <w:sz w:val="22"/>
          <w:szCs w:val="22"/>
        </w:rPr>
        <w:t>Used for data access, database modeling, migrations, and interaction between the application and SQL Server database.</w:t>
      </w:r>
    </w:p>
    <w:p w14:paraId="04560E40" w14:textId="5EA23926" w:rsidR="000F0C50" w:rsidRPr="000F0C50" w:rsidRDefault="000F0C50" w:rsidP="000F0C50">
      <w:pPr>
        <w:rPr>
          <w:rFonts w:ascii="Arial" w:hAnsi="Arial" w:cs="Arial"/>
          <w:sz w:val="22"/>
          <w:szCs w:val="22"/>
        </w:rPr>
      </w:pPr>
      <w:r w:rsidRPr="000F0C50">
        <w:rPr>
          <w:rFonts w:ascii="Arial" w:hAnsi="Arial" w:cs="Arial"/>
          <w:b/>
          <w:bCs/>
          <w:sz w:val="22"/>
          <w:szCs w:val="22"/>
        </w:rPr>
        <w:t>11. Git and GitHub</w:t>
      </w:r>
      <w:r>
        <w:rPr>
          <w:rFonts w:ascii="Arial" w:hAnsi="Arial" w:cs="Arial"/>
          <w:sz w:val="22"/>
          <w:szCs w:val="22"/>
        </w:rPr>
        <w:t xml:space="preserve"> - </w:t>
      </w:r>
      <w:r w:rsidRPr="000F0C50">
        <w:rPr>
          <w:rFonts w:ascii="Arial" w:hAnsi="Arial" w:cs="Arial"/>
          <w:sz w:val="22"/>
          <w:szCs w:val="22"/>
        </w:rPr>
        <w:t>Used for version control, source code management, and tracking project changes during system development.</w:t>
      </w:r>
    </w:p>
    <w:p w14:paraId="746D5C01" w14:textId="29BF027A" w:rsidR="000F0C50" w:rsidRDefault="000F0C50" w:rsidP="000F0C50">
      <w:pPr>
        <w:rPr>
          <w:rFonts w:ascii="Arial" w:hAnsi="Arial" w:cs="Arial"/>
          <w:sz w:val="22"/>
          <w:szCs w:val="22"/>
        </w:rPr>
      </w:pPr>
      <w:r w:rsidRPr="000F0C50">
        <w:rPr>
          <w:rFonts w:ascii="Arial" w:hAnsi="Arial" w:cs="Arial"/>
          <w:b/>
          <w:bCs/>
          <w:sz w:val="22"/>
          <w:szCs w:val="22"/>
        </w:rPr>
        <w:t>12. Online Research Sources and Academic References</w:t>
      </w:r>
      <w:r>
        <w:rPr>
          <w:rFonts w:ascii="Arial" w:hAnsi="Arial" w:cs="Arial"/>
          <w:sz w:val="22"/>
          <w:szCs w:val="22"/>
        </w:rPr>
        <w:t xml:space="preserve"> - </w:t>
      </w:r>
      <w:r w:rsidRPr="000F0C50">
        <w:rPr>
          <w:rFonts w:ascii="Arial" w:hAnsi="Arial" w:cs="Arial"/>
          <w:sz w:val="22"/>
          <w:szCs w:val="22"/>
        </w:rPr>
        <w:t>Used to gather supporting literature, industry context, and credible citations related to MSME financing, transaction accuracy, ERP integration, and information security.</w:t>
      </w:r>
    </w:p>
    <w:p w14:paraId="58F01B78" w14:textId="77777777" w:rsidR="000F0C50" w:rsidRDefault="000F0C50" w:rsidP="000F0C50">
      <w:pPr>
        <w:rPr>
          <w:rFonts w:ascii="Arial" w:hAnsi="Arial" w:cs="Arial"/>
          <w:sz w:val="22"/>
          <w:szCs w:val="22"/>
        </w:rPr>
      </w:pPr>
    </w:p>
    <w:p w14:paraId="4A42F2D2" w14:textId="77777777" w:rsidR="000F0C50" w:rsidRDefault="000F0C50">
      <w:pPr>
        <w:rPr>
          <w:rFonts w:ascii="Arial" w:hAnsi="Arial" w:cs="Arial"/>
          <w:b/>
          <w:bCs/>
          <w:sz w:val="22"/>
          <w:szCs w:val="22"/>
        </w:rPr>
      </w:pPr>
      <w:r>
        <w:rPr>
          <w:rFonts w:ascii="Arial" w:hAnsi="Arial" w:cs="Arial"/>
          <w:b/>
          <w:bCs/>
          <w:sz w:val="22"/>
          <w:szCs w:val="22"/>
        </w:rPr>
        <w:br w:type="page"/>
      </w:r>
    </w:p>
    <w:p w14:paraId="47D8B72F" w14:textId="0A8FD09E" w:rsidR="000F0C50" w:rsidRPr="000F0C50" w:rsidRDefault="000F0C50" w:rsidP="000F0C50">
      <w:pPr>
        <w:rPr>
          <w:rFonts w:ascii="Arial" w:hAnsi="Arial" w:cs="Arial"/>
          <w:b/>
          <w:bCs/>
          <w:sz w:val="22"/>
          <w:szCs w:val="22"/>
        </w:rPr>
      </w:pPr>
      <w:r w:rsidRPr="000F0C50">
        <w:rPr>
          <w:rFonts w:ascii="Arial" w:hAnsi="Arial" w:cs="Arial"/>
          <w:b/>
          <w:bCs/>
          <w:sz w:val="22"/>
          <w:szCs w:val="22"/>
        </w:rPr>
        <w:lastRenderedPageBreak/>
        <w:t>Gantt Chart</w:t>
      </w:r>
    </w:p>
    <w:p w14:paraId="7E7C9AAF" w14:textId="2DA224D3" w:rsidR="000F0C50" w:rsidRPr="000F0C50" w:rsidRDefault="000F0C50" w:rsidP="000F0C50">
      <w:pPr>
        <w:jc w:val="both"/>
        <w:rPr>
          <w:rFonts w:ascii="Arial" w:hAnsi="Arial" w:cs="Arial"/>
          <w:sz w:val="22"/>
          <w:szCs w:val="22"/>
        </w:rPr>
      </w:pPr>
      <w:r>
        <w:rPr>
          <w:noProof/>
        </w:rPr>
        <w:drawing>
          <wp:inline distT="0" distB="0" distL="0" distR="0" wp14:anchorId="406B8EE4" wp14:editId="7947054A">
            <wp:extent cx="5731510" cy="1476375"/>
            <wp:effectExtent l="0" t="0" r="2540" b="9525"/>
            <wp:docPr id="137949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95712" name=""/>
                    <pic:cNvPicPr/>
                  </pic:nvPicPr>
                  <pic:blipFill rotWithShape="1">
                    <a:blip r:embed="rId6"/>
                    <a:srcRect b="46576"/>
                    <a:stretch>
                      <a:fillRect/>
                    </a:stretch>
                  </pic:blipFill>
                  <pic:spPr bwMode="auto">
                    <a:xfrm>
                      <a:off x="0" y="0"/>
                      <a:ext cx="5731510" cy="1476375"/>
                    </a:xfrm>
                    <a:prstGeom prst="rect">
                      <a:avLst/>
                    </a:prstGeom>
                    <a:ln>
                      <a:noFill/>
                    </a:ln>
                    <a:extLst>
                      <a:ext uri="{53640926-AAD7-44D8-BBD7-CCE9431645EC}">
                        <a14:shadowObscured xmlns:a14="http://schemas.microsoft.com/office/drawing/2010/main"/>
                      </a:ext>
                    </a:extLst>
                  </pic:spPr>
                </pic:pic>
              </a:graphicData>
            </a:graphic>
          </wp:inline>
        </w:drawing>
      </w:r>
    </w:p>
    <w:p w14:paraId="548B3097" w14:textId="77777777" w:rsidR="000F0C50" w:rsidRDefault="000F0C50">
      <w:pPr>
        <w:rPr>
          <w:rFonts w:ascii="Arial" w:hAnsi="Arial" w:cs="Arial"/>
          <w:sz w:val="22"/>
          <w:szCs w:val="22"/>
        </w:rPr>
      </w:pPr>
    </w:p>
    <w:p w14:paraId="4897AEBE" w14:textId="0081F6C7" w:rsidR="00CA07E9" w:rsidRDefault="00CA07E9" w:rsidP="00CA07E9">
      <w:pPr>
        <w:jc w:val="both"/>
        <w:rPr>
          <w:rFonts w:ascii="Arial" w:hAnsi="Arial" w:cs="Arial"/>
          <w:b/>
          <w:bCs/>
          <w:sz w:val="22"/>
          <w:szCs w:val="22"/>
        </w:rPr>
      </w:pPr>
      <w:r w:rsidRPr="00CA07E9">
        <w:rPr>
          <w:rFonts w:ascii="Arial" w:hAnsi="Arial" w:cs="Arial"/>
          <w:b/>
          <w:bCs/>
          <w:sz w:val="22"/>
          <w:szCs w:val="22"/>
        </w:rPr>
        <w:t>Use Case Diagram</w:t>
      </w:r>
    </w:p>
    <w:p w14:paraId="2A36E2EF" w14:textId="42CE7A27" w:rsidR="00DB0B57" w:rsidRDefault="006142BA" w:rsidP="00CA07E9">
      <w:pPr>
        <w:jc w:val="both"/>
        <w:rPr>
          <w:rFonts w:ascii="Arial" w:hAnsi="Arial" w:cs="Arial"/>
          <w:b/>
          <w:bCs/>
          <w:sz w:val="22"/>
          <w:szCs w:val="22"/>
        </w:rPr>
      </w:pPr>
      <w:r>
        <w:rPr>
          <w:rFonts w:ascii="Arial" w:hAnsi="Arial" w:cs="Arial"/>
          <w:b/>
          <w:bCs/>
          <w:noProof/>
          <w:sz w:val="22"/>
          <w:szCs w:val="22"/>
        </w:rPr>
        <w:drawing>
          <wp:inline distT="0" distB="0" distL="0" distR="0" wp14:anchorId="32BC154A" wp14:editId="41CDA99F">
            <wp:extent cx="5724525" cy="4333875"/>
            <wp:effectExtent l="0" t="0" r="9525" b="9525"/>
            <wp:docPr id="92810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4333875"/>
                    </a:xfrm>
                    <a:prstGeom prst="rect">
                      <a:avLst/>
                    </a:prstGeom>
                    <a:noFill/>
                    <a:ln>
                      <a:noFill/>
                    </a:ln>
                  </pic:spPr>
                </pic:pic>
              </a:graphicData>
            </a:graphic>
          </wp:inline>
        </w:drawing>
      </w:r>
    </w:p>
    <w:p w14:paraId="6E949740" w14:textId="2E45B62B" w:rsidR="00DB0B57" w:rsidRDefault="00DB0B57" w:rsidP="00DB0B57">
      <w:pPr>
        <w:rPr>
          <w:rFonts w:ascii="Arial" w:hAnsi="Arial" w:cs="Arial"/>
          <w:b/>
          <w:bCs/>
          <w:sz w:val="22"/>
          <w:szCs w:val="22"/>
        </w:rPr>
      </w:pPr>
      <w:r>
        <w:rPr>
          <w:rFonts w:ascii="Arial" w:hAnsi="Arial" w:cs="Arial"/>
          <w:b/>
          <w:bCs/>
          <w:sz w:val="22"/>
          <w:szCs w:val="22"/>
        </w:rPr>
        <w:br w:type="page"/>
      </w:r>
      <w:r>
        <w:rPr>
          <w:rFonts w:ascii="Arial" w:hAnsi="Arial" w:cs="Arial"/>
          <w:b/>
          <w:bCs/>
          <w:sz w:val="22"/>
          <w:szCs w:val="22"/>
        </w:rPr>
        <w:lastRenderedPageBreak/>
        <w:t>References:</w:t>
      </w:r>
    </w:p>
    <w:p w14:paraId="667DB939" w14:textId="66AABBCC" w:rsidR="00DB0B57" w:rsidRPr="00DB0B57" w:rsidRDefault="00DB0B57" w:rsidP="00DB0B57">
      <w:pPr>
        <w:rPr>
          <w:rFonts w:ascii="Arial" w:hAnsi="Arial" w:cs="Arial"/>
          <w:sz w:val="22"/>
          <w:szCs w:val="22"/>
        </w:rPr>
      </w:pPr>
      <w:r>
        <w:rPr>
          <w:rFonts w:ascii="Arial" w:hAnsi="Arial" w:cs="Arial"/>
          <w:sz w:val="22"/>
          <w:szCs w:val="22"/>
        </w:rPr>
        <w:tab/>
      </w:r>
      <w:r w:rsidRPr="00DB0B57">
        <w:rPr>
          <w:rFonts w:ascii="Arial" w:hAnsi="Arial" w:cs="Arial"/>
          <w:sz w:val="22"/>
          <w:szCs w:val="22"/>
        </w:rPr>
        <w:t>Caserio, C., &amp; Trucco, S. (2020). </w:t>
      </w:r>
      <w:r w:rsidRPr="00DB0B57">
        <w:rPr>
          <w:rFonts w:ascii="Arial" w:hAnsi="Arial" w:cs="Arial"/>
          <w:i/>
          <w:iCs/>
          <w:sz w:val="22"/>
          <w:szCs w:val="22"/>
        </w:rPr>
        <w:t>The impacts of ERP integration on information quality</w:t>
      </w:r>
      <w:r w:rsidRPr="00DB0B57">
        <w:rPr>
          <w:rFonts w:ascii="Arial" w:hAnsi="Arial" w:cs="Arial"/>
          <w:sz w:val="22"/>
          <w:szCs w:val="22"/>
        </w:rPr>
        <w:t>. International Journal of Management &amp; Information Technology, 15, 1-13. </w:t>
      </w:r>
      <w:hyperlink r:id="rId8" w:tgtFrame="_blank" w:history="1">
        <w:r w:rsidRPr="00DB0B57">
          <w:rPr>
            <w:rStyle w:val="Hyperlink"/>
            <w:rFonts w:ascii="Arial" w:hAnsi="Arial" w:cs="Arial"/>
            <w:sz w:val="22"/>
            <w:szCs w:val="22"/>
          </w:rPr>
          <w:t>https://doi.org/10.24297/ijmit.v15i.8627</w:t>
        </w:r>
      </w:hyperlink>
    </w:p>
    <w:p w14:paraId="0037B187" w14:textId="1FDA8A3D" w:rsidR="00DB0B57" w:rsidRPr="00DB0B57" w:rsidRDefault="00DB0B57" w:rsidP="00DB0B57">
      <w:pPr>
        <w:rPr>
          <w:rFonts w:ascii="Arial" w:hAnsi="Arial" w:cs="Arial"/>
          <w:sz w:val="22"/>
          <w:szCs w:val="22"/>
        </w:rPr>
      </w:pPr>
      <w:r>
        <w:rPr>
          <w:rFonts w:ascii="Arial" w:hAnsi="Arial" w:cs="Arial"/>
          <w:sz w:val="22"/>
          <w:szCs w:val="22"/>
        </w:rPr>
        <w:tab/>
      </w:r>
      <w:r w:rsidRPr="00DB0B57">
        <w:rPr>
          <w:rFonts w:ascii="Arial" w:hAnsi="Arial" w:cs="Arial"/>
          <w:sz w:val="22"/>
          <w:szCs w:val="22"/>
        </w:rPr>
        <w:t>International Finance Corporation. (2017). </w:t>
      </w:r>
      <w:r w:rsidRPr="00DB0B57">
        <w:rPr>
          <w:rFonts w:ascii="Arial" w:hAnsi="Arial" w:cs="Arial"/>
          <w:i/>
          <w:iCs/>
          <w:sz w:val="22"/>
          <w:szCs w:val="22"/>
        </w:rPr>
        <w:t>MSME finance gap: Assessment of the shortfalls and opportunities in financing micro, small, and medium enterprises in emerging markets</w:t>
      </w:r>
      <w:r w:rsidRPr="00DB0B57">
        <w:rPr>
          <w:rFonts w:ascii="Arial" w:hAnsi="Arial" w:cs="Arial"/>
          <w:sz w:val="22"/>
          <w:szCs w:val="22"/>
        </w:rPr>
        <w:t>. World Bank</w:t>
      </w:r>
      <w:r w:rsidR="00174590">
        <w:rPr>
          <w:rFonts w:ascii="Arial" w:hAnsi="Arial" w:cs="Arial"/>
          <w:sz w:val="22"/>
          <w:szCs w:val="22"/>
        </w:rPr>
        <w:t xml:space="preserve"> </w:t>
      </w:r>
      <w:r w:rsidRPr="00DB0B57">
        <w:rPr>
          <w:rFonts w:ascii="Arial" w:hAnsi="Arial" w:cs="Arial"/>
          <w:sz w:val="22"/>
          <w:szCs w:val="22"/>
        </w:rPr>
        <w:t>Group. </w:t>
      </w:r>
      <w:hyperlink r:id="rId9" w:tgtFrame="_blank" w:history="1">
        <w:r w:rsidRPr="00DB0B57">
          <w:rPr>
            <w:rStyle w:val="Hyperlink"/>
            <w:rFonts w:ascii="Arial" w:hAnsi="Arial" w:cs="Arial"/>
            <w:sz w:val="22"/>
            <w:szCs w:val="22"/>
          </w:rPr>
          <w:t>https://openknowledge.worldbank.org/entities/publication/ff4c9839-21ac-5676-a23a-7cf6f745df0c</w:t>
        </w:r>
      </w:hyperlink>
    </w:p>
    <w:p w14:paraId="73A23825" w14:textId="1A761C9F" w:rsidR="00DB0B57" w:rsidRPr="00DB0B57" w:rsidRDefault="00DB0B57" w:rsidP="00DB0B57">
      <w:pPr>
        <w:rPr>
          <w:rFonts w:ascii="Arial" w:hAnsi="Arial" w:cs="Arial"/>
          <w:sz w:val="22"/>
          <w:szCs w:val="22"/>
        </w:rPr>
      </w:pPr>
      <w:r>
        <w:rPr>
          <w:rFonts w:ascii="Arial" w:hAnsi="Arial" w:cs="Arial"/>
          <w:sz w:val="22"/>
          <w:szCs w:val="22"/>
        </w:rPr>
        <w:tab/>
      </w:r>
      <w:r w:rsidRPr="00DB0B57">
        <w:rPr>
          <w:rFonts w:ascii="Arial" w:hAnsi="Arial" w:cs="Arial"/>
          <w:sz w:val="22"/>
          <w:szCs w:val="22"/>
        </w:rPr>
        <w:t>National Institute of Standards and Technology. (2024a). </w:t>
      </w:r>
      <w:r w:rsidRPr="00DB0B57">
        <w:rPr>
          <w:rFonts w:ascii="Arial" w:hAnsi="Arial" w:cs="Arial"/>
          <w:i/>
          <w:iCs/>
          <w:sz w:val="22"/>
          <w:szCs w:val="22"/>
        </w:rPr>
        <w:t>Protecting controlled unclassified information in nonfederal systems and organizations (NIST SP 800-171 Rev. 3)</w:t>
      </w:r>
      <w:r w:rsidRPr="00DB0B57">
        <w:rPr>
          <w:rFonts w:ascii="Arial" w:hAnsi="Arial" w:cs="Arial"/>
          <w:sz w:val="22"/>
          <w:szCs w:val="22"/>
        </w:rPr>
        <w:t>. </w:t>
      </w:r>
      <w:hyperlink r:id="rId10" w:tgtFrame="_blank" w:history="1">
        <w:r w:rsidRPr="00DB0B57">
          <w:rPr>
            <w:rStyle w:val="Hyperlink"/>
            <w:rFonts w:ascii="Arial" w:hAnsi="Arial" w:cs="Arial"/>
            <w:sz w:val="22"/>
            <w:szCs w:val="22"/>
          </w:rPr>
          <w:t>https://nvlpubs.nist.gov/nistpubs/SpecialPublications/800-171r3/NIST.SP.800-171r3.html</w:t>
        </w:r>
      </w:hyperlink>
    </w:p>
    <w:p w14:paraId="3150D4D0" w14:textId="4034CA04" w:rsidR="00DB0B57" w:rsidRPr="00DB0B57" w:rsidRDefault="00DB0B57" w:rsidP="00DB0B57">
      <w:pPr>
        <w:rPr>
          <w:rFonts w:ascii="Arial" w:hAnsi="Arial" w:cs="Arial"/>
          <w:sz w:val="22"/>
          <w:szCs w:val="22"/>
        </w:rPr>
      </w:pPr>
      <w:r>
        <w:rPr>
          <w:rFonts w:ascii="Arial" w:hAnsi="Arial" w:cs="Arial"/>
          <w:sz w:val="22"/>
          <w:szCs w:val="22"/>
        </w:rPr>
        <w:tab/>
      </w:r>
      <w:r w:rsidRPr="00DB0B57">
        <w:rPr>
          <w:rFonts w:ascii="Arial" w:hAnsi="Arial" w:cs="Arial"/>
          <w:sz w:val="22"/>
          <w:szCs w:val="22"/>
        </w:rPr>
        <w:t>National Institute of Standards and Technology. (2024b). </w:t>
      </w:r>
      <w:r w:rsidRPr="00DB0B57">
        <w:rPr>
          <w:rFonts w:ascii="Arial" w:hAnsi="Arial" w:cs="Arial"/>
          <w:i/>
          <w:iCs/>
          <w:sz w:val="22"/>
          <w:szCs w:val="22"/>
        </w:rPr>
        <w:t>Assessing security requirements for controlled unclassified information (NIST SP 800-171A Rev. 3)</w:t>
      </w:r>
      <w:r w:rsidRPr="00DB0B57">
        <w:rPr>
          <w:rFonts w:ascii="Arial" w:hAnsi="Arial" w:cs="Arial"/>
          <w:sz w:val="22"/>
          <w:szCs w:val="22"/>
        </w:rPr>
        <w:t>. </w:t>
      </w:r>
      <w:hyperlink r:id="rId11" w:tgtFrame="_blank" w:history="1">
        <w:r w:rsidRPr="00DB0B57">
          <w:rPr>
            <w:rStyle w:val="Hyperlink"/>
            <w:rFonts w:ascii="Arial" w:hAnsi="Arial" w:cs="Arial"/>
            <w:sz w:val="22"/>
            <w:szCs w:val="22"/>
          </w:rPr>
          <w:t>https://nvlpubs.nist.gov/nistpubs/SpecialPublications/800-171Ar3/NIST.SP.800-171Ar3.html</w:t>
        </w:r>
      </w:hyperlink>
    </w:p>
    <w:p w14:paraId="5FDED945" w14:textId="06AA0F89" w:rsidR="00DB0B57" w:rsidRPr="00DB0B57" w:rsidRDefault="00DB0B57" w:rsidP="00DB0B57">
      <w:pPr>
        <w:rPr>
          <w:rFonts w:ascii="Arial" w:hAnsi="Arial" w:cs="Arial"/>
          <w:sz w:val="22"/>
          <w:szCs w:val="22"/>
        </w:rPr>
      </w:pPr>
      <w:r>
        <w:rPr>
          <w:rFonts w:ascii="Arial" w:hAnsi="Arial" w:cs="Arial"/>
          <w:sz w:val="22"/>
          <w:szCs w:val="22"/>
        </w:rPr>
        <w:tab/>
      </w:r>
      <w:r w:rsidRPr="00DB0B57">
        <w:rPr>
          <w:rFonts w:ascii="Arial" w:hAnsi="Arial" w:cs="Arial"/>
          <w:sz w:val="22"/>
          <w:szCs w:val="22"/>
        </w:rPr>
        <w:t>Panko, R. (2016). </w:t>
      </w:r>
      <w:r w:rsidRPr="00DB0B57">
        <w:rPr>
          <w:rFonts w:ascii="Arial" w:hAnsi="Arial" w:cs="Arial"/>
          <w:i/>
          <w:iCs/>
          <w:sz w:val="22"/>
          <w:szCs w:val="22"/>
        </w:rPr>
        <w:t>What we don't know about spreadsheet errors today: The facts, why we don't believe them, and what we need to do</w:t>
      </w:r>
      <w:r w:rsidRPr="00DB0B57">
        <w:rPr>
          <w:rFonts w:ascii="Arial" w:hAnsi="Arial" w:cs="Arial"/>
          <w:sz w:val="22"/>
          <w:szCs w:val="22"/>
        </w:rPr>
        <w:t xml:space="preserve">. </w:t>
      </w:r>
      <w:proofErr w:type="spellStart"/>
      <w:r w:rsidRPr="00DB0B57">
        <w:rPr>
          <w:rFonts w:ascii="Arial" w:hAnsi="Arial" w:cs="Arial"/>
          <w:sz w:val="22"/>
          <w:szCs w:val="22"/>
        </w:rPr>
        <w:t>arXiv</w:t>
      </w:r>
      <w:proofErr w:type="spellEnd"/>
      <w:r w:rsidRPr="00DB0B57">
        <w:rPr>
          <w:rFonts w:ascii="Arial" w:hAnsi="Arial" w:cs="Arial"/>
          <w:sz w:val="22"/>
          <w:szCs w:val="22"/>
        </w:rPr>
        <w:t>. </w:t>
      </w:r>
      <w:hyperlink r:id="rId12" w:tgtFrame="_blank" w:history="1">
        <w:r w:rsidRPr="00DB0B57">
          <w:rPr>
            <w:rStyle w:val="Hyperlink"/>
            <w:rFonts w:ascii="Arial" w:hAnsi="Arial" w:cs="Arial"/>
            <w:sz w:val="22"/>
            <w:szCs w:val="22"/>
          </w:rPr>
          <w:t>https://doi.org/10.48550/arXiv.1602.02601</w:t>
        </w:r>
      </w:hyperlink>
    </w:p>
    <w:sectPr w:rsidR="00DB0B57" w:rsidRPr="00DB0B57" w:rsidSect="00CA07E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B0C47"/>
    <w:multiLevelType w:val="multilevel"/>
    <w:tmpl w:val="6A0A8E6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num w:numId="1" w16cid:durableId="1612976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E9"/>
    <w:rsid w:val="000F0C50"/>
    <w:rsid w:val="00174590"/>
    <w:rsid w:val="002375F6"/>
    <w:rsid w:val="002521BC"/>
    <w:rsid w:val="002A2362"/>
    <w:rsid w:val="002B3F1B"/>
    <w:rsid w:val="002D2EB8"/>
    <w:rsid w:val="003D44D7"/>
    <w:rsid w:val="003F1801"/>
    <w:rsid w:val="004714BA"/>
    <w:rsid w:val="005E6D6B"/>
    <w:rsid w:val="006142BA"/>
    <w:rsid w:val="00694DE3"/>
    <w:rsid w:val="009D16B1"/>
    <w:rsid w:val="009F7EDD"/>
    <w:rsid w:val="00AE72D9"/>
    <w:rsid w:val="00B21DA1"/>
    <w:rsid w:val="00BC0AC1"/>
    <w:rsid w:val="00CA07E9"/>
    <w:rsid w:val="00D563C2"/>
    <w:rsid w:val="00DB0B57"/>
    <w:rsid w:val="00E27B34"/>
    <w:rsid w:val="00FA3025"/>
    <w:rsid w:val="00FC5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91028"/>
  <w15:chartTrackingRefBased/>
  <w15:docId w15:val="{C3C8B549-208F-44C2-B1A9-94DAC0C6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0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0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7E9"/>
    <w:rPr>
      <w:rFonts w:eastAsiaTheme="majorEastAsia" w:cstheme="majorBidi"/>
      <w:color w:val="272727" w:themeColor="text1" w:themeTint="D8"/>
    </w:rPr>
  </w:style>
  <w:style w:type="paragraph" w:styleId="Title">
    <w:name w:val="Title"/>
    <w:basedOn w:val="Normal"/>
    <w:next w:val="Normal"/>
    <w:link w:val="TitleChar"/>
    <w:uiPriority w:val="10"/>
    <w:qFormat/>
    <w:rsid w:val="00CA0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7E9"/>
    <w:pPr>
      <w:spacing w:before="160"/>
      <w:jc w:val="center"/>
    </w:pPr>
    <w:rPr>
      <w:i/>
      <w:iCs/>
      <w:color w:val="404040" w:themeColor="text1" w:themeTint="BF"/>
    </w:rPr>
  </w:style>
  <w:style w:type="character" w:customStyle="1" w:styleId="QuoteChar">
    <w:name w:val="Quote Char"/>
    <w:basedOn w:val="DefaultParagraphFont"/>
    <w:link w:val="Quote"/>
    <w:uiPriority w:val="29"/>
    <w:rsid w:val="00CA07E9"/>
    <w:rPr>
      <w:i/>
      <w:iCs/>
      <w:color w:val="404040" w:themeColor="text1" w:themeTint="BF"/>
    </w:rPr>
  </w:style>
  <w:style w:type="paragraph" w:styleId="ListParagraph">
    <w:name w:val="List Paragraph"/>
    <w:basedOn w:val="Normal"/>
    <w:uiPriority w:val="34"/>
    <w:qFormat/>
    <w:rsid w:val="00CA07E9"/>
    <w:pPr>
      <w:ind w:left="720"/>
      <w:contextualSpacing/>
    </w:pPr>
  </w:style>
  <w:style w:type="character" w:styleId="IntenseEmphasis">
    <w:name w:val="Intense Emphasis"/>
    <w:basedOn w:val="DefaultParagraphFont"/>
    <w:uiPriority w:val="21"/>
    <w:qFormat/>
    <w:rsid w:val="00CA07E9"/>
    <w:rPr>
      <w:i/>
      <w:iCs/>
      <w:color w:val="0F4761" w:themeColor="accent1" w:themeShade="BF"/>
    </w:rPr>
  </w:style>
  <w:style w:type="paragraph" w:styleId="IntenseQuote">
    <w:name w:val="Intense Quote"/>
    <w:basedOn w:val="Normal"/>
    <w:next w:val="Normal"/>
    <w:link w:val="IntenseQuoteChar"/>
    <w:uiPriority w:val="30"/>
    <w:qFormat/>
    <w:rsid w:val="00CA0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7E9"/>
    <w:rPr>
      <w:i/>
      <w:iCs/>
      <w:color w:val="0F4761" w:themeColor="accent1" w:themeShade="BF"/>
    </w:rPr>
  </w:style>
  <w:style w:type="character" w:styleId="IntenseReference">
    <w:name w:val="Intense Reference"/>
    <w:basedOn w:val="DefaultParagraphFont"/>
    <w:uiPriority w:val="32"/>
    <w:qFormat/>
    <w:rsid w:val="00CA07E9"/>
    <w:rPr>
      <w:b/>
      <w:bCs/>
      <w:smallCaps/>
      <w:color w:val="0F4761" w:themeColor="accent1" w:themeShade="BF"/>
      <w:spacing w:val="5"/>
    </w:rPr>
  </w:style>
  <w:style w:type="table" w:styleId="TableGrid">
    <w:name w:val="Table Grid"/>
    <w:basedOn w:val="TableNormal"/>
    <w:uiPriority w:val="39"/>
    <w:rsid w:val="00CA07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A07E9"/>
    <w:rPr>
      <w:rFonts w:ascii="Times New Roman" w:hAnsi="Times New Roman" w:cs="Times New Roman"/>
    </w:rPr>
  </w:style>
  <w:style w:type="paragraph" w:styleId="BodyText">
    <w:name w:val="Body Text"/>
    <w:basedOn w:val="Normal"/>
    <w:link w:val="BodyTextChar"/>
    <w:uiPriority w:val="1"/>
    <w:qFormat/>
    <w:rsid w:val="004714BA"/>
    <w:pPr>
      <w:widowControl w:val="0"/>
      <w:autoSpaceDE w:val="0"/>
      <w:autoSpaceDN w:val="0"/>
      <w:spacing w:after="0" w:line="240" w:lineRule="auto"/>
    </w:pPr>
    <w:rPr>
      <w:rFonts w:ascii="Calibri" w:eastAsia="Calibri" w:hAnsi="Calibri" w:cs="Calibri"/>
      <w:kern w:val="0"/>
      <w:sz w:val="22"/>
      <w:szCs w:val="22"/>
      <w14:ligatures w14:val="none"/>
    </w:rPr>
  </w:style>
  <w:style w:type="character" w:customStyle="1" w:styleId="BodyTextChar">
    <w:name w:val="Body Text Char"/>
    <w:basedOn w:val="DefaultParagraphFont"/>
    <w:link w:val="BodyText"/>
    <w:uiPriority w:val="1"/>
    <w:rsid w:val="004714BA"/>
    <w:rPr>
      <w:rFonts w:ascii="Calibri" w:eastAsia="Calibri" w:hAnsi="Calibri" w:cs="Calibri"/>
      <w:kern w:val="0"/>
      <w:sz w:val="22"/>
      <w:szCs w:val="22"/>
      <w14:ligatures w14:val="none"/>
    </w:rPr>
  </w:style>
  <w:style w:type="character" w:styleId="Hyperlink">
    <w:name w:val="Hyperlink"/>
    <w:basedOn w:val="DefaultParagraphFont"/>
    <w:uiPriority w:val="99"/>
    <w:unhideWhenUsed/>
    <w:rsid w:val="00DB0B57"/>
    <w:rPr>
      <w:color w:val="467886" w:themeColor="hyperlink"/>
      <w:u w:val="single"/>
    </w:rPr>
  </w:style>
  <w:style w:type="character" w:styleId="UnresolvedMention">
    <w:name w:val="Unresolved Mention"/>
    <w:basedOn w:val="DefaultParagraphFont"/>
    <w:uiPriority w:val="99"/>
    <w:semiHidden/>
    <w:unhideWhenUsed/>
    <w:rsid w:val="00DB0B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4297/ijmit.v15i.8627"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i.org/10.48550/arXiv.1602.026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nvlpubs.nist.gov/nistpubs/SpecialPublications/800-171Ar3/NIST.SP.800-171Ar3.html" TargetMode="External"/><Relationship Id="rId5" Type="http://schemas.openxmlformats.org/officeDocument/2006/relationships/image" Target="media/image1.png"/><Relationship Id="rId10" Type="http://schemas.openxmlformats.org/officeDocument/2006/relationships/hyperlink" Target="https://nvlpubs.nist.gov/nistpubs/SpecialPublications/800-171r3/NIST.SP.800-171r3.html" TargetMode="External"/><Relationship Id="rId4" Type="http://schemas.openxmlformats.org/officeDocument/2006/relationships/webSettings" Target="webSettings.xml"/><Relationship Id="rId9" Type="http://schemas.openxmlformats.org/officeDocument/2006/relationships/hyperlink" Target="https://openknowledge.worldbank.org/entities/publication/ff4c9839-21ac-5676-a23a-7cf6f745df0c"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6</Pages>
  <Words>1380</Words>
  <Characters>7872</Characters>
  <Application>Microsoft Office Word</Application>
  <DocSecurity>0</DocSecurity>
  <Lines>65</Lines>
  <Paragraphs>18</Paragraphs>
  <ScaleCrop>false</ScaleCrop>
  <Company/>
  <LinksUpToDate>false</LinksUpToDate>
  <CharactersWithSpaces>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 L.</dc:creator>
  <cp:keywords/>
  <dc:description/>
  <cp:lastModifiedBy>Sei L.</cp:lastModifiedBy>
  <cp:revision>18</cp:revision>
  <cp:lastPrinted>2026-04-13T12:22:00Z</cp:lastPrinted>
  <dcterms:created xsi:type="dcterms:W3CDTF">2026-03-25T10:12:00Z</dcterms:created>
  <dcterms:modified xsi:type="dcterms:W3CDTF">2026-04-13T12:32:00Z</dcterms:modified>
</cp:coreProperties>
</file>