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4B155" w14:textId="77777777" w:rsidR="00E73300" w:rsidRDefault="00E73300">
      <w:pPr>
        <w:spacing w:before="2600"/>
      </w:pPr>
    </w:p>
    <w:p w14:paraId="2EE4B156" w14:textId="77777777" w:rsidR="00E73300" w:rsidRDefault="00A3128C">
      <w:pPr>
        <w:spacing w:after="200"/>
        <w:jc w:val="center"/>
      </w:pPr>
      <w:r>
        <w:rPr>
          <w:b/>
          <w:bCs/>
          <w:sz w:val="40"/>
          <w:szCs w:val="40"/>
        </w:rPr>
        <w:t>Análisis exploratorio de datos de reseñas de vinos</w:t>
      </w:r>
    </w:p>
    <w:p w14:paraId="2EE4B157" w14:textId="77777777" w:rsidR="00E73300" w:rsidRDefault="00A3128C">
      <w:pPr>
        <w:spacing w:after="1400"/>
        <w:jc w:val="center"/>
      </w:pPr>
      <w:r>
        <w:rPr>
          <w:i/>
          <w:iCs/>
          <w:sz w:val="26"/>
          <w:szCs w:val="26"/>
        </w:rPr>
        <w:t>Trabajo Práctico 2 — Seminario de Programación para Ciencia de Datos</w:t>
      </w:r>
    </w:p>
    <w:p w14:paraId="2EE4B158" w14:textId="77777777" w:rsidR="00E73300" w:rsidRDefault="00A3128C">
      <w:pPr>
        <w:jc w:val="center"/>
      </w:pPr>
      <w:r>
        <w:rPr>
          <w:sz w:val="28"/>
          <w:szCs w:val="28"/>
        </w:rPr>
        <w:t>Lucas Llano</w:t>
      </w:r>
    </w:p>
    <w:p w14:paraId="2EE4B159" w14:textId="77777777" w:rsidR="00E73300" w:rsidRDefault="00A3128C">
      <w:pPr>
        <w:spacing w:after="1200"/>
        <w:jc w:val="center"/>
      </w:pPr>
      <w:r>
        <w:t>22 de septiembre de 2026</w:t>
      </w:r>
    </w:p>
    <w:p w14:paraId="2EE4B15A" w14:textId="77777777" w:rsidR="00E73300" w:rsidRDefault="00A3128C">
      <w:pPr>
        <w:jc w:val="center"/>
      </w:pPr>
      <w:r>
        <w:rPr>
          <w:i/>
          <w:iCs/>
          <w:sz w:val="22"/>
          <w:szCs w:val="22"/>
        </w:rPr>
        <w:t>Conjunto de datos: winemag-data-130k-v2 (WineEnthusiast)</w:t>
      </w:r>
    </w:p>
    <w:p w14:paraId="2EE4B15B" w14:textId="77777777" w:rsidR="00E73300" w:rsidRDefault="00E73300">
      <w:pPr>
        <w:sectPr w:rsidR="00E73300">
          <w:pgSz w:w="11906" w:h="16838"/>
          <w:pgMar w:top="1417" w:right="1417" w:bottom="1417" w:left="1417" w:header="708" w:footer="708" w:gutter="0"/>
          <w:cols w:space="720"/>
          <w:docGrid w:linePitch="360"/>
        </w:sectPr>
      </w:pPr>
    </w:p>
    <w:p w14:paraId="2EE4B15C" w14:textId="77777777" w:rsidR="00E73300" w:rsidRDefault="00A3128C">
      <w:pPr>
        <w:spacing w:after="240"/>
      </w:pPr>
      <w:r>
        <w:rPr>
          <w:b/>
          <w:bCs/>
          <w:sz w:val="28"/>
          <w:szCs w:val="28"/>
        </w:rPr>
        <w:lastRenderedPageBreak/>
        <w:t>Índice</w:t>
      </w:r>
    </w:p>
    <w:sdt>
      <w:sdtPr>
        <w:alias w:val="Índice"/>
        <w:id w:val="-601869410"/>
      </w:sdtPr>
      <w:sdtEndPr/>
      <w:sdtContent>
        <w:p w14:paraId="7AFFF28C" w14:textId="34C05FBA" w:rsidR="00D543FF" w:rsidRDefault="00A3128C">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0984875" w:history="1">
            <w:r w:rsidR="00D543FF" w:rsidRPr="004444C9">
              <w:rPr>
                <w:rStyle w:val="Hyperlink"/>
                <w:noProof/>
              </w:rPr>
              <w:t>1. Introducción</w:t>
            </w:r>
            <w:r w:rsidR="00D543FF">
              <w:rPr>
                <w:noProof/>
              </w:rPr>
              <w:tab/>
            </w:r>
            <w:r w:rsidR="00D543FF">
              <w:rPr>
                <w:noProof/>
              </w:rPr>
              <w:fldChar w:fldCharType="begin"/>
            </w:r>
            <w:r w:rsidR="00D543FF">
              <w:rPr>
                <w:noProof/>
              </w:rPr>
              <w:instrText xml:space="preserve"> PAGEREF _Toc240984875 \h </w:instrText>
            </w:r>
            <w:r w:rsidR="00D543FF">
              <w:rPr>
                <w:noProof/>
              </w:rPr>
            </w:r>
            <w:r w:rsidR="00D543FF">
              <w:rPr>
                <w:noProof/>
              </w:rPr>
              <w:fldChar w:fldCharType="separate"/>
            </w:r>
            <w:r w:rsidR="00D543FF">
              <w:rPr>
                <w:noProof/>
              </w:rPr>
              <w:t>3</w:t>
            </w:r>
            <w:r w:rsidR="00D543FF">
              <w:rPr>
                <w:noProof/>
              </w:rPr>
              <w:fldChar w:fldCharType="end"/>
            </w:r>
          </w:hyperlink>
        </w:p>
        <w:p w14:paraId="4808E416" w14:textId="5446B3F0" w:rsidR="00D543FF" w:rsidRDefault="00D543FF">
          <w:pPr>
            <w:pStyle w:val="TOC1"/>
            <w:tabs>
              <w:tab w:val="right" w:leader="dot" w:pos="9062"/>
            </w:tabs>
            <w:rPr>
              <w:rFonts w:asciiTheme="minorHAnsi" w:eastAsiaTheme="minorEastAsia" w:hAnsiTheme="minorHAnsi" w:cstheme="minorBidi"/>
              <w:noProof/>
              <w:kern w:val="2"/>
              <w14:ligatures w14:val="standardContextual"/>
            </w:rPr>
          </w:pPr>
          <w:hyperlink w:anchor="_Toc240984876" w:history="1">
            <w:r w:rsidRPr="004444C9">
              <w:rPr>
                <w:rStyle w:val="Hyperlink"/>
                <w:noProof/>
              </w:rPr>
              <w:t>2. Descripción del conjunto de datos</w:t>
            </w:r>
            <w:r>
              <w:rPr>
                <w:noProof/>
              </w:rPr>
              <w:tab/>
            </w:r>
            <w:r>
              <w:rPr>
                <w:noProof/>
              </w:rPr>
              <w:fldChar w:fldCharType="begin"/>
            </w:r>
            <w:r>
              <w:rPr>
                <w:noProof/>
              </w:rPr>
              <w:instrText xml:space="preserve"> PAGEREF _Toc240984876 \h </w:instrText>
            </w:r>
            <w:r>
              <w:rPr>
                <w:noProof/>
              </w:rPr>
            </w:r>
            <w:r>
              <w:rPr>
                <w:noProof/>
              </w:rPr>
              <w:fldChar w:fldCharType="separate"/>
            </w:r>
            <w:r>
              <w:rPr>
                <w:noProof/>
              </w:rPr>
              <w:t>3</w:t>
            </w:r>
            <w:r>
              <w:rPr>
                <w:noProof/>
              </w:rPr>
              <w:fldChar w:fldCharType="end"/>
            </w:r>
          </w:hyperlink>
        </w:p>
        <w:p w14:paraId="18230A51" w14:textId="296D28B2" w:rsidR="00D543FF" w:rsidRDefault="00D543FF">
          <w:pPr>
            <w:pStyle w:val="TOC1"/>
            <w:tabs>
              <w:tab w:val="right" w:leader="dot" w:pos="9062"/>
            </w:tabs>
            <w:rPr>
              <w:rFonts w:asciiTheme="minorHAnsi" w:eastAsiaTheme="minorEastAsia" w:hAnsiTheme="minorHAnsi" w:cstheme="minorBidi"/>
              <w:noProof/>
              <w:kern w:val="2"/>
              <w14:ligatures w14:val="standardContextual"/>
            </w:rPr>
          </w:pPr>
          <w:hyperlink w:anchor="_Toc240984877" w:history="1">
            <w:r w:rsidRPr="004444C9">
              <w:rPr>
                <w:rStyle w:val="Hyperlink"/>
                <w:noProof/>
              </w:rPr>
              <w:t>3. Carga e integridad del archivo</w:t>
            </w:r>
            <w:r>
              <w:rPr>
                <w:noProof/>
              </w:rPr>
              <w:tab/>
            </w:r>
            <w:r>
              <w:rPr>
                <w:noProof/>
              </w:rPr>
              <w:fldChar w:fldCharType="begin"/>
            </w:r>
            <w:r>
              <w:rPr>
                <w:noProof/>
              </w:rPr>
              <w:instrText xml:space="preserve"> PAGEREF _Toc240984877 \h </w:instrText>
            </w:r>
            <w:r>
              <w:rPr>
                <w:noProof/>
              </w:rPr>
            </w:r>
            <w:r>
              <w:rPr>
                <w:noProof/>
              </w:rPr>
              <w:fldChar w:fldCharType="separate"/>
            </w:r>
            <w:r>
              <w:rPr>
                <w:noProof/>
              </w:rPr>
              <w:t>4</w:t>
            </w:r>
            <w:r>
              <w:rPr>
                <w:noProof/>
              </w:rPr>
              <w:fldChar w:fldCharType="end"/>
            </w:r>
          </w:hyperlink>
        </w:p>
        <w:p w14:paraId="134F959A" w14:textId="46DF331C"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78" w:history="1">
            <w:r w:rsidRPr="004444C9">
              <w:rPr>
                <w:rStyle w:val="Hyperlink"/>
                <w:noProof/>
              </w:rPr>
              <w:t>3.1. Delimitador de campos incorrecto</w:t>
            </w:r>
            <w:r>
              <w:rPr>
                <w:noProof/>
              </w:rPr>
              <w:tab/>
            </w:r>
            <w:r>
              <w:rPr>
                <w:noProof/>
              </w:rPr>
              <w:fldChar w:fldCharType="begin"/>
            </w:r>
            <w:r>
              <w:rPr>
                <w:noProof/>
              </w:rPr>
              <w:instrText xml:space="preserve"> PAGEREF _Toc240984878 \h </w:instrText>
            </w:r>
            <w:r>
              <w:rPr>
                <w:noProof/>
              </w:rPr>
            </w:r>
            <w:r>
              <w:rPr>
                <w:noProof/>
              </w:rPr>
              <w:fldChar w:fldCharType="separate"/>
            </w:r>
            <w:r>
              <w:rPr>
                <w:noProof/>
              </w:rPr>
              <w:t>4</w:t>
            </w:r>
            <w:r>
              <w:rPr>
                <w:noProof/>
              </w:rPr>
              <w:fldChar w:fldCharType="end"/>
            </w:r>
          </w:hyperlink>
        </w:p>
        <w:p w14:paraId="6F2AF60E" w14:textId="74C4168D"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79" w:history="1">
            <w:r w:rsidRPr="004444C9">
              <w:rPr>
                <w:rStyle w:val="Hyperlink"/>
                <w:noProof/>
              </w:rPr>
              <w:t>3.2. Reseñas repartidas en varias filas</w:t>
            </w:r>
            <w:r>
              <w:rPr>
                <w:noProof/>
              </w:rPr>
              <w:tab/>
            </w:r>
            <w:r>
              <w:rPr>
                <w:noProof/>
              </w:rPr>
              <w:fldChar w:fldCharType="begin"/>
            </w:r>
            <w:r>
              <w:rPr>
                <w:noProof/>
              </w:rPr>
              <w:instrText xml:space="preserve"> PAGEREF _Toc240984879 \h </w:instrText>
            </w:r>
            <w:r>
              <w:rPr>
                <w:noProof/>
              </w:rPr>
            </w:r>
            <w:r>
              <w:rPr>
                <w:noProof/>
              </w:rPr>
              <w:fldChar w:fldCharType="separate"/>
            </w:r>
            <w:r>
              <w:rPr>
                <w:noProof/>
              </w:rPr>
              <w:t>5</w:t>
            </w:r>
            <w:r>
              <w:rPr>
                <w:noProof/>
              </w:rPr>
              <w:fldChar w:fldCharType="end"/>
            </w:r>
          </w:hyperlink>
        </w:p>
        <w:p w14:paraId="5E2E715E" w14:textId="600493BA"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80" w:history="1">
            <w:r w:rsidRPr="004444C9">
              <w:rPr>
                <w:rStyle w:val="Hyperlink"/>
                <w:noProof/>
              </w:rPr>
              <w:t>3.3. Codificación de caracteres</w:t>
            </w:r>
            <w:r>
              <w:rPr>
                <w:noProof/>
              </w:rPr>
              <w:tab/>
            </w:r>
            <w:r>
              <w:rPr>
                <w:noProof/>
              </w:rPr>
              <w:fldChar w:fldCharType="begin"/>
            </w:r>
            <w:r>
              <w:rPr>
                <w:noProof/>
              </w:rPr>
              <w:instrText xml:space="preserve"> PAGEREF _Toc240984880 \h </w:instrText>
            </w:r>
            <w:r>
              <w:rPr>
                <w:noProof/>
              </w:rPr>
            </w:r>
            <w:r>
              <w:rPr>
                <w:noProof/>
              </w:rPr>
              <w:fldChar w:fldCharType="separate"/>
            </w:r>
            <w:r>
              <w:rPr>
                <w:noProof/>
              </w:rPr>
              <w:t>5</w:t>
            </w:r>
            <w:r>
              <w:rPr>
                <w:noProof/>
              </w:rPr>
              <w:fldChar w:fldCharType="end"/>
            </w:r>
          </w:hyperlink>
        </w:p>
        <w:p w14:paraId="36C00DC6" w14:textId="789E29BB"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81" w:history="1">
            <w:r w:rsidRPr="004444C9">
              <w:rPr>
                <w:rStyle w:val="Hyperlink"/>
                <w:noProof/>
              </w:rPr>
              <w:t>3.4. Verificación de la carga</w:t>
            </w:r>
            <w:r>
              <w:rPr>
                <w:noProof/>
              </w:rPr>
              <w:tab/>
            </w:r>
            <w:r>
              <w:rPr>
                <w:noProof/>
              </w:rPr>
              <w:fldChar w:fldCharType="begin"/>
            </w:r>
            <w:r>
              <w:rPr>
                <w:noProof/>
              </w:rPr>
              <w:instrText xml:space="preserve"> PAGEREF _Toc240984881 \h </w:instrText>
            </w:r>
            <w:r>
              <w:rPr>
                <w:noProof/>
              </w:rPr>
            </w:r>
            <w:r>
              <w:rPr>
                <w:noProof/>
              </w:rPr>
              <w:fldChar w:fldCharType="separate"/>
            </w:r>
            <w:r>
              <w:rPr>
                <w:noProof/>
              </w:rPr>
              <w:t>6</w:t>
            </w:r>
            <w:r>
              <w:rPr>
                <w:noProof/>
              </w:rPr>
              <w:fldChar w:fldCharType="end"/>
            </w:r>
          </w:hyperlink>
        </w:p>
        <w:p w14:paraId="00DD2A9E" w14:textId="1F6A4E3A" w:rsidR="00D543FF" w:rsidRDefault="00D543FF">
          <w:pPr>
            <w:pStyle w:val="TOC1"/>
            <w:tabs>
              <w:tab w:val="right" w:leader="dot" w:pos="9062"/>
            </w:tabs>
            <w:rPr>
              <w:rFonts w:asciiTheme="minorHAnsi" w:eastAsiaTheme="minorEastAsia" w:hAnsiTheme="minorHAnsi" w:cstheme="minorBidi"/>
              <w:noProof/>
              <w:kern w:val="2"/>
              <w14:ligatures w14:val="standardContextual"/>
            </w:rPr>
          </w:pPr>
          <w:hyperlink w:anchor="_Toc240984882" w:history="1">
            <w:r w:rsidRPr="004444C9">
              <w:rPr>
                <w:rStyle w:val="Hyperlink"/>
                <w:noProof/>
              </w:rPr>
              <w:t>4. Análisis exploratorio</w:t>
            </w:r>
            <w:r>
              <w:rPr>
                <w:noProof/>
              </w:rPr>
              <w:tab/>
            </w:r>
            <w:r>
              <w:rPr>
                <w:noProof/>
              </w:rPr>
              <w:fldChar w:fldCharType="begin"/>
            </w:r>
            <w:r>
              <w:rPr>
                <w:noProof/>
              </w:rPr>
              <w:instrText xml:space="preserve"> PAGEREF _Toc240984882 \h </w:instrText>
            </w:r>
            <w:r>
              <w:rPr>
                <w:noProof/>
              </w:rPr>
            </w:r>
            <w:r>
              <w:rPr>
                <w:noProof/>
              </w:rPr>
              <w:fldChar w:fldCharType="separate"/>
            </w:r>
            <w:r>
              <w:rPr>
                <w:noProof/>
              </w:rPr>
              <w:t>6</w:t>
            </w:r>
            <w:r>
              <w:rPr>
                <w:noProof/>
              </w:rPr>
              <w:fldChar w:fldCharType="end"/>
            </w:r>
          </w:hyperlink>
        </w:p>
        <w:p w14:paraId="3FB8A007" w14:textId="76EBFD1B"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83" w:history="1">
            <w:r w:rsidRPr="004444C9">
              <w:rPr>
                <w:rStyle w:val="Hyperlink"/>
                <w:noProof/>
              </w:rPr>
              <w:t>4.1. Estructura y valores repetidos</w:t>
            </w:r>
            <w:r>
              <w:rPr>
                <w:noProof/>
              </w:rPr>
              <w:tab/>
            </w:r>
            <w:r>
              <w:rPr>
                <w:noProof/>
              </w:rPr>
              <w:fldChar w:fldCharType="begin"/>
            </w:r>
            <w:r>
              <w:rPr>
                <w:noProof/>
              </w:rPr>
              <w:instrText xml:space="preserve"> PAGEREF _Toc240984883 \h </w:instrText>
            </w:r>
            <w:r>
              <w:rPr>
                <w:noProof/>
              </w:rPr>
            </w:r>
            <w:r>
              <w:rPr>
                <w:noProof/>
              </w:rPr>
              <w:fldChar w:fldCharType="separate"/>
            </w:r>
            <w:r>
              <w:rPr>
                <w:noProof/>
              </w:rPr>
              <w:t>6</w:t>
            </w:r>
            <w:r>
              <w:rPr>
                <w:noProof/>
              </w:rPr>
              <w:fldChar w:fldCharType="end"/>
            </w:r>
          </w:hyperlink>
        </w:p>
        <w:p w14:paraId="28E001F7" w14:textId="52FCB290"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84" w:history="1">
            <w:r w:rsidRPr="004444C9">
              <w:rPr>
                <w:rStyle w:val="Hyperlink"/>
                <w:noProof/>
              </w:rPr>
              <w:t>4.2. Resumen estadístico de las variables numéricas</w:t>
            </w:r>
            <w:r>
              <w:rPr>
                <w:noProof/>
              </w:rPr>
              <w:tab/>
            </w:r>
            <w:r>
              <w:rPr>
                <w:noProof/>
              </w:rPr>
              <w:fldChar w:fldCharType="begin"/>
            </w:r>
            <w:r>
              <w:rPr>
                <w:noProof/>
              </w:rPr>
              <w:instrText xml:space="preserve"> PAGEREF _Toc240984884 \h </w:instrText>
            </w:r>
            <w:r>
              <w:rPr>
                <w:noProof/>
              </w:rPr>
            </w:r>
            <w:r>
              <w:rPr>
                <w:noProof/>
              </w:rPr>
              <w:fldChar w:fldCharType="separate"/>
            </w:r>
            <w:r>
              <w:rPr>
                <w:noProof/>
              </w:rPr>
              <w:t>7</w:t>
            </w:r>
            <w:r>
              <w:rPr>
                <w:noProof/>
              </w:rPr>
              <w:fldChar w:fldCharType="end"/>
            </w:r>
          </w:hyperlink>
        </w:p>
        <w:p w14:paraId="34B8225E" w14:textId="1C4F5896"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85" w:history="1">
            <w:r w:rsidRPr="004444C9">
              <w:rPr>
                <w:rStyle w:val="Hyperlink"/>
                <w:noProof/>
              </w:rPr>
              <w:t>4.3. Distribución de los puntajes</w:t>
            </w:r>
            <w:r>
              <w:rPr>
                <w:noProof/>
              </w:rPr>
              <w:tab/>
            </w:r>
            <w:r>
              <w:rPr>
                <w:noProof/>
              </w:rPr>
              <w:fldChar w:fldCharType="begin"/>
            </w:r>
            <w:r>
              <w:rPr>
                <w:noProof/>
              </w:rPr>
              <w:instrText xml:space="preserve"> PAGEREF _Toc240984885 \h </w:instrText>
            </w:r>
            <w:r>
              <w:rPr>
                <w:noProof/>
              </w:rPr>
            </w:r>
            <w:r>
              <w:rPr>
                <w:noProof/>
              </w:rPr>
              <w:fldChar w:fldCharType="separate"/>
            </w:r>
            <w:r>
              <w:rPr>
                <w:noProof/>
              </w:rPr>
              <w:t>7</w:t>
            </w:r>
            <w:r>
              <w:rPr>
                <w:noProof/>
              </w:rPr>
              <w:fldChar w:fldCharType="end"/>
            </w:r>
          </w:hyperlink>
        </w:p>
        <w:p w14:paraId="170B4E7C" w14:textId="2A101D0C"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86" w:history="1">
            <w:r w:rsidRPr="004444C9">
              <w:rPr>
                <w:rStyle w:val="Hyperlink"/>
                <w:noProof/>
              </w:rPr>
              <w:t>4.4. Distribución de los precios</w:t>
            </w:r>
            <w:r>
              <w:rPr>
                <w:noProof/>
              </w:rPr>
              <w:tab/>
            </w:r>
            <w:r>
              <w:rPr>
                <w:noProof/>
              </w:rPr>
              <w:fldChar w:fldCharType="begin"/>
            </w:r>
            <w:r>
              <w:rPr>
                <w:noProof/>
              </w:rPr>
              <w:instrText xml:space="preserve"> PAGEREF _Toc240984886 \h </w:instrText>
            </w:r>
            <w:r>
              <w:rPr>
                <w:noProof/>
              </w:rPr>
            </w:r>
            <w:r>
              <w:rPr>
                <w:noProof/>
              </w:rPr>
              <w:fldChar w:fldCharType="separate"/>
            </w:r>
            <w:r>
              <w:rPr>
                <w:noProof/>
              </w:rPr>
              <w:t>8</w:t>
            </w:r>
            <w:r>
              <w:rPr>
                <w:noProof/>
              </w:rPr>
              <w:fldChar w:fldCharType="end"/>
            </w:r>
          </w:hyperlink>
        </w:p>
        <w:p w14:paraId="27CEB8D3" w14:textId="275D5444"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87" w:history="1">
            <w:r w:rsidRPr="004444C9">
              <w:rPr>
                <w:rStyle w:val="Hyperlink"/>
                <w:noProof/>
              </w:rPr>
              <w:t>4.5. Variables categóricas</w:t>
            </w:r>
            <w:r>
              <w:rPr>
                <w:noProof/>
              </w:rPr>
              <w:tab/>
            </w:r>
            <w:r>
              <w:rPr>
                <w:noProof/>
              </w:rPr>
              <w:fldChar w:fldCharType="begin"/>
            </w:r>
            <w:r>
              <w:rPr>
                <w:noProof/>
              </w:rPr>
              <w:instrText xml:space="preserve"> PAGEREF _Toc240984887 \h </w:instrText>
            </w:r>
            <w:r>
              <w:rPr>
                <w:noProof/>
              </w:rPr>
            </w:r>
            <w:r>
              <w:rPr>
                <w:noProof/>
              </w:rPr>
              <w:fldChar w:fldCharType="separate"/>
            </w:r>
            <w:r>
              <w:rPr>
                <w:noProof/>
              </w:rPr>
              <w:t>9</w:t>
            </w:r>
            <w:r>
              <w:rPr>
                <w:noProof/>
              </w:rPr>
              <w:fldChar w:fldCharType="end"/>
            </w:r>
          </w:hyperlink>
        </w:p>
        <w:p w14:paraId="40953EF5" w14:textId="57E5AC13" w:rsidR="00D543FF" w:rsidRDefault="00D543FF">
          <w:pPr>
            <w:pStyle w:val="TOC1"/>
            <w:tabs>
              <w:tab w:val="right" w:leader="dot" w:pos="9062"/>
            </w:tabs>
            <w:rPr>
              <w:rFonts w:asciiTheme="minorHAnsi" w:eastAsiaTheme="minorEastAsia" w:hAnsiTheme="minorHAnsi" w:cstheme="minorBidi"/>
              <w:noProof/>
              <w:kern w:val="2"/>
              <w14:ligatures w14:val="standardContextual"/>
            </w:rPr>
          </w:pPr>
          <w:hyperlink w:anchor="_Toc240984888" w:history="1">
            <w:r w:rsidRPr="004444C9">
              <w:rPr>
                <w:rStyle w:val="Hyperlink"/>
                <w:noProof/>
              </w:rPr>
              <w:t>5. Tratamiento de datos faltantes</w:t>
            </w:r>
            <w:r>
              <w:rPr>
                <w:noProof/>
              </w:rPr>
              <w:tab/>
            </w:r>
            <w:r>
              <w:rPr>
                <w:noProof/>
              </w:rPr>
              <w:fldChar w:fldCharType="begin"/>
            </w:r>
            <w:r>
              <w:rPr>
                <w:noProof/>
              </w:rPr>
              <w:instrText xml:space="preserve"> PAGEREF _Toc240984888 \h </w:instrText>
            </w:r>
            <w:r>
              <w:rPr>
                <w:noProof/>
              </w:rPr>
            </w:r>
            <w:r>
              <w:rPr>
                <w:noProof/>
              </w:rPr>
              <w:fldChar w:fldCharType="separate"/>
            </w:r>
            <w:r>
              <w:rPr>
                <w:noProof/>
              </w:rPr>
              <w:t>10</w:t>
            </w:r>
            <w:r>
              <w:rPr>
                <w:noProof/>
              </w:rPr>
              <w:fldChar w:fldCharType="end"/>
            </w:r>
          </w:hyperlink>
        </w:p>
        <w:p w14:paraId="389D21B5" w14:textId="2CC11360"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89" w:history="1">
            <w:r w:rsidRPr="004444C9">
              <w:rPr>
                <w:rStyle w:val="Hyperlink"/>
                <w:noProof/>
              </w:rPr>
              <w:t>5.1. Cuantificación y co-ocurrencia</w:t>
            </w:r>
            <w:r>
              <w:rPr>
                <w:noProof/>
              </w:rPr>
              <w:tab/>
            </w:r>
            <w:r>
              <w:rPr>
                <w:noProof/>
              </w:rPr>
              <w:fldChar w:fldCharType="begin"/>
            </w:r>
            <w:r>
              <w:rPr>
                <w:noProof/>
              </w:rPr>
              <w:instrText xml:space="preserve"> PAGEREF _Toc240984889 \h </w:instrText>
            </w:r>
            <w:r>
              <w:rPr>
                <w:noProof/>
              </w:rPr>
            </w:r>
            <w:r>
              <w:rPr>
                <w:noProof/>
              </w:rPr>
              <w:fldChar w:fldCharType="separate"/>
            </w:r>
            <w:r>
              <w:rPr>
                <w:noProof/>
              </w:rPr>
              <w:t>10</w:t>
            </w:r>
            <w:r>
              <w:rPr>
                <w:noProof/>
              </w:rPr>
              <w:fldChar w:fldCharType="end"/>
            </w:r>
          </w:hyperlink>
        </w:p>
        <w:p w14:paraId="7F22FB63" w14:textId="5A23DA32"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90" w:history="1">
            <w:r w:rsidRPr="004444C9">
              <w:rPr>
                <w:rStyle w:val="Hyperlink"/>
                <w:noProof/>
              </w:rPr>
              <w:t>5.2. El faltante estructural como información</w:t>
            </w:r>
            <w:r>
              <w:rPr>
                <w:noProof/>
              </w:rPr>
              <w:tab/>
            </w:r>
            <w:r>
              <w:rPr>
                <w:noProof/>
              </w:rPr>
              <w:fldChar w:fldCharType="begin"/>
            </w:r>
            <w:r>
              <w:rPr>
                <w:noProof/>
              </w:rPr>
              <w:instrText xml:space="preserve"> PAGEREF _Toc240984890 \h </w:instrText>
            </w:r>
            <w:r>
              <w:rPr>
                <w:noProof/>
              </w:rPr>
            </w:r>
            <w:r>
              <w:rPr>
                <w:noProof/>
              </w:rPr>
              <w:fldChar w:fldCharType="separate"/>
            </w:r>
            <w:r>
              <w:rPr>
                <w:noProof/>
              </w:rPr>
              <w:t>12</w:t>
            </w:r>
            <w:r>
              <w:rPr>
                <w:noProof/>
              </w:rPr>
              <w:fldChar w:fldCharType="end"/>
            </w:r>
          </w:hyperlink>
        </w:p>
        <w:p w14:paraId="7C12EE9C" w14:textId="5B9EAE44"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91" w:history="1">
            <w:r w:rsidRPr="004444C9">
              <w:rPr>
                <w:rStyle w:val="Hyperlink"/>
                <w:noProof/>
              </w:rPr>
              <w:t>5.3. Diagnóstico del mecanismo de ausencia del precio</w:t>
            </w:r>
            <w:r>
              <w:rPr>
                <w:noProof/>
              </w:rPr>
              <w:tab/>
            </w:r>
            <w:r>
              <w:rPr>
                <w:noProof/>
              </w:rPr>
              <w:fldChar w:fldCharType="begin"/>
            </w:r>
            <w:r>
              <w:rPr>
                <w:noProof/>
              </w:rPr>
              <w:instrText xml:space="preserve"> PAGEREF _Toc240984891 \h </w:instrText>
            </w:r>
            <w:r>
              <w:rPr>
                <w:noProof/>
              </w:rPr>
            </w:r>
            <w:r>
              <w:rPr>
                <w:noProof/>
              </w:rPr>
              <w:fldChar w:fldCharType="separate"/>
            </w:r>
            <w:r>
              <w:rPr>
                <w:noProof/>
              </w:rPr>
              <w:t>12</w:t>
            </w:r>
            <w:r>
              <w:rPr>
                <w:noProof/>
              </w:rPr>
              <w:fldChar w:fldCharType="end"/>
            </w:r>
          </w:hyperlink>
        </w:p>
        <w:p w14:paraId="7D58DB5E" w14:textId="47423812"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92" w:history="1">
            <w:r w:rsidRPr="004444C9">
              <w:rPr>
                <w:rStyle w:val="Hyperlink"/>
                <w:noProof/>
              </w:rPr>
              <w:t>5.4. Selección de la estrategia mediante validación</w:t>
            </w:r>
            <w:r>
              <w:rPr>
                <w:noProof/>
              </w:rPr>
              <w:tab/>
            </w:r>
            <w:r>
              <w:rPr>
                <w:noProof/>
              </w:rPr>
              <w:fldChar w:fldCharType="begin"/>
            </w:r>
            <w:r>
              <w:rPr>
                <w:noProof/>
              </w:rPr>
              <w:instrText xml:space="preserve"> PAGEREF _Toc240984892 \h </w:instrText>
            </w:r>
            <w:r>
              <w:rPr>
                <w:noProof/>
              </w:rPr>
            </w:r>
            <w:r>
              <w:rPr>
                <w:noProof/>
              </w:rPr>
              <w:fldChar w:fldCharType="separate"/>
            </w:r>
            <w:r>
              <w:rPr>
                <w:noProof/>
              </w:rPr>
              <w:t>13</w:t>
            </w:r>
            <w:r>
              <w:rPr>
                <w:noProof/>
              </w:rPr>
              <w:fldChar w:fldCharType="end"/>
            </w:r>
          </w:hyperlink>
        </w:p>
        <w:p w14:paraId="54E4995C" w14:textId="5E7D1C49"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93" w:history="1">
            <w:r w:rsidRPr="004444C9">
              <w:rPr>
                <w:rStyle w:val="Hyperlink"/>
                <w:noProof/>
              </w:rPr>
              <w:t>5.5. Decisiones adoptadas y prevención de circularidad</w:t>
            </w:r>
            <w:r>
              <w:rPr>
                <w:noProof/>
              </w:rPr>
              <w:tab/>
            </w:r>
            <w:r>
              <w:rPr>
                <w:noProof/>
              </w:rPr>
              <w:fldChar w:fldCharType="begin"/>
            </w:r>
            <w:r>
              <w:rPr>
                <w:noProof/>
              </w:rPr>
              <w:instrText xml:space="preserve"> PAGEREF _Toc240984893 \h </w:instrText>
            </w:r>
            <w:r>
              <w:rPr>
                <w:noProof/>
              </w:rPr>
            </w:r>
            <w:r>
              <w:rPr>
                <w:noProof/>
              </w:rPr>
              <w:fldChar w:fldCharType="separate"/>
            </w:r>
            <w:r>
              <w:rPr>
                <w:noProof/>
              </w:rPr>
              <w:t>14</w:t>
            </w:r>
            <w:r>
              <w:rPr>
                <w:noProof/>
              </w:rPr>
              <w:fldChar w:fldCharType="end"/>
            </w:r>
          </w:hyperlink>
        </w:p>
        <w:p w14:paraId="60DC5422" w14:textId="6F9E96B1" w:rsidR="00D543FF" w:rsidRDefault="00D543FF">
          <w:pPr>
            <w:pStyle w:val="TOC1"/>
            <w:tabs>
              <w:tab w:val="right" w:leader="dot" w:pos="9062"/>
            </w:tabs>
            <w:rPr>
              <w:rFonts w:asciiTheme="minorHAnsi" w:eastAsiaTheme="minorEastAsia" w:hAnsiTheme="minorHAnsi" w:cstheme="minorBidi"/>
              <w:noProof/>
              <w:kern w:val="2"/>
              <w14:ligatures w14:val="standardContextual"/>
            </w:rPr>
          </w:pPr>
          <w:hyperlink w:anchor="_Toc240984894" w:history="1">
            <w:r w:rsidRPr="004444C9">
              <w:rPr>
                <w:rStyle w:val="Hyperlink"/>
                <w:noProof/>
              </w:rPr>
              <w:t>6. Análisis de datos atípicos</w:t>
            </w:r>
            <w:r>
              <w:rPr>
                <w:noProof/>
              </w:rPr>
              <w:tab/>
            </w:r>
            <w:r>
              <w:rPr>
                <w:noProof/>
              </w:rPr>
              <w:fldChar w:fldCharType="begin"/>
            </w:r>
            <w:r>
              <w:rPr>
                <w:noProof/>
              </w:rPr>
              <w:instrText xml:space="preserve"> PAGEREF _Toc240984894 \h </w:instrText>
            </w:r>
            <w:r>
              <w:rPr>
                <w:noProof/>
              </w:rPr>
            </w:r>
            <w:r>
              <w:rPr>
                <w:noProof/>
              </w:rPr>
              <w:fldChar w:fldCharType="separate"/>
            </w:r>
            <w:r>
              <w:rPr>
                <w:noProof/>
              </w:rPr>
              <w:t>14</w:t>
            </w:r>
            <w:r>
              <w:rPr>
                <w:noProof/>
              </w:rPr>
              <w:fldChar w:fldCharType="end"/>
            </w:r>
          </w:hyperlink>
        </w:p>
        <w:p w14:paraId="7F9483E6" w14:textId="75434CF2"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95" w:history="1">
            <w:r w:rsidRPr="004444C9">
              <w:rPr>
                <w:rStyle w:val="Hyperlink"/>
                <w:noProof/>
              </w:rPr>
              <w:t>6.1. Comparación de criterios de detección</w:t>
            </w:r>
            <w:r>
              <w:rPr>
                <w:noProof/>
              </w:rPr>
              <w:tab/>
            </w:r>
            <w:r>
              <w:rPr>
                <w:noProof/>
              </w:rPr>
              <w:fldChar w:fldCharType="begin"/>
            </w:r>
            <w:r>
              <w:rPr>
                <w:noProof/>
              </w:rPr>
              <w:instrText xml:space="preserve"> PAGEREF _Toc240984895 \h </w:instrText>
            </w:r>
            <w:r>
              <w:rPr>
                <w:noProof/>
              </w:rPr>
            </w:r>
            <w:r>
              <w:rPr>
                <w:noProof/>
              </w:rPr>
              <w:fldChar w:fldCharType="separate"/>
            </w:r>
            <w:r>
              <w:rPr>
                <w:noProof/>
              </w:rPr>
              <w:t>14</w:t>
            </w:r>
            <w:r>
              <w:rPr>
                <w:noProof/>
              </w:rPr>
              <w:fldChar w:fldCharType="end"/>
            </w:r>
          </w:hyperlink>
        </w:p>
        <w:p w14:paraId="7F950FCD" w14:textId="3D613A58"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96" w:history="1">
            <w:r w:rsidRPr="004444C9">
              <w:rPr>
                <w:rStyle w:val="Hyperlink"/>
                <w:noProof/>
              </w:rPr>
              <w:t>6.2. Naturaleza y causa: la extremidad estadística no identifica errores</w:t>
            </w:r>
            <w:r>
              <w:rPr>
                <w:noProof/>
              </w:rPr>
              <w:tab/>
            </w:r>
            <w:r>
              <w:rPr>
                <w:noProof/>
              </w:rPr>
              <w:fldChar w:fldCharType="begin"/>
            </w:r>
            <w:r>
              <w:rPr>
                <w:noProof/>
              </w:rPr>
              <w:instrText xml:space="preserve"> PAGEREF _Toc240984896 \h </w:instrText>
            </w:r>
            <w:r>
              <w:rPr>
                <w:noProof/>
              </w:rPr>
            </w:r>
            <w:r>
              <w:rPr>
                <w:noProof/>
              </w:rPr>
              <w:fldChar w:fldCharType="separate"/>
            </w:r>
            <w:r>
              <w:rPr>
                <w:noProof/>
              </w:rPr>
              <w:t>15</w:t>
            </w:r>
            <w:r>
              <w:rPr>
                <w:noProof/>
              </w:rPr>
              <w:fldChar w:fldCharType="end"/>
            </w:r>
          </w:hyperlink>
        </w:p>
        <w:p w14:paraId="148C386A" w14:textId="0E50DAB2"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97" w:history="1">
            <w:r w:rsidRPr="004444C9">
              <w:rPr>
                <w:rStyle w:val="Hyperlink"/>
                <w:noProof/>
              </w:rPr>
              <w:t>6.3. Impacto sobre las conclusiones</w:t>
            </w:r>
            <w:r>
              <w:rPr>
                <w:noProof/>
              </w:rPr>
              <w:tab/>
            </w:r>
            <w:r>
              <w:rPr>
                <w:noProof/>
              </w:rPr>
              <w:fldChar w:fldCharType="begin"/>
            </w:r>
            <w:r>
              <w:rPr>
                <w:noProof/>
              </w:rPr>
              <w:instrText xml:space="preserve"> PAGEREF _Toc240984897 \h </w:instrText>
            </w:r>
            <w:r>
              <w:rPr>
                <w:noProof/>
              </w:rPr>
            </w:r>
            <w:r>
              <w:rPr>
                <w:noProof/>
              </w:rPr>
              <w:fldChar w:fldCharType="separate"/>
            </w:r>
            <w:r>
              <w:rPr>
                <w:noProof/>
              </w:rPr>
              <w:t>17</w:t>
            </w:r>
            <w:r>
              <w:rPr>
                <w:noProof/>
              </w:rPr>
              <w:fldChar w:fldCharType="end"/>
            </w:r>
          </w:hyperlink>
        </w:p>
        <w:p w14:paraId="625D079B" w14:textId="66AE0DFF"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898" w:history="1">
            <w:r w:rsidRPr="004444C9">
              <w:rPr>
                <w:rStyle w:val="Hyperlink"/>
                <w:noProof/>
              </w:rPr>
              <w:t>6.4. Tratamiento adoptado</w:t>
            </w:r>
            <w:r>
              <w:rPr>
                <w:noProof/>
              </w:rPr>
              <w:tab/>
            </w:r>
            <w:r>
              <w:rPr>
                <w:noProof/>
              </w:rPr>
              <w:fldChar w:fldCharType="begin"/>
            </w:r>
            <w:r>
              <w:rPr>
                <w:noProof/>
              </w:rPr>
              <w:instrText xml:space="preserve"> PAGEREF _Toc240984898 \h </w:instrText>
            </w:r>
            <w:r>
              <w:rPr>
                <w:noProof/>
              </w:rPr>
            </w:r>
            <w:r>
              <w:rPr>
                <w:noProof/>
              </w:rPr>
              <w:fldChar w:fldCharType="separate"/>
            </w:r>
            <w:r>
              <w:rPr>
                <w:noProof/>
              </w:rPr>
              <w:t>17</w:t>
            </w:r>
            <w:r>
              <w:rPr>
                <w:noProof/>
              </w:rPr>
              <w:fldChar w:fldCharType="end"/>
            </w:r>
          </w:hyperlink>
        </w:p>
        <w:p w14:paraId="25F9C1FE" w14:textId="64ABA3B4" w:rsidR="00D543FF" w:rsidRDefault="00D543FF">
          <w:pPr>
            <w:pStyle w:val="TOC1"/>
            <w:tabs>
              <w:tab w:val="right" w:leader="dot" w:pos="9062"/>
            </w:tabs>
            <w:rPr>
              <w:rFonts w:asciiTheme="minorHAnsi" w:eastAsiaTheme="minorEastAsia" w:hAnsiTheme="minorHAnsi" w:cstheme="minorBidi"/>
              <w:noProof/>
              <w:kern w:val="2"/>
              <w14:ligatures w14:val="standardContextual"/>
            </w:rPr>
          </w:pPr>
          <w:hyperlink w:anchor="_Toc240984899" w:history="1">
            <w:r w:rsidRPr="004444C9">
              <w:rPr>
                <w:rStyle w:val="Hyperlink"/>
                <w:noProof/>
              </w:rPr>
              <w:t>7. Análisis comparativo entre variables</w:t>
            </w:r>
            <w:r>
              <w:rPr>
                <w:noProof/>
              </w:rPr>
              <w:tab/>
            </w:r>
            <w:r>
              <w:rPr>
                <w:noProof/>
              </w:rPr>
              <w:fldChar w:fldCharType="begin"/>
            </w:r>
            <w:r>
              <w:rPr>
                <w:noProof/>
              </w:rPr>
              <w:instrText xml:space="preserve"> PAGEREF _Toc240984899 \h </w:instrText>
            </w:r>
            <w:r>
              <w:rPr>
                <w:noProof/>
              </w:rPr>
            </w:r>
            <w:r>
              <w:rPr>
                <w:noProof/>
              </w:rPr>
              <w:fldChar w:fldCharType="separate"/>
            </w:r>
            <w:r>
              <w:rPr>
                <w:noProof/>
              </w:rPr>
              <w:t>18</w:t>
            </w:r>
            <w:r>
              <w:rPr>
                <w:noProof/>
              </w:rPr>
              <w:fldChar w:fldCharType="end"/>
            </w:r>
          </w:hyperlink>
        </w:p>
        <w:p w14:paraId="7993EA56" w14:textId="42D395C4"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900" w:history="1">
            <w:r w:rsidRPr="004444C9">
              <w:rPr>
                <w:rStyle w:val="Hyperlink"/>
                <w:noProof/>
              </w:rPr>
              <w:t>7.1. Relación entre precio y puntaje</w:t>
            </w:r>
            <w:r>
              <w:rPr>
                <w:noProof/>
              </w:rPr>
              <w:tab/>
            </w:r>
            <w:r>
              <w:rPr>
                <w:noProof/>
              </w:rPr>
              <w:fldChar w:fldCharType="begin"/>
            </w:r>
            <w:r>
              <w:rPr>
                <w:noProof/>
              </w:rPr>
              <w:instrText xml:space="preserve"> PAGEREF _Toc240984900 \h </w:instrText>
            </w:r>
            <w:r>
              <w:rPr>
                <w:noProof/>
              </w:rPr>
            </w:r>
            <w:r>
              <w:rPr>
                <w:noProof/>
              </w:rPr>
              <w:fldChar w:fldCharType="separate"/>
            </w:r>
            <w:r>
              <w:rPr>
                <w:noProof/>
              </w:rPr>
              <w:t>18</w:t>
            </w:r>
            <w:r>
              <w:rPr>
                <w:noProof/>
              </w:rPr>
              <w:fldChar w:fldCharType="end"/>
            </w:r>
          </w:hyperlink>
        </w:p>
        <w:p w14:paraId="3A91E6DE" w14:textId="17803836"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901" w:history="1">
            <w:r w:rsidRPr="004444C9">
              <w:rPr>
                <w:rStyle w:val="Hyperlink"/>
                <w:noProof/>
              </w:rPr>
              <w:t>7.2. Comparación entre países</w:t>
            </w:r>
            <w:r>
              <w:rPr>
                <w:noProof/>
              </w:rPr>
              <w:tab/>
            </w:r>
            <w:r>
              <w:rPr>
                <w:noProof/>
              </w:rPr>
              <w:fldChar w:fldCharType="begin"/>
            </w:r>
            <w:r>
              <w:rPr>
                <w:noProof/>
              </w:rPr>
              <w:instrText xml:space="preserve"> PAGEREF _Toc240984901 \h </w:instrText>
            </w:r>
            <w:r>
              <w:rPr>
                <w:noProof/>
              </w:rPr>
            </w:r>
            <w:r>
              <w:rPr>
                <w:noProof/>
              </w:rPr>
              <w:fldChar w:fldCharType="separate"/>
            </w:r>
            <w:r>
              <w:rPr>
                <w:noProof/>
              </w:rPr>
              <w:t>19</w:t>
            </w:r>
            <w:r>
              <w:rPr>
                <w:noProof/>
              </w:rPr>
              <w:fldChar w:fldCharType="end"/>
            </w:r>
          </w:hyperlink>
        </w:p>
        <w:p w14:paraId="0A52B5C8" w14:textId="6F8FE130"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902" w:history="1">
            <w:r w:rsidRPr="004444C9">
              <w:rPr>
                <w:rStyle w:val="Hyperlink"/>
                <w:noProof/>
              </w:rPr>
              <w:t>7.3. El año de cosecha como variable derivada</w:t>
            </w:r>
            <w:r>
              <w:rPr>
                <w:noProof/>
              </w:rPr>
              <w:tab/>
            </w:r>
            <w:r>
              <w:rPr>
                <w:noProof/>
              </w:rPr>
              <w:fldChar w:fldCharType="begin"/>
            </w:r>
            <w:r>
              <w:rPr>
                <w:noProof/>
              </w:rPr>
              <w:instrText xml:space="preserve"> PAGEREF _Toc240984902 \h </w:instrText>
            </w:r>
            <w:r>
              <w:rPr>
                <w:noProof/>
              </w:rPr>
            </w:r>
            <w:r>
              <w:rPr>
                <w:noProof/>
              </w:rPr>
              <w:fldChar w:fldCharType="separate"/>
            </w:r>
            <w:r>
              <w:rPr>
                <w:noProof/>
              </w:rPr>
              <w:t>20</w:t>
            </w:r>
            <w:r>
              <w:rPr>
                <w:noProof/>
              </w:rPr>
              <w:fldChar w:fldCharType="end"/>
            </w:r>
          </w:hyperlink>
        </w:p>
        <w:p w14:paraId="2214790C" w14:textId="1C77ADB6" w:rsidR="00D543FF" w:rsidRDefault="00D543FF">
          <w:pPr>
            <w:pStyle w:val="TOC2"/>
            <w:tabs>
              <w:tab w:val="right" w:leader="dot" w:pos="9062"/>
            </w:tabs>
            <w:rPr>
              <w:rFonts w:asciiTheme="minorHAnsi" w:eastAsiaTheme="minorEastAsia" w:hAnsiTheme="minorHAnsi" w:cstheme="minorBidi"/>
              <w:noProof/>
              <w:kern w:val="2"/>
              <w14:ligatures w14:val="standardContextual"/>
            </w:rPr>
          </w:pPr>
          <w:hyperlink w:anchor="_Toc240984903" w:history="1">
            <w:r w:rsidRPr="004444C9">
              <w:rPr>
                <w:rStyle w:val="Hyperlink"/>
                <w:noProof/>
              </w:rPr>
              <w:t>7.4. Efecto del catador y confusión por variable omitida</w:t>
            </w:r>
            <w:r>
              <w:rPr>
                <w:noProof/>
              </w:rPr>
              <w:tab/>
            </w:r>
            <w:r>
              <w:rPr>
                <w:noProof/>
              </w:rPr>
              <w:fldChar w:fldCharType="begin"/>
            </w:r>
            <w:r>
              <w:rPr>
                <w:noProof/>
              </w:rPr>
              <w:instrText xml:space="preserve"> PAGEREF _Toc240984903 \h </w:instrText>
            </w:r>
            <w:r>
              <w:rPr>
                <w:noProof/>
              </w:rPr>
            </w:r>
            <w:r>
              <w:rPr>
                <w:noProof/>
              </w:rPr>
              <w:fldChar w:fldCharType="separate"/>
            </w:r>
            <w:r>
              <w:rPr>
                <w:noProof/>
              </w:rPr>
              <w:t>21</w:t>
            </w:r>
            <w:r>
              <w:rPr>
                <w:noProof/>
              </w:rPr>
              <w:fldChar w:fldCharType="end"/>
            </w:r>
          </w:hyperlink>
        </w:p>
        <w:p w14:paraId="06748E77" w14:textId="301DD995" w:rsidR="00D543FF" w:rsidRDefault="00D543FF">
          <w:pPr>
            <w:pStyle w:val="TOC1"/>
            <w:tabs>
              <w:tab w:val="right" w:leader="dot" w:pos="9062"/>
            </w:tabs>
            <w:rPr>
              <w:rFonts w:asciiTheme="minorHAnsi" w:eastAsiaTheme="minorEastAsia" w:hAnsiTheme="minorHAnsi" w:cstheme="minorBidi"/>
              <w:noProof/>
              <w:kern w:val="2"/>
              <w14:ligatures w14:val="standardContextual"/>
            </w:rPr>
          </w:pPr>
          <w:hyperlink w:anchor="_Toc240984904" w:history="1">
            <w:r w:rsidRPr="004444C9">
              <w:rPr>
                <w:rStyle w:val="Hyperlink"/>
                <w:noProof/>
              </w:rPr>
              <w:t>8. Conclusiones</w:t>
            </w:r>
            <w:r>
              <w:rPr>
                <w:noProof/>
              </w:rPr>
              <w:tab/>
            </w:r>
            <w:r>
              <w:rPr>
                <w:noProof/>
              </w:rPr>
              <w:fldChar w:fldCharType="begin"/>
            </w:r>
            <w:r>
              <w:rPr>
                <w:noProof/>
              </w:rPr>
              <w:instrText xml:space="preserve"> PAGEREF _Toc240984904 \h </w:instrText>
            </w:r>
            <w:r>
              <w:rPr>
                <w:noProof/>
              </w:rPr>
            </w:r>
            <w:r>
              <w:rPr>
                <w:noProof/>
              </w:rPr>
              <w:fldChar w:fldCharType="separate"/>
            </w:r>
            <w:r>
              <w:rPr>
                <w:noProof/>
              </w:rPr>
              <w:t>22</w:t>
            </w:r>
            <w:r>
              <w:rPr>
                <w:noProof/>
              </w:rPr>
              <w:fldChar w:fldCharType="end"/>
            </w:r>
          </w:hyperlink>
        </w:p>
        <w:p w14:paraId="408A1B2F" w14:textId="6301A72B" w:rsidR="00D543FF" w:rsidRDefault="00D543FF">
          <w:pPr>
            <w:pStyle w:val="TOC1"/>
            <w:tabs>
              <w:tab w:val="right" w:leader="dot" w:pos="9062"/>
            </w:tabs>
            <w:rPr>
              <w:rFonts w:asciiTheme="minorHAnsi" w:eastAsiaTheme="minorEastAsia" w:hAnsiTheme="minorHAnsi" w:cstheme="minorBidi"/>
              <w:noProof/>
              <w:kern w:val="2"/>
              <w14:ligatures w14:val="standardContextual"/>
            </w:rPr>
          </w:pPr>
          <w:hyperlink w:anchor="_Toc240984905" w:history="1">
            <w:r w:rsidRPr="004444C9">
              <w:rPr>
                <w:rStyle w:val="Hyperlink"/>
                <w:noProof/>
              </w:rPr>
              <w:t>9. Referencias</w:t>
            </w:r>
            <w:r>
              <w:rPr>
                <w:noProof/>
              </w:rPr>
              <w:tab/>
            </w:r>
            <w:r>
              <w:rPr>
                <w:noProof/>
              </w:rPr>
              <w:fldChar w:fldCharType="begin"/>
            </w:r>
            <w:r>
              <w:rPr>
                <w:noProof/>
              </w:rPr>
              <w:instrText xml:space="preserve"> PAGEREF _Toc240984905 \h </w:instrText>
            </w:r>
            <w:r>
              <w:rPr>
                <w:noProof/>
              </w:rPr>
            </w:r>
            <w:r>
              <w:rPr>
                <w:noProof/>
              </w:rPr>
              <w:fldChar w:fldCharType="separate"/>
            </w:r>
            <w:r>
              <w:rPr>
                <w:noProof/>
              </w:rPr>
              <w:t>22</w:t>
            </w:r>
            <w:r>
              <w:rPr>
                <w:noProof/>
              </w:rPr>
              <w:fldChar w:fldCharType="end"/>
            </w:r>
          </w:hyperlink>
        </w:p>
        <w:p w14:paraId="0D41BD82" w14:textId="5BFC5CFC" w:rsidR="00D543FF" w:rsidRDefault="00D543FF">
          <w:pPr>
            <w:pStyle w:val="TOC1"/>
            <w:tabs>
              <w:tab w:val="right" w:leader="dot" w:pos="9062"/>
            </w:tabs>
            <w:rPr>
              <w:rFonts w:asciiTheme="minorHAnsi" w:eastAsiaTheme="minorEastAsia" w:hAnsiTheme="minorHAnsi" w:cstheme="minorBidi"/>
              <w:noProof/>
              <w:kern w:val="2"/>
              <w14:ligatures w14:val="standardContextual"/>
            </w:rPr>
          </w:pPr>
          <w:hyperlink w:anchor="_Toc240984906" w:history="1">
            <w:r w:rsidRPr="004444C9">
              <w:rPr>
                <w:rStyle w:val="Hyperlink"/>
                <w:noProof/>
              </w:rPr>
              <w:t>Anexo. Estructura del script</w:t>
            </w:r>
            <w:r>
              <w:rPr>
                <w:noProof/>
              </w:rPr>
              <w:tab/>
            </w:r>
            <w:r>
              <w:rPr>
                <w:noProof/>
              </w:rPr>
              <w:fldChar w:fldCharType="begin"/>
            </w:r>
            <w:r>
              <w:rPr>
                <w:noProof/>
              </w:rPr>
              <w:instrText xml:space="preserve"> PAGEREF _Toc240984906 \h </w:instrText>
            </w:r>
            <w:r>
              <w:rPr>
                <w:noProof/>
              </w:rPr>
            </w:r>
            <w:r>
              <w:rPr>
                <w:noProof/>
              </w:rPr>
              <w:fldChar w:fldCharType="separate"/>
            </w:r>
            <w:r>
              <w:rPr>
                <w:noProof/>
              </w:rPr>
              <w:t>24</w:t>
            </w:r>
            <w:r>
              <w:rPr>
                <w:noProof/>
              </w:rPr>
              <w:fldChar w:fldCharType="end"/>
            </w:r>
          </w:hyperlink>
        </w:p>
        <w:p w14:paraId="2EE4B15E" w14:textId="2E0FD921" w:rsidR="00E73300" w:rsidRDefault="00A3128C">
          <w:r>
            <w:fldChar w:fldCharType="end"/>
          </w:r>
        </w:p>
      </w:sdtContent>
    </w:sdt>
    <w:p w14:paraId="2EE4B15F" w14:textId="77777777" w:rsidR="00E73300" w:rsidRDefault="00A3128C">
      <w:r>
        <w:br w:type="page"/>
      </w:r>
    </w:p>
    <w:p w14:paraId="2EE4B160" w14:textId="77777777" w:rsidR="00E73300" w:rsidRDefault="00A3128C">
      <w:pPr>
        <w:pStyle w:val="Heading1"/>
      </w:pPr>
      <w:bookmarkStart w:id="0" w:name="_Toc240984875"/>
      <w:r>
        <w:lastRenderedPageBreak/>
        <w:t>1. Introducción</w:t>
      </w:r>
      <w:bookmarkEnd w:id="0"/>
    </w:p>
    <w:p w14:paraId="2EE4B161" w14:textId="77777777" w:rsidR="00E73300" w:rsidRDefault="00A3128C">
      <w:pPr>
        <w:ind w:firstLine="720"/>
        <w:jc w:val="both"/>
      </w:pPr>
      <w:r>
        <w:t>El presente informe documenta un análisis exploratorio sobre un conjunto de 129.971 reseñas de vinos publicadas por WineEnthusiast. El objetivo es comprender la estructura de los datos, detectar y corregir sus defectos, y extraer conclusiones sustentadas sobre las características, precios y calificaciones de los vinos reseñados.</w:t>
      </w:r>
    </w:p>
    <w:p w14:paraId="2EE4B162" w14:textId="77777777" w:rsidR="00E73300" w:rsidRDefault="00A3128C">
      <w:pPr>
        <w:ind w:firstLine="720"/>
        <w:jc w:val="both"/>
      </w:pPr>
      <w:r>
        <w:t>El trabajo se organiza en seis etapas que se corresponden con las secciones del script entregado: carga e integridad del archivo, perfilado estructural, análisis descriptivo y visual, tratamiento de datos faltantes, análisis de datos atípicos y análisis comparativo entre variables.</w:t>
      </w:r>
    </w:p>
    <w:p w14:paraId="2EE4B163" w14:textId="77777777" w:rsidR="00E73300" w:rsidRDefault="00A3128C">
      <w:pPr>
        <w:ind w:firstLine="720"/>
        <w:jc w:val="both"/>
      </w:pPr>
      <w:r>
        <w:t xml:space="preserve">Una advertencia metodológica recorre todo el informe y conviene enunciarla desde el comienzo: </w:t>
      </w:r>
      <w:r>
        <w:rPr>
          <w:b/>
          <w:bCs/>
        </w:rPr>
        <w:t>la ausencia de un mensaje de error no es evidencia de que los datos sean correctos</w:t>
      </w:r>
      <w:r>
        <w:t>. El archivo entregado se carga sin lanzar excepciones y, pese a ello, llega al analista con tres formas independientes de corrupción. Detectarlas exigió definir criterios de verificación antes de la carga, y no después.</w:t>
      </w:r>
    </w:p>
    <w:p w14:paraId="2EE4B164" w14:textId="77777777" w:rsidR="00E73300" w:rsidRDefault="00A3128C">
      <w:pPr>
        <w:pStyle w:val="Heading1"/>
      </w:pPr>
      <w:bookmarkStart w:id="1" w:name="_Toc240984876"/>
      <w:r>
        <w:t>2. Descripción del conjunto de datos</w:t>
      </w:r>
      <w:bookmarkEnd w:id="1"/>
    </w:p>
    <w:p w14:paraId="2EE4B165" w14:textId="77777777" w:rsidR="00E73300" w:rsidRDefault="00A3128C">
      <w:pPr>
        <w:ind w:firstLine="720"/>
        <w:jc w:val="both"/>
      </w:pPr>
      <w:r>
        <w:t>El conjunto reúne reseñas de vinos con información sobre su origen geográfico, la variedad de uva, la bodega productora, el precio de una botella, el puntaje asignado y la nota de cata redactada por el catador. Cada fila corresponde a una reseña.</w:t>
      </w:r>
    </w:p>
    <w:p w14:paraId="2EE4B166" w14:textId="77777777" w:rsidR="00E73300" w:rsidRDefault="00A3128C">
      <w:pPr>
        <w:ind w:firstLine="720"/>
        <w:jc w:val="both"/>
      </w:pPr>
      <w:r>
        <w:t>El enunciado de la actividad describe el archivo como un conjunto de 130.000 reseñas distribuidas en 10 columnas. La verificación contra el archivo real arroja 129.971 reseñas y 13 columnas. La discrepancia en el número de columnas no es de redondeo: el propio enunciado enumera trece nombres de campo en su descripción detallada, de modo que se contradice a sí mismo dentro de la misma página.</w:t>
      </w:r>
    </w:p>
    <w:p w14:paraId="2EE4B167" w14:textId="77777777" w:rsidR="00E73300" w:rsidRDefault="00A3128C">
      <w:pPr>
        <w:ind w:firstLine="720"/>
        <w:jc w:val="both"/>
      </w:pPr>
      <w:r>
        <w:t xml:space="preserve">Se adopta como criterio que </w:t>
      </w:r>
      <w:r>
        <w:rPr>
          <w:b/>
          <w:bCs/>
        </w:rPr>
        <w:t>los datos son la única evidencia de lo que el archivo contiene</w:t>
      </w:r>
      <w:r>
        <w:t>, mientras que el enunciado constituye una afirmación a verificar. Conviene precisar que de esta discrepancia no se sigue que el archivo sea correcto, sino únicamente que al menos una de las dos fuentes es errónea. Como se verá en la sección 3, en este caso ambas lo son.</w:t>
      </w:r>
    </w:p>
    <w:p w14:paraId="2EE4B168" w14:textId="77777777" w:rsidR="00E73300" w:rsidRDefault="00A3128C">
      <w:pPr>
        <w:keepNext/>
        <w:spacing w:before="240" w:after="80"/>
        <w:jc w:val="center"/>
      </w:pPr>
      <w:r>
        <w:rPr>
          <w:b/>
          <w:bCs/>
          <w:sz w:val="20"/>
          <w:szCs w:val="20"/>
        </w:rPr>
        <w:t xml:space="preserve">Tabla 1. </w:t>
      </w:r>
      <w:r>
        <w:rPr>
          <w:sz w:val="20"/>
          <w:szCs w:val="20"/>
        </w:rPr>
        <w:t>Variables del conjunto de datos y su naturaleza analítica.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1814"/>
        <w:gridCol w:w="5260"/>
      </w:tblGrid>
      <w:tr w:rsidR="00E73300" w14:paraId="2EE4B16C" w14:textId="77777777">
        <w:tblPrEx>
          <w:tblCellMar>
            <w:top w:w="0" w:type="dxa"/>
            <w:bottom w:w="0" w:type="dxa"/>
          </w:tblCellMar>
        </w:tblPrEx>
        <w:trPr>
          <w:cantSplit/>
          <w:tblHeader/>
        </w:trPr>
        <w:tc>
          <w:tcPr>
            <w:tcW w:w="1996" w:type="dxa"/>
            <w:shd w:val="clear" w:color="auto" w:fill="EDE3E6"/>
            <w:tcMar>
              <w:top w:w="60" w:type="dxa"/>
              <w:left w:w="100" w:type="dxa"/>
              <w:bottom w:w="60" w:type="dxa"/>
              <w:right w:w="100" w:type="dxa"/>
            </w:tcMar>
            <w:vAlign w:val="center"/>
          </w:tcPr>
          <w:p w14:paraId="2EE4B169" w14:textId="77777777" w:rsidR="00E73300" w:rsidRDefault="00A3128C">
            <w:r>
              <w:rPr>
                <w:b/>
                <w:bCs/>
                <w:sz w:val="20"/>
                <w:szCs w:val="20"/>
              </w:rPr>
              <w:t>Variable</w:t>
            </w:r>
          </w:p>
        </w:tc>
        <w:tc>
          <w:tcPr>
            <w:tcW w:w="1814" w:type="dxa"/>
            <w:shd w:val="clear" w:color="auto" w:fill="EDE3E6"/>
            <w:tcMar>
              <w:top w:w="60" w:type="dxa"/>
              <w:left w:w="100" w:type="dxa"/>
              <w:bottom w:w="60" w:type="dxa"/>
              <w:right w:w="100" w:type="dxa"/>
            </w:tcMar>
            <w:vAlign w:val="center"/>
          </w:tcPr>
          <w:p w14:paraId="2EE4B16A" w14:textId="77777777" w:rsidR="00E73300" w:rsidRDefault="00A3128C">
            <w:r>
              <w:rPr>
                <w:b/>
                <w:bCs/>
                <w:sz w:val="20"/>
                <w:szCs w:val="20"/>
              </w:rPr>
              <w:t>Tipo</w:t>
            </w:r>
          </w:p>
        </w:tc>
        <w:tc>
          <w:tcPr>
            <w:tcW w:w="5260" w:type="dxa"/>
            <w:shd w:val="clear" w:color="auto" w:fill="EDE3E6"/>
            <w:tcMar>
              <w:top w:w="60" w:type="dxa"/>
              <w:left w:w="100" w:type="dxa"/>
              <w:bottom w:w="60" w:type="dxa"/>
              <w:right w:w="100" w:type="dxa"/>
            </w:tcMar>
            <w:vAlign w:val="center"/>
          </w:tcPr>
          <w:p w14:paraId="2EE4B16B" w14:textId="77777777" w:rsidR="00E73300" w:rsidRDefault="00A3128C">
            <w:r>
              <w:rPr>
                <w:b/>
                <w:bCs/>
                <w:sz w:val="20"/>
                <w:szCs w:val="20"/>
              </w:rPr>
              <w:t>Descripción</w:t>
            </w:r>
          </w:p>
        </w:tc>
      </w:tr>
      <w:tr w:rsidR="00E73300" w14:paraId="2EE4B170"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6D" w14:textId="77777777" w:rsidR="00E73300" w:rsidRDefault="00A3128C">
            <w:r>
              <w:rPr>
                <w:sz w:val="20"/>
                <w:szCs w:val="20"/>
              </w:rPr>
              <w:t>country</w:t>
            </w:r>
          </w:p>
        </w:tc>
        <w:tc>
          <w:tcPr>
            <w:tcW w:w="1814" w:type="dxa"/>
            <w:tcMar>
              <w:top w:w="60" w:type="dxa"/>
              <w:left w:w="100" w:type="dxa"/>
              <w:bottom w:w="60" w:type="dxa"/>
              <w:right w:w="100" w:type="dxa"/>
            </w:tcMar>
            <w:vAlign w:val="center"/>
          </w:tcPr>
          <w:p w14:paraId="2EE4B16E" w14:textId="77777777" w:rsidR="00E73300" w:rsidRDefault="00A3128C">
            <w:r>
              <w:rPr>
                <w:sz w:val="20"/>
                <w:szCs w:val="20"/>
              </w:rPr>
              <w:t>Categórica</w:t>
            </w:r>
          </w:p>
        </w:tc>
        <w:tc>
          <w:tcPr>
            <w:tcW w:w="5260" w:type="dxa"/>
            <w:tcMar>
              <w:top w:w="60" w:type="dxa"/>
              <w:left w:w="100" w:type="dxa"/>
              <w:bottom w:w="60" w:type="dxa"/>
              <w:right w:w="100" w:type="dxa"/>
            </w:tcMar>
            <w:vAlign w:val="center"/>
          </w:tcPr>
          <w:p w14:paraId="2EE4B16F" w14:textId="77777777" w:rsidR="00E73300" w:rsidRDefault="00A3128C">
            <w:r>
              <w:rPr>
                <w:sz w:val="20"/>
                <w:szCs w:val="20"/>
              </w:rPr>
              <w:t>País de origen del vino (43 valores)</w:t>
            </w:r>
          </w:p>
        </w:tc>
      </w:tr>
      <w:tr w:rsidR="00E73300" w14:paraId="2EE4B174"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71" w14:textId="77777777" w:rsidR="00E73300" w:rsidRDefault="00A3128C">
            <w:r>
              <w:rPr>
                <w:sz w:val="20"/>
                <w:szCs w:val="20"/>
              </w:rPr>
              <w:lastRenderedPageBreak/>
              <w:t>description</w:t>
            </w:r>
          </w:p>
        </w:tc>
        <w:tc>
          <w:tcPr>
            <w:tcW w:w="1814" w:type="dxa"/>
            <w:tcMar>
              <w:top w:w="60" w:type="dxa"/>
              <w:left w:w="100" w:type="dxa"/>
              <w:bottom w:w="60" w:type="dxa"/>
              <w:right w:w="100" w:type="dxa"/>
            </w:tcMar>
            <w:vAlign w:val="center"/>
          </w:tcPr>
          <w:p w14:paraId="2EE4B172" w14:textId="77777777" w:rsidR="00E73300" w:rsidRDefault="00A3128C">
            <w:r>
              <w:rPr>
                <w:sz w:val="20"/>
                <w:szCs w:val="20"/>
              </w:rPr>
              <w:t>Texto libre</w:t>
            </w:r>
          </w:p>
        </w:tc>
        <w:tc>
          <w:tcPr>
            <w:tcW w:w="5260" w:type="dxa"/>
            <w:tcMar>
              <w:top w:w="60" w:type="dxa"/>
              <w:left w:w="100" w:type="dxa"/>
              <w:bottom w:w="60" w:type="dxa"/>
              <w:right w:w="100" w:type="dxa"/>
            </w:tcMar>
            <w:vAlign w:val="center"/>
          </w:tcPr>
          <w:p w14:paraId="2EE4B173" w14:textId="77777777" w:rsidR="00E73300" w:rsidRDefault="00A3128C">
            <w:r>
              <w:rPr>
                <w:sz w:val="20"/>
                <w:szCs w:val="20"/>
              </w:rPr>
              <w:t>Nota de cata redactada por el catador</w:t>
            </w:r>
          </w:p>
        </w:tc>
      </w:tr>
      <w:tr w:rsidR="00E73300" w14:paraId="2EE4B178"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75" w14:textId="77777777" w:rsidR="00E73300" w:rsidRDefault="00A3128C">
            <w:r>
              <w:rPr>
                <w:sz w:val="20"/>
                <w:szCs w:val="20"/>
              </w:rPr>
              <w:t>designation</w:t>
            </w:r>
          </w:p>
        </w:tc>
        <w:tc>
          <w:tcPr>
            <w:tcW w:w="1814" w:type="dxa"/>
            <w:tcMar>
              <w:top w:w="60" w:type="dxa"/>
              <w:left w:w="100" w:type="dxa"/>
              <w:bottom w:w="60" w:type="dxa"/>
              <w:right w:w="100" w:type="dxa"/>
            </w:tcMar>
            <w:vAlign w:val="center"/>
          </w:tcPr>
          <w:p w14:paraId="2EE4B176" w14:textId="77777777" w:rsidR="00E73300" w:rsidRDefault="00A3128C">
            <w:r>
              <w:rPr>
                <w:sz w:val="20"/>
                <w:szCs w:val="20"/>
              </w:rPr>
              <w:t>Categórica</w:t>
            </w:r>
          </w:p>
        </w:tc>
        <w:tc>
          <w:tcPr>
            <w:tcW w:w="5260" w:type="dxa"/>
            <w:tcMar>
              <w:top w:w="60" w:type="dxa"/>
              <w:left w:w="100" w:type="dxa"/>
              <w:bottom w:w="60" w:type="dxa"/>
              <w:right w:w="100" w:type="dxa"/>
            </w:tcMar>
            <w:vAlign w:val="center"/>
          </w:tcPr>
          <w:p w14:paraId="2EE4B177" w14:textId="77777777" w:rsidR="00E73300" w:rsidRDefault="00A3128C">
            <w:r>
              <w:rPr>
                <w:sz w:val="20"/>
                <w:szCs w:val="20"/>
              </w:rPr>
              <w:t>Viñedo específico dentro de la bodega</w:t>
            </w:r>
          </w:p>
        </w:tc>
      </w:tr>
      <w:tr w:rsidR="00E73300" w14:paraId="2EE4B17C"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79" w14:textId="77777777" w:rsidR="00E73300" w:rsidRDefault="00A3128C">
            <w:r>
              <w:rPr>
                <w:sz w:val="20"/>
                <w:szCs w:val="20"/>
              </w:rPr>
              <w:t>points</w:t>
            </w:r>
          </w:p>
        </w:tc>
        <w:tc>
          <w:tcPr>
            <w:tcW w:w="1814" w:type="dxa"/>
            <w:tcMar>
              <w:top w:w="60" w:type="dxa"/>
              <w:left w:w="100" w:type="dxa"/>
              <w:bottom w:w="60" w:type="dxa"/>
              <w:right w:w="100" w:type="dxa"/>
            </w:tcMar>
            <w:vAlign w:val="center"/>
          </w:tcPr>
          <w:p w14:paraId="2EE4B17A" w14:textId="77777777" w:rsidR="00E73300" w:rsidRDefault="00A3128C">
            <w:r>
              <w:rPr>
                <w:sz w:val="20"/>
                <w:szCs w:val="20"/>
              </w:rPr>
              <w:t>Numérica discreta</w:t>
            </w:r>
          </w:p>
        </w:tc>
        <w:tc>
          <w:tcPr>
            <w:tcW w:w="5260" w:type="dxa"/>
            <w:tcMar>
              <w:top w:w="60" w:type="dxa"/>
              <w:left w:w="100" w:type="dxa"/>
              <w:bottom w:w="60" w:type="dxa"/>
              <w:right w:w="100" w:type="dxa"/>
            </w:tcMar>
            <w:vAlign w:val="center"/>
          </w:tcPr>
          <w:p w14:paraId="2EE4B17B" w14:textId="77777777" w:rsidR="00E73300" w:rsidRDefault="00A3128C">
            <w:r>
              <w:rPr>
                <w:sz w:val="20"/>
                <w:szCs w:val="20"/>
              </w:rPr>
              <w:t>Puntaje de 80 a 100 asignado por WineEnthusiast</w:t>
            </w:r>
          </w:p>
        </w:tc>
      </w:tr>
      <w:tr w:rsidR="00E73300" w14:paraId="2EE4B180"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7D" w14:textId="77777777" w:rsidR="00E73300" w:rsidRDefault="00A3128C">
            <w:r>
              <w:rPr>
                <w:sz w:val="20"/>
                <w:szCs w:val="20"/>
              </w:rPr>
              <w:t>price</w:t>
            </w:r>
          </w:p>
        </w:tc>
        <w:tc>
          <w:tcPr>
            <w:tcW w:w="1814" w:type="dxa"/>
            <w:tcMar>
              <w:top w:w="60" w:type="dxa"/>
              <w:left w:w="100" w:type="dxa"/>
              <w:bottom w:w="60" w:type="dxa"/>
              <w:right w:w="100" w:type="dxa"/>
            </w:tcMar>
            <w:vAlign w:val="center"/>
          </w:tcPr>
          <w:p w14:paraId="2EE4B17E" w14:textId="77777777" w:rsidR="00E73300" w:rsidRDefault="00A3128C">
            <w:r>
              <w:rPr>
                <w:sz w:val="20"/>
                <w:szCs w:val="20"/>
              </w:rPr>
              <w:t>Numérica continua</w:t>
            </w:r>
          </w:p>
        </w:tc>
        <w:tc>
          <w:tcPr>
            <w:tcW w:w="5260" w:type="dxa"/>
            <w:tcMar>
              <w:top w:w="60" w:type="dxa"/>
              <w:left w:w="100" w:type="dxa"/>
              <w:bottom w:w="60" w:type="dxa"/>
              <w:right w:w="100" w:type="dxa"/>
            </w:tcMar>
            <w:vAlign w:val="center"/>
          </w:tcPr>
          <w:p w14:paraId="2EE4B17F" w14:textId="77777777" w:rsidR="00E73300" w:rsidRDefault="00A3128C">
            <w:r>
              <w:rPr>
                <w:sz w:val="20"/>
                <w:szCs w:val="20"/>
              </w:rPr>
              <w:t>Precio de una botella en dólares</w:t>
            </w:r>
          </w:p>
        </w:tc>
      </w:tr>
      <w:tr w:rsidR="00E73300" w14:paraId="2EE4B184"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81" w14:textId="77777777" w:rsidR="00E73300" w:rsidRDefault="00A3128C">
            <w:r>
              <w:rPr>
                <w:sz w:val="20"/>
                <w:szCs w:val="20"/>
              </w:rPr>
              <w:t>province</w:t>
            </w:r>
          </w:p>
        </w:tc>
        <w:tc>
          <w:tcPr>
            <w:tcW w:w="1814" w:type="dxa"/>
            <w:tcMar>
              <w:top w:w="60" w:type="dxa"/>
              <w:left w:w="100" w:type="dxa"/>
              <w:bottom w:w="60" w:type="dxa"/>
              <w:right w:w="100" w:type="dxa"/>
            </w:tcMar>
            <w:vAlign w:val="center"/>
          </w:tcPr>
          <w:p w14:paraId="2EE4B182" w14:textId="77777777" w:rsidR="00E73300" w:rsidRDefault="00A3128C">
            <w:r>
              <w:rPr>
                <w:sz w:val="20"/>
                <w:szCs w:val="20"/>
              </w:rPr>
              <w:t>Categórica</w:t>
            </w:r>
          </w:p>
        </w:tc>
        <w:tc>
          <w:tcPr>
            <w:tcW w:w="5260" w:type="dxa"/>
            <w:tcMar>
              <w:top w:w="60" w:type="dxa"/>
              <w:left w:w="100" w:type="dxa"/>
              <w:bottom w:w="60" w:type="dxa"/>
              <w:right w:w="100" w:type="dxa"/>
            </w:tcMar>
            <w:vAlign w:val="center"/>
          </w:tcPr>
          <w:p w14:paraId="2EE4B183" w14:textId="77777777" w:rsidR="00E73300" w:rsidRDefault="00A3128C">
            <w:r>
              <w:rPr>
                <w:sz w:val="20"/>
                <w:szCs w:val="20"/>
              </w:rPr>
              <w:t>Provincia o estado de origen (425 valores)</w:t>
            </w:r>
          </w:p>
        </w:tc>
      </w:tr>
      <w:tr w:rsidR="00E73300" w14:paraId="2EE4B188"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85" w14:textId="77777777" w:rsidR="00E73300" w:rsidRDefault="00A3128C">
            <w:r>
              <w:rPr>
                <w:sz w:val="20"/>
                <w:szCs w:val="20"/>
              </w:rPr>
              <w:t>region_1</w:t>
            </w:r>
          </w:p>
        </w:tc>
        <w:tc>
          <w:tcPr>
            <w:tcW w:w="1814" w:type="dxa"/>
            <w:tcMar>
              <w:top w:w="60" w:type="dxa"/>
              <w:left w:w="100" w:type="dxa"/>
              <w:bottom w:w="60" w:type="dxa"/>
              <w:right w:w="100" w:type="dxa"/>
            </w:tcMar>
            <w:vAlign w:val="center"/>
          </w:tcPr>
          <w:p w14:paraId="2EE4B186" w14:textId="77777777" w:rsidR="00E73300" w:rsidRDefault="00A3128C">
            <w:r>
              <w:rPr>
                <w:sz w:val="20"/>
                <w:szCs w:val="20"/>
              </w:rPr>
              <w:t>Categórica</w:t>
            </w:r>
          </w:p>
        </w:tc>
        <w:tc>
          <w:tcPr>
            <w:tcW w:w="5260" w:type="dxa"/>
            <w:tcMar>
              <w:top w:w="60" w:type="dxa"/>
              <w:left w:w="100" w:type="dxa"/>
              <w:bottom w:w="60" w:type="dxa"/>
              <w:right w:w="100" w:type="dxa"/>
            </w:tcMar>
            <w:vAlign w:val="center"/>
          </w:tcPr>
          <w:p w14:paraId="2EE4B187" w14:textId="77777777" w:rsidR="00E73300" w:rsidRDefault="00A3128C">
            <w:r>
              <w:rPr>
                <w:sz w:val="20"/>
                <w:szCs w:val="20"/>
              </w:rPr>
              <w:t>Área vinícola dentro de la provincia</w:t>
            </w:r>
          </w:p>
        </w:tc>
      </w:tr>
      <w:tr w:rsidR="00E73300" w14:paraId="2EE4B18C"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89" w14:textId="77777777" w:rsidR="00E73300" w:rsidRDefault="00A3128C">
            <w:r>
              <w:rPr>
                <w:sz w:val="20"/>
                <w:szCs w:val="20"/>
              </w:rPr>
              <w:t>region_2</w:t>
            </w:r>
          </w:p>
        </w:tc>
        <w:tc>
          <w:tcPr>
            <w:tcW w:w="1814" w:type="dxa"/>
            <w:tcMar>
              <w:top w:w="60" w:type="dxa"/>
              <w:left w:w="100" w:type="dxa"/>
              <w:bottom w:w="60" w:type="dxa"/>
              <w:right w:w="100" w:type="dxa"/>
            </w:tcMar>
            <w:vAlign w:val="center"/>
          </w:tcPr>
          <w:p w14:paraId="2EE4B18A" w14:textId="77777777" w:rsidR="00E73300" w:rsidRDefault="00A3128C">
            <w:r>
              <w:rPr>
                <w:sz w:val="20"/>
                <w:szCs w:val="20"/>
              </w:rPr>
              <w:t>Categórica</w:t>
            </w:r>
          </w:p>
        </w:tc>
        <w:tc>
          <w:tcPr>
            <w:tcW w:w="5260" w:type="dxa"/>
            <w:tcMar>
              <w:top w:w="60" w:type="dxa"/>
              <w:left w:w="100" w:type="dxa"/>
              <w:bottom w:w="60" w:type="dxa"/>
              <w:right w:w="100" w:type="dxa"/>
            </w:tcMar>
            <w:vAlign w:val="center"/>
          </w:tcPr>
          <w:p w14:paraId="2EE4B18B" w14:textId="77777777" w:rsidR="00E73300" w:rsidRDefault="00A3128C">
            <w:r>
              <w:rPr>
                <w:sz w:val="20"/>
                <w:szCs w:val="20"/>
              </w:rPr>
              <w:t>Sub-área vinícola (sólo Estados Unidos)</w:t>
            </w:r>
          </w:p>
        </w:tc>
      </w:tr>
      <w:tr w:rsidR="00E73300" w14:paraId="2EE4B190"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8D" w14:textId="77777777" w:rsidR="00E73300" w:rsidRDefault="00A3128C">
            <w:r>
              <w:rPr>
                <w:sz w:val="20"/>
                <w:szCs w:val="20"/>
              </w:rPr>
              <w:t>taster_name</w:t>
            </w:r>
          </w:p>
        </w:tc>
        <w:tc>
          <w:tcPr>
            <w:tcW w:w="1814" w:type="dxa"/>
            <w:tcMar>
              <w:top w:w="60" w:type="dxa"/>
              <w:left w:w="100" w:type="dxa"/>
              <w:bottom w:w="60" w:type="dxa"/>
              <w:right w:w="100" w:type="dxa"/>
            </w:tcMar>
            <w:vAlign w:val="center"/>
          </w:tcPr>
          <w:p w14:paraId="2EE4B18E" w14:textId="77777777" w:rsidR="00E73300" w:rsidRDefault="00A3128C">
            <w:r>
              <w:rPr>
                <w:sz w:val="20"/>
                <w:szCs w:val="20"/>
              </w:rPr>
              <w:t>Categórica</w:t>
            </w:r>
          </w:p>
        </w:tc>
        <w:tc>
          <w:tcPr>
            <w:tcW w:w="5260" w:type="dxa"/>
            <w:tcMar>
              <w:top w:w="60" w:type="dxa"/>
              <w:left w:w="100" w:type="dxa"/>
              <w:bottom w:w="60" w:type="dxa"/>
              <w:right w:w="100" w:type="dxa"/>
            </w:tcMar>
            <w:vAlign w:val="center"/>
          </w:tcPr>
          <w:p w14:paraId="2EE4B18F" w14:textId="77777777" w:rsidR="00E73300" w:rsidRDefault="00A3128C">
            <w:r>
              <w:rPr>
                <w:sz w:val="20"/>
                <w:szCs w:val="20"/>
              </w:rPr>
              <w:t>Catador que realizó la reseña (19 valores)</w:t>
            </w:r>
          </w:p>
        </w:tc>
      </w:tr>
      <w:tr w:rsidR="00E73300" w14:paraId="2EE4B194"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91" w14:textId="77777777" w:rsidR="00E73300" w:rsidRDefault="00A3128C">
            <w:r>
              <w:rPr>
                <w:sz w:val="20"/>
                <w:szCs w:val="20"/>
              </w:rPr>
              <w:t>taster_twitter_handle</w:t>
            </w:r>
          </w:p>
        </w:tc>
        <w:tc>
          <w:tcPr>
            <w:tcW w:w="1814" w:type="dxa"/>
            <w:tcMar>
              <w:top w:w="60" w:type="dxa"/>
              <w:left w:w="100" w:type="dxa"/>
              <w:bottom w:w="60" w:type="dxa"/>
              <w:right w:w="100" w:type="dxa"/>
            </w:tcMar>
            <w:vAlign w:val="center"/>
          </w:tcPr>
          <w:p w14:paraId="2EE4B192" w14:textId="77777777" w:rsidR="00E73300" w:rsidRDefault="00A3128C">
            <w:r>
              <w:rPr>
                <w:sz w:val="20"/>
                <w:szCs w:val="20"/>
              </w:rPr>
              <w:t>Categórica</w:t>
            </w:r>
          </w:p>
        </w:tc>
        <w:tc>
          <w:tcPr>
            <w:tcW w:w="5260" w:type="dxa"/>
            <w:tcMar>
              <w:top w:w="60" w:type="dxa"/>
              <w:left w:w="100" w:type="dxa"/>
              <w:bottom w:w="60" w:type="dxa"/>
              <w:right w:w="100" w:type="dxa"/>
            </w:tcMar>
            <w:vAlign w:val="center"/>
          </w:tcPr>
          <w:p w14:paraId="2EE4B193" w14:textId="77777777" w:rsidR="00E73300" w:rsidRDefault="00A3128C">
            <w:r>
              <w:rPr>
                <w:sz w:val="20"/>
                <w:szCs w:val="20"/>
              </w:rPr>
              <w:t>Usuario de Twitter del catador</w:t>
            </w:r>
          </w:p>
        </w:tc>
      </w:tr>
      <w:tr w:rsidR="00E73300" w14:paraId="2EE4B198"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95" w14:textId="77777777" w:rsidR="00E73300" w:rsidRDefault="00A3128C">
            <w:r>
              <w:rPr>
                <w:sz w:val="20"/>
                <w:szCs w:val="20"/>
              </w:rPr>
              <w:t>title</w:t>
            </w:r>
          </w:p>
        </w:tc>
        <w:tc>
          <w:tcPr>
            <w:tcW w:w="1814" w:type="dxa"/>
            <w:tcMar>
              <w:top w:w="60" w:type="dxa"/>
              <w:left w:w="100" w:type="dxa"/>
              <w:bottom w:w="60" w:type="dxa"/>
              <w:right w:w="100" w:type="dxa"/>
            </w:tcMar>
            <w:vAlign w:val="center"/>
          </w:tcPr>
          <w:p w14:paraId="2EE4B196" w14:textId="77777777" w:rsidR="00E73300" w:rsidRDefault="00A3128C">
            <w:r>
              <w:rPr>
                <w:sz w:val="20"/>
                <w:szCs w:val="20"/>
              </w:rPr>
              <w:t>Texto libre</w:t>
            </w:r>
          </w:p>
        </w:tc>
        <w:tc>
          <w:tcPr>
            <w:tcW w:w="5260" w:type="dxa"/>
            <w:tcMar>
              <w:top w:w="60" w:type="dxa"/>
              <w:left w:w="100" w:type="dxa"/>
              <w:bottom w:w="60" w:type="dxa"/>
              <w:right w:w="100" w:type="dxa"/>
            </w:tcMar>
            <w:vAlign w:val="center"/>
          </w:tcPr>
          <w:p w14:paraId="2EE4B197" w14:textId="77777777" w:rsidR="00E73300" w:rsidRDefault="00A3128C">
            <w:r>
              <w:rPr>
                <w:sz w:val="20"/>
                <w:szCs w:val="20"/>
              </w:rPr>
              <w:t>Título de la reseña; incluye el año de cosecha</w:t>
            </w:r>
          </w:p>
        </w:tc>
      </w:tr>
      <w:tr w:rsidR="00E73300" w14:paraId="2EE4B19C"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99" w14:textId="77777777" w:rsidR="00E73300" w:rsidRDefault="00A3128C">
            <w:r>
              <w:rPr>
                <w:sz w:val="20"/>
                <w:szCs w:val="20"/>
              </w:rPr>
              <w:t>variety</w:t>
            </w:r>
          </w:p>
        </w:tc>
        <w:tc>
          <w:tcPr>
            <w:tcW w:w="1814" w:type="dxa"/>
            <w:tcMar>
              <w:top w:w="60" w:type="dxa"/>
              <w:left w:w="100" w:type="dxa"/>
              <w:bottom w:w="60" w:type="dxa"/>
              <w:right w:w="100" w:type="dxa"/>
            </w:tcMar>
            <w:vAlign w:val="center"/>
          </w:tcPr>
          <w:p w14:paraId="2EE4B19A" w14:textId="77777777" w:rsidR="00E73300" w:rsidRDefault="00A3128C">
            <w:r>
              <w:rPr>
                <w:sz w:val="20"/>
                <w:szCs w:val="20"/>
              </w:rPr>
              <w:t>Categórica</w:t>
            </w:r>
          </w:p>
        </w:tc>
        <w:tc>
          <w:tcPr>
            <w:tcW w:w="5260" w:type="dxa"/>
            <w:tcMar>
              <w:top w:w="60" w:type="dxa"/>
              <w:left w:w="100" w:type="dxa"/>
              <w:bottom w:w="60" w:type="dxa"/>
              <w:right w:w="100" w:type="dxa"/>
            </w:tcMar>
            <w:vAlign w:val="center"/>
          </w:tcPr>
          <w:p w14:paraId="2EE4B19B" w14:textId="77777777" w:rsidR="00E73300" w:rsidRDefault="00A3128C">
            <w:r>
              <w:rPr>
                <w:sz w:val="20"/>
                <w:szCs w:val="20"/>
              </w:rPr>
              <w:t>Variedad de uva (707 valores)</w:t>
            </w:r>
          </w:p>
        </w:tc>
      </w:tr>
      <w:tr w:rsidR="00E73300" w14:paraId="2EE4B1A0"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2EE4B19D" w14:textId="77777777" w:rsidR="00E73300" w:rsidRDefault="00A3128C">
            <w:r>
              <w:rPr>
                <w:sz w:val="20"/>
                <w:szCs w:val="20"/>
              </w:rPr>
              <w:t>winery</w:t>
            </w:r>
          </w:p>
        </w:tc>
        <w:tc>
          <w:tcPr>
            <w:tcW w:w="1814" w:type="dxa"/>
            <w:tcMar>
              <w:top w:w="60" w:type="dxa"/>
              <w:left w:w="100" w:type="dxa"/>
              <w:bottom w:w="60" w:type="dxa"/>
              <w:right w:w="100" w:type="dxa"/>
            </w:tcMar>
            <w:vAlign w:val="center"/>
          </w:tcPr>
          <w:p w14:paraId="2EE4B19E" w14:textId="77777777" w:rsidR="00E73300" w:rsidRDefault="00A3128C">
            <w:r>
              <w:rPr>
                <w:sz w:val="20"/>
                <w:szCs w:val="20"/>
              </w:rPr>
              <w:t>Categórica</w:t>
            </w:r>
          </w:p>
        </w:tc>
        <w:tc>
          <w:tcPr>
            <w:tcW w:w="5260" w:type="dxa"/>
            <w:tcMar>
              <w:top w:w="60" w:type="dxa"/>
              <w:left w:w="100" w:type="dxa"/>
              <w:bottom w:w="60" w:type="dxa"/>
              <w:right w:w="100" w:type="dxa"/>
            </w:tcMar>
            <w:vAlign w:val="center"/>
          </w:tcPr>
          <w:p w14:paraId="2EE4B19F" w14:textId="77777777" w:rsidR="00E73300" w:rsidRDefault="00A3128C">
            <w:r>
              <w:rPr>
                <w:sz w:val="20"/>
                <w:szCs w:val="20"/>
              </w:rPr>
              <w:t>Bodega productora (16.757 valores)</w:t>
            </w:r>
          </w:p>
        </w:tc>
      </w:tr>
    </w:tbl>
    <w:p w14:paraId="2EE4B1A1" w14:textId="77777777" w:rsidR="00E73300" w:rsidRDefault="00E73300">
      <w:pPr>
        <w:spacing w:after="240"/>
      </w:pPr>
    </w:p>
    <w:p w14:paraId="2EE4B1A2" w14:textId="77777777" w:rsidR="00E73300" w:rsidRDefault="00A3128C">
      <w:pPr>
        <w:ind w:firstLine="720"/>
        <w:jc w:val="both"/>
      </w:pPr>
      <w:r>
        <w:t xml:space="preserve">Merece atención una segunda contradicción del enunciado, esta vez informativa y no errónea. Al describir </w:t>
      </w:r>
      <w:r>
        <w:rPr>
          <w:i/>
          <w:iCs/>
        </w:rPr>
        <w:t>points</w:t>
      </w:r>
      <w:r>
        <w:t xml:space="preserve"> señala que la escala va de 1 a 100 y, en la misma línea, que sólo se publican reseñas con puntaje de 80 o más. La variable observada está por lo tanto </w:t>
      </w:r>
      <w:r>
        <w:rPr>
          <w:b/>
          <w:bCs/>
        </w:rPr>
        <w:t>censurada</w:t>
      </w:r>
      <w:r>
        <w:t>: no describe la calidad de los vinos evaluados sino la de aquellos que superaron el umbral de publicación. Esta característica condiciona la interpretación de toda la sección 6.</w:t>
      </w:r>
    </w:p>
    <w:p w14:paraId="2EE4B1A3" w14:textId="77777777" w:rsidR="00E73300" w:rsidRDefault="00A3128C">
      <w:pPr>
        <w:pStyle w:val="Heading1"/>
      </w:pPr>
      <w:bookmarkStart w:id="2" w:name="_Toc240984877"/>
      <w:r>
        <w:t>3. Carga e integridad del archivo</w:t>
      </w:r>
      <w:bookmarkEnd w:id="2"/>
    </w:p>
    <w:p w14:paraId="2EE4B1A4" w14:textId="77777777" w:rsidR="00E73300" w:rsidRDefault="00A3128C">
      <w:pPr>
        <w:ind w:firstLine="720"/>
        <w:jc w:val="both"/>
      </w:pPr>
      <w:r>
        <w:t>La consigna indica cargar el archivo winemag-data-130k-v2.csv. El material entregado, en cambio, es un archivo con extensión .xlsx de 21 MB. No se trata de una hoja de cálculo con datos tabulados, sino del mismo CSV tras una importación mal configurada en Excel. La inspección reveló tres defectos de distinto origen.</w:t>
      </w:r>
    </w:p>
    <w:p w14:paraId="2EE4B1A5" w14:textId="77777777" w:rsidR="00E73300" w:rsidRDefault="00A3128C">
      <w:pPr>
        <w:pStyle w:val="Heading2"/>
      </w:pPr>
      <w:bookmarkStart w:id="3" w:name="_Toc240984878"/>
      <w:r>
        <w:t>3.1. Delimitador de campos incorrecto</w:t>
      </w:r>
      <w:bookmarkEnd w:id="3"/>
    </w:p>
    <w:p w14:paraId="2EE4B1A6" w14:textId="77777777" w:rsidR="00E73300" w:rsidRDefault="00A3128C">
      <w:pPr>
        <w:ind w:firstLine="720"/>
        <w:jc w:val="both"/>
      </w:pPr>
      <w:r>
        <w:lastRenderedPageBreak/>
        <w:t>Al abrir el archivo con la configuración obvia, las trece columnas esperadas aparecen como cinco: una que contiene la línea CSV completa y cuatro con nombre genérico, mayormente vacías. El recuento de valores no nulos de esas cuatro columnas decrece en cascada —2.956, 159, 12 y 1—, patrón característico de un texto partido por un separador que la mayoría de las líneas no contiene.</w:t>
      </w:r>
    </w:p>
    <w:p w14:paraId="2EE4B1A7" w14:textId="77777777" w:rsidR="00E73300" w:rsidRDefault="00A3128C">
      <w:pPr>
        <w:ind w:firstLine="720"/>
        <w:jc w:val="both"/>
      </w:pPr>
      <w:r>
        <w:t>La inspección de una fila afectada muestra el corte en mitad de una oración: la descripción termina en «passion fruit and kiwi» y la celda siguiente comienza en «a sprinkling of graham cracker». El signo que unía ambas cláusulas desapareció, porque un analizador sintáctico consume su propio delimitador.</w:t>
      </w:r>
    </w:p>
    <w:p w14:paraId="2EE4B1A8" w14:textId="77777777" w:rsidR="00E73300" w:rsidRDefault="00A3128C">
      <w:pPr>
        <w:ind w:firstLine="720"/>
        <w:jc w:val="both"/>
      </w:pPr>
      <w:r>
        <w:t xml:space="preserve">El carácter se identificó por dos vías independientes y coincidentes. La primera, gramatical: el punto y coma es el único signo que une dos cláusulas independientes con minúscula a continuación. La segunda, empírica y más concluyente: si Excel empleó un carácter como delimitador, lo eliminó de todo el archivo, de modo que el delimitador debe ser el signo de puntuación </w:t>
      </w:r>
      <w:r>
        <w:rPr>
          <w:b/>
          <w:bCs/>
        </w:rPr>
        <w:t>ausente por completo</w:t>
      </w:r>
      <w:r>
        <w:t xml:space="preserve"> del texto. El recuento sobre las 129.975 líneas arroja decenas de miles de comas y de puntos, y cero punto y coma en 130.000 reseñas redactadas por críticos profesionales. La reversión consiste en reunir las celdas no vacías de cada fila interponiendo ese carácter.</w:t>
      </w:r>
    </w:p>
    <w:p w14:paraId="2EE4B1A9" w14:textId="77777777" w:rsidR="00E73300" w:rsidRDefault="00A3128C">
      <w:pPr>
        <w:pStyle w:val="Heading2"/>
      </w:pPr>
      <w:bookmarkStart w:id="4" w:name="_Toc240984879"/>
      <w:r>
        <w:t>3.2. Reseñas repartidas en varias filas</w:t>
      </w:r>
      <w:bookmarkEnd w:id="4"/>
    </w:p>
    <w:p w14:paraId="2EE4B1AA" w14:textId="77777777" w:rsidR="00E73300" w:rsidRDefault="00A3128C">
      <w:pPr>
        <w:ind w:firstLine="720"/>
        <w:jc w:val="both"/>
      </w:pPr>
      <w:r>
        <w:t>Cuatro descripciones contenían saltos de línea dentro del propio texto y quedaron distribuidas en más de una fila de la hoja de cálculo. Se detectan porque toda línea de datos válida comienza con el índice numérico seguido de coma; una línea que no respeta ese patrón es la continuación de la anterior y debe reunirse con ella. De no corregirse, el conjunto habría quedado con cuatro registros espurios y cuatro descripciones truncadas.</w:t>
      </w:r>
    </w:p>
    <w:p w14:paraId="2EE4B1AB" w14:textId="77777777" w:rsidR="00E73300" w:rsidRDefault="00A3128C">
      <w:pPr>
        <w:pStyle w:val="Heading2"/>
      </w:pPr>
      <w:bookmarkStart w:id="5" w:name="_Toc240984880"/>
      <w:r>
        <w:t>3.3. Codificación de caracteres</w:t>
      </w:r>
      <w:bookmarkEnd w:id="5"/>
    </w:p>
    <w:p w14:paraId="2EE4B1AC" w14:textId="77777777" w:rsidR="00E73300" w:rsidRDefault="00A3128C">
      <w:pPr>
        <w:ind w:firstLine="720"/>
        <w:jc w:val="both"/>
      </w:pPr>
      <w:r>
        <w:t xml:space="preserve">El texto presentaba </w:t>
      </w:r>
      <w:r>
        <w:rPr>
          <w:i/>
          <w:iCs/>
        </w:rPr>
        <w:t>mojibake</w:t>
      </w:r>
      <w:r>
        <w:t>: «Gewürztraminer» aparecía como «GewÃ¼rztraminer» y «Albariño» como «AlbariÃ±o». El fenómeno se produce cuando una secuencia de bytes UTF-8 se interpreta byte a byte con la codificación cp1252. La reversión es exacta: se vuelve a codificar el texto en cp1252 para recuperar los bytes originales y se decodifica como UTF-8. El procedimiento reparó 106.477 de las 106.611 celdas afectadas; las 134 restantes corresponden a comillas tipográficas cuya secuencia incluye posiciones que cp1252 no define.</w:t>
      </w:r>
    </w:p>
    <w:p w14:paraId="2EE4B1AD" w14:textId="77777777" w:rsidR="00E73300" w:rsidRDefault="00A3128C">
      <w:pPr>
        <w:ind w:firstLine="720"/>
        <w:jc w:val="both"/>
      </w:pPr>
      <w:r>
        <w:lastRenderedPageBreak/>
        <w:t>La función es segura sobre texto ya correcto: una cadena ASCII atraviesa la conversión sin cambios y una con acentos legítimos falla al decodificar y se devuelve intacta, de modo que no puede corromper lo que estaba bien.</w:t>
      </w:r>
    </w:p>
    <w:p w14:paraId="2EE4B1AE" w14:textId="77777777" w:rsidR="00E73300" w:rsidRDefault="00A3128C">
      <w:pPr>
        <w:pStyle w:val="Heading2"/>
      </w:pPr>
      <w:bookmarkStart w:id="6" w:name="_Toc240984881"/>
      <w:r>
        <w:t>3.4. Verificación de la carga</w:t>
      </w:r>
      <w:bookmarkEnd w:id="6"/>
    </w:p>
    <w:p w14:paraId="2EE4B1AF" w14:textId="77777777" w:rsidR="00E73300" w:rsidRDefault="00A3128C">
      <w:pPr>
        <w:ind w:firstLine="720"/>
        <w:jc w:val="both"/>
      </w:pPr>
      <w:r>
        <w:t xml:space="preserve">El criterio de éxito se definió antes de ejecutar la carga, para no razonar sobre un resultado ya obtenido. Dado que el encabezado declara trece nombres de columna precedidos por un campo de índice sin nombre, </w:t>
      </w:r>
      <w:r>
        <w:rPr>
          <w:b/>
          <w:bCs/>
        </w:rPr>
        <w:t>toda línea reconstruida debe producir exactamente catorce campos al analizarse como CSV</w:t>
      </w:r>
      <w:r>
        <w:t>. La verificación se satisface sin excepciones sobre las 129.972 líneas, encabezado incluido. El script conserva estas condiciones como aserciones, de modo que falle de forma visible si el archivo de origen cambia.</w:t>
      </w:r>
    </w:p>
    <w:p w14:paraId="2EE4B1B0" w14:textId="77777777" w:rsidR="00E73300" w:rsidRDefault="00A3128C">
      <w:pPr>
        <w:ind w:firstLine="720"/>
        <w:jc w:val="both"/>
      </w:pPr>
      <w:r>
        <w:t>El resultado de la carga es un conjunto de 129.971 reseñas por 13 columnas, con points de tipo entero y price de tipo decimal.</w:t>
      </w:r>
    </w:p>
    <w:p w14:paraId="2EE4B1B1" w14:textId="77777777" w:rsidR="00E73300" w:rsidRDefault="00A3128C">
      <w:pPr>
        <w:pStyle w:val="Heading1"/>
      </w:pPr>
      <w:bookmarkStart w:id="7" w:name="_Toc240984882"/>
      <w:r>
        <w:t>4. Análisis exploratorio</w:t>
      </w:r>
      <w:bookmarkEnd w:id="7"/>
    </w:p>
    <w:p w14:paraId="2EE4B1B2" w14:textId="77777777" w:rsidR="00E73300" w:rsidRDefault="00A3128C">
      <w:pPr>
        <w:pStyle w:val="Heading2"/>
      </w:pPr>
      <w:bookmarkStart w:id="8" w:name="_Toc240984883"/>
      <w:r>
        <w:t>4.1. Estructura y valores repetidos</w:t>
      </w:r>
      <w:bookmarkEnd w:id="8"/>
    </w:p>
    <w:p w14:paraId="2EE4B1B3" w14:textId="77777777" w:rsidR="00E73300" w:rsidRDefault="00A3128C">
      <w:pPr>
        <w:ind w:firstLine="720"/>
        <w:jc w:val="both"/>
      </w:pPr>
      <w:r>
        <w:t>El perfilado inicial revela dos grupos de variables claramente distintos. Por un lado, categóricas de baja cardinalidad aptas para análisis de frecuencias: country con 43 valores, taster_name con 19, region_2 con 17. Por otro, campos de cardinalidad cercana al total, que son texto libre o identificadores y no admiten ese tratamiento: description alcanza el 92,3% de valores únicos y title el 91,4%.</w:t>
      </w:r>
    </w:p>
    <w:p w14:paraId="2EE4B1B4" w14:textId="77777777" w:rsidR="00E73300" w:rsidRDefault="00A3128C">
      <w:pPr>
        <w:ind w:firstLine="720"/>
        <w:jc w:val="both"/>
      </w:pPr>
      <w:r>
        <w:t xml:space="preserve">Que ninguno de esos dos campos llegue al 100% conduce a un hallazgo relevante: el conjunto contiene </w:t>
      </w:r>
      <w:r>
        <w:rPr>
          <w:b/>
          <w:bCs/>
        </w:rPr>
        <w:t>9.983 pares de filas idénticas</w:t>
      </w:r>
      <w:r>
        <w:t xml:space="preserve"> en las trece columnas. Comparar únicamente por descripción o por título arroja el mismo número, lo que confirma que se trata de filas enteramente repetidas y no de reseñas distintas que compartan texto. El origen más plausible es la extracción del sitio web.</w:t>
      </w:r>
    </w:p>
    <w:p w14:paraId="2EE4B1B5" w14:textId="77777777" w:rsidR="00E73300" w:rsidRDefault="00A3128C">
      <w:pPr>
        <w:ind w:firstLine="720"/>
        <w:jc w:val="both"/>
      </w:pPr>
      <w:r>
        <w:t>Se eliminaron conservando la primera aparición de cada una, decisión que no responde a criterios de prolijidad sino de validez: con el 7,7% de las filas duplicadas, esas reseñas pesarían el doble en toda media, frecuencia, ranking y correlación posterior, sesgando los resultados hacia aquello que la extracción repitió. El conjunto de trabajo queda en 119.988 reseñas.</w:t>
      </w:r>
    </w:p>
    <w:p w14:paraId="2EE4B1B6" w14:textId="77777777" w:rsidR="00E73300" w:rsidRDefault="00A3128C">
      <w:pPr>
        <w:pStyle w:val="Heading2"/>
      </w:pPr>
      <w:bookmarkStart w:id="9" w:name="_Toc240984884"/>
      <w:r>
        <w:lastRenderedPageBreak/>
        <w:t>4.2. Resumen estadístico de las variables numéricas</w:t>
      </w:r>
      <w:bookmarkEnd w:id="9"/>
    </w:p>
    <w:p w14:paraId="2EE4B1B7" w14:textId="77777777" w:rsidR="00E73300" w:rsidRDefault="00A3128C">
      <w:pPr>
        <w:keepNext/>
        <w:spacing w:before="240" w:after="80"/>
        <w:jc w:val="center"/>
      </w:pPr>
      <w:r>
        <w:rPr>
          <w:b/>
          <w:bCs/>
          <w:sz w:val="20"/>
          <w:szCs w:val="20"/>
        </w:rPr>
        <w:t xml:space="preserve">Tabla 2. </w:t>
      </w:r>
      <w:r>
        <w:rPr>
          <w:sz w:val="20"/>
          <w:szCs w:val="20"/>
        </w:rPr>
        <w:t>Resumen estadístico de las variables numéricas.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3"/>
        <w:gridCol w:w="3023"/>
      </w:tblGrid>
      <w:tr w:rsidR="00E73300" w14:paraId="2EE4B1BB" w14:textId="77777777">
        <w:tblPrEx>
          <w:tblCellMar>
            <w:top w:w="0" w:type="dxa"/>
            <w:bottom w:w="0" w:type="dxa"/>
          </w:tblCellMar>
        </w:tblPrEx>
        <w:trPr>
          <w:cantSplit/>
          <w:tblHeader/>
        </w:trPr>
        <w:tc>
          <w:tcPr>
            <w:tcW w:w="3024" w:type="dxa"/>
            <w:shd w:val="clear" w:color="auto" w:fill="EDE3E6"/>
            <w:tcMar>
              <w:top w:w="60" w:type="dxa"/>
              <w:left w:w="100" w:type="dxa"/>
              <w:bottom w:w="60" w:type="dxa"/>
              <w:right w:w="100" w:type="dxa"/>
            </w:tcMar>
            <w:vAlign w:val="center"/>
          </w:tcPr>
          <w:p w14:paraId="2EE4B1B8" w14:textId="77777777" w:rsidR="00E73300" w:rsidRDefault="00A3128C">
            <w:r>
              <w:rPr>
                <w:b/>
                <w:bCs/>
                <w:sz w:val="20"/>
                <w:szCs w:val="20"/>
              </w:rPr>
              <w:t>Estadístico</w:t>
            </w:r>
          </w:p>
        </w:tc>
        <w:tc>
          <w:tcPr>
            <w:tcW w:w="3023" w:type="dxa"/>
            <w:shd w:val="clear" w:color="auto" w:fill="EDE3E6"/>
            <w:tcMar>
              <w:top w:w="60" w:type="dxa"/>
              <w:left w:w="100" w:type="dxa"/>
              <w:bottom w:w="60" w:type="dxa"/>
              <w:right w:w="100" w:type="dxa"/>
            </w:tcMar>
            <w:vAlign w:val="center"/>
          </w:tcPr>
          <w:p w14:paraId="2EE4B1B9" w14:textId="77777777" w:rsidR="00E73300" w:rsidRDefault="00A3128C">
            <w:pPr>
              <w:jc w:val="right"/>
            </w:pPr>
            <w:r>
              <w:rPr>
                <w:b/>
                <w:bCs/>
                <w:sz w:val="20"/>
                <w:szCs w:val="20"/>
              </w:rPr>
              <w:t>points</w:t>
            </w:r>
          </w:p>
        </w:tc>
        <w:tc>
          <w:tcPr>
            <w:tcW w:w="3023" w:type="dxa"/>
            <w:shd w:val="clear" w:color="auto" w:fill="EDE3E6"/>
            <w:tcMar>
              <w:top w:w="60" w:type="dxa"/>
              <w:left w:w="100" w:type="dxa"/>
              <w:bottom w:w="60" w:type="dxa"/>
              <w:right w:w="100" w:type="dxa"/>
            </w:tcMar>
            <w:vAlign w:val="center"/>
          </w:tcPr>
          <w:p w14:paraId="2EE4B1BA" w14:textId="77777777" w:rsidR="00E73300" w:rsidRDefault="00A3128C">
            <w:pPr>
              <w:jc w:val="right"/>
            </w:pPr>
            <w:r>
              <w:rPr>
                <w:b/>
                <w:bCs/>
                <w:sz w:val="20"/>
                <w:szCs w:val="20"/>
              </w:rPr>
              <w:t>price</w:t>
            </w:r>
          </w:p>
        </w:tc>
      </w:tr>
      <w:tr w:rsidR="00E73300" w14:paraId="2EE4B1BF"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1BC" w14:textId="77777777" w:rsidR="00E73300" w:rsidRDefault="00A3128C">
            <w:r>
              <w:rPr>
                <w:sz w:val="20"/>
                <w:szCs w:val="20"/>
              </w:rPr>
              <w:t>Media</w:t>
            </w:r>
          </w:p>
        </w:tc>
        <w:tc>
          <w:tcPr>
            <w:tcW w:w="3023" w:type="dxa"/>
            <w:tcMar>
              <w:top w:w="60" w:type="dxa"/>
              <w:left w:w="100" w:type="dxa"/>
              <w:bottom w:w="60" w:type="dxa"/>
              <w:right w:w="100" w:type="dxa"/>
            </w:tcMar>
            <w:vAlign w:val="center"/>
          </w:tcPr>
          <w:p w14:paraId="2EE4B1BD" w14:textId="77777777" w:rsidR="00E73300" w:rsidRDefault="00A3128C">
            <w:pPr>
              <w:jc w:val="right"/>
            </w:pPr>
            <w:r>
              <w:rPr>
                <w:sz w:val="20"/>
                <w:szCs w:val="20"/>
              </w:rPr>
              <w:t>88,45</w:t>
            </w:r>
          </w:p>
        </w:tc>
        <w:tc>
          <w:tcPr>
            <w:tcW w:w="3023" w:type="dxa"/>
            <w:tcMar>
              <w:top w:w="60" w:type="dxa"/>
              <w:left w:w="100" w:type="dxa"/>
              <w:bottom w:w="60" w:type="dxa"/>
              <w:right w:w="100" w:type="dxa"/>
            </w:tcMar>
            <w:vAlign w:val="center"/>
          </w:tcPr>
          <w:p w14:paraId="2EE4B1BE" w14:textId="77777777" w:rsidR="00E73300" w:rsidRDefault="00A3128C">
            <w:pPr>
              <w:jc w:val="right"/>
            </w:pPr>
            <w:r>
              <w:rPr>
                <w:sz w:val="20"/>
                <w:szCs w:val="20"/>
              </w:rPr>
              <w:t>35,36</w:t>
            </w:r>
          </w:p>
        </w:tc>
      </w:tr>
      <w:tr w:rsidR="00E73300" w14:paraId="2EE4B1C3"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1C0" w14:textId="77777777" w:rsidR="00E73300" w:rsidRDefault="00A3128C">
            <w:r>
              <w:rPr>
                <w:sz w:val="20"/>
                <w:szCs w:val="20"/>
              </w:rPr>
              <w:t>Mediana</w:t>
            </w:r>
          </w:p>
        </w:tc>
        <w:tc>
          <w:tcPr>
            <w:tcW w:w="3023" w:type="dxa"/>
            <w:tcMar>
              <w:top w:w="60" w:type="dxa"/>
              <w:left w:w="100" w:type="dxa"/>
              <w:bottom w:w="60" w:type="dxa"/>
              <w:right w:w="100" w:type="dxa"/>
            </w:tcMar>
            <w:vAlign w:val="center"/>
          </w:tcPr>
          <w:p w14:paraId="2EE4B1C1" w14:textId="77777777" w:rsidR="00E73300" w:rsidRDefault="00A3128C">
            <w:pPr>
              <w:jc w:val="right"/>
            </w:pPr>
            <w:r>
              <w:rPr>
                <w:sz w:val="20"/>
                <w:szCs w:val="20"/>
              </w:rPr>
              <w:t>88,00</w:t>
            </w:r>
          </w:p>
        </w:tc>
        <w:tc>
          <w:tcPr>
            <w:tcW w:w="3023" w:type="dxa"/>
            <w:tcMar>
              <w:top w:w="60" w:type="dxa"/>
              <w:left w:w="100" w:type="dxa"/>
              <w:bottom w:w="60" w:type="dxa"/>
              <w:right w:w="100" w:type="dxa"/>
            </w:tcMar>
            <w:vAlign w:val="center"/>
          </w:tcPr>
          <w:p w14:paraId="2EE4B1C2" w14:textId="77777777" w:rsidR="00E73300" w:rsidRDefault="00A3128C">
            <w:pPr>
              <w:jc w:val="right"/>
            </w:pPr>
            <w:r>
              <w:rPr>
                <w:sz w:val="20"/>
                <w:szCs w:val="20"/>
              </w:rPr>
              <w:t>25,00</w:t>
            </w:r>
          </w:p>
        </w:tc>
      </w:tr>
      <w:tr w:rsidR="00E73300" w14:paraId="2EE4B1C7"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1C4" w14:textId="77777777" w:rsidR="00E73300" w:rsidRDefault="00A3128C">
            <w:r>
              <w:rPr>
                <w:sz w:val="20"/>
                <w:szCs w:val="20"/>
              </w:rPr>
              <w:t>Desvío estándar</w:t>
            </w:r>
          </w:p>
        </w:tc>
        <w:tc>
          <w:tcPr>
            <w:tcW w:w="3023" w:type="dxa"/>
            <w:tcMar>
              <w:top w:w="60" w:type="dxa"/>
              <w:left w:w="100" w:type="dxa"/>
              <w:bottom w:w="60" w:type="dxa"/>
              <w:right w:w="100" w:type="dxa"/>
            </w:tcMar>
            <w:vAlign w:val="center"/>
          </w:tcPr>
          <w:p w14:paraId="2EE4B1C5" w14:textId="77777777" w:rsidR="00E73300" w:rsidRDefault="00A3128C">
            <w:pPr>
              <w:jc w:val="right"/>
            </w:pPr>
            <w:r>
              <w:rPr>
                <w:sz w:val="20"/>
                <w:szCs w:val="20"/>
              </w:rPr>
              <w:t>3,04</w:t>
            </w:r>
          </w:p>
        </w:tc>
        <w:tc>
          <w:tcPr>
            <w:tcW w:w="3023" w:type="dxa"/>
            <w:tcMar>
              <w:top w:w="60" w:type="dxa"/>
              <w:left w:w="100" w:type="dxa"/>
              <w:bottom w:w="60" w:type="dxa"/>
              <w:right w:w="100" w:type="dxa"/>
            </w:tcMar>
            <w:vAlign w:val="center"/>
          </w:tcPr>
          <w:p w14:paraId="2EE4B1C6" w14:textId="77777777" w:rsidR="00E73300" w:rsidRDefault="00A3128C">
            <w:pPr>
              <w:jc w:val="right"/>
            </w:pPr>
            <w:r>
              <w:rPr>
                <w:sz w:val="20"/>
                <w:szCs w:val="20"/>
              </w:rPr>
              <w:t>41,02</w:t>
            </w:r>
          </w:p>
        </w:tc>
      </w:tr>
      <w:tr w:rsidR="00E73300" w14:paraId="2EE4B1CB"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1C8" w14:textId="77777777" w:rsidR="00E73300" w:rsidRDefault="00A3128C">
            <w:r>
              <w:rPr>
                <w:sz w:val="20"/>
                <w:szCs w:val="20"/>
              </w:rPr>
              <w:t>Mínimo</w:t>
            </w:r>
          </w:p>
        </w:tc>
        <w:tc>
          <w:tcPr>
            <w:tcW w:w="3023" w:type="dxa"/>
            <w:tcMar>
              <w:top w:w="60" w:type="dxa"/>
              <w:left w:w="100" w:type="dxa"/>
              <w:bottom w:w="60" w:type="dxa"/>
              <w:right w:w="100" w:type="dxa"/>
            </w:tcMar>
            <w:vAlign w:val="center"/>
          </w:tcPr>
          <w:p w14:paraId="2EE4B1C9" w14:textId="77777777" w:rsidR="00E73300" w:rsidRDefault="00A3128C">
            <w:pPr>
              <w:jc w:val="right"/>
            </w:pPr>
            <w:r>
              <w:rPr>
                <w:sz w:val="20"/>
                <w:szCs w:val="20"/>
              </w:rPr>
              <w:t>80,00</w:t>
            </w:r>
          </w:p>
        </w:tc>
        <w:tc>
          <w:tcPr>
            <w:tcW w:w="3023" w:type="dxa"/>
            <w:tcMar>
              <w:top w:w="60" w:type="dxa"/>
              <w:left w:w="100" w:type="dxa"/>
              <w:bottom w:w="60" w:type="dxa"/>
              <w:right w:w="100" w:type="dxa"/>
            </w:tcMar>
            <w:vAlign w:val="center"/>
          </w:tcPr>
          <w:p w14:paraId="2EE4B1CA" w14:textId="77777777" w:rsidR="00E73300" w:rsidRDefault="00A3128C">
            <w:pPr>
              <w:jc w:val="right"/>
            </w:pPr>
            <w:r>
              <w:rPr>
                <w:sz w:val="20"/>
                <w:szCs w:val="20"/>
              </w:rPr>
              <w:t>4,00</w:t>
            </w:r>
          </w:p>
        </w:tc>
      </w:tr>
      <w:tr w:rsidR="00E73300" w14:paraId="2EE4B1CF"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1CC" w14:textId="77777777" w:rsidR="00E73300" w:rsidRDefault="00A3128C">
            <w:r>
              <w:rPr>
                <w:sz w:val="20"/>
                <w:szCs w:val="20"/>
              </w:rPr>
              <w:t>Máximo</w:t>
            </w:r>
          </w:p>
        </w:tc>
        <w:tc>
          <w:tcPr>
            <w:tcW w:w="3023" w:type="dxa"/>
            <w:tcMar>
              <w:top w:w="60" w:type="dxa"/>
              <w:left w:w="100" w:type="dxa"/>
              <w:bottom w:w="60" w:type="dxa"/>
              <w:right w:w="100" w:type="dxa"/>
            </w:tcMar>
            <w:vAlign w:val="center"/>
          </w:tcPr>
          <w:p w14:paraId="2EE4B1CD" w14:textId="77777777" w:rsidR="00E73300" w:rsidRDefault="00A3128C">
            <w:pPr>
              <w:jc w:val="right"/>
            </w:pPr>
            <w:r>
              <w:rPr>
                <w:sz w:val="20"/>
                <w:szCs w:val="20"/>
              </w:rPr>
              <w:t>100,00</w:t>
            </w:r>
          </w:p>
        </w:tc>
        <w:tc>
          <w:tcPr>
            <w:tcW w:w="3023" w:type="dxa"/>
            <w:tcMar>
              <w:top w:w="60" w:type="dxa"/>
              <w:left w:w="100" w:type="dxa"/>
              <w:bottom w:w="60" w:type="dxa"/>
              <w:right w:w="100" w:type="dxa"/>
            </w:tcMar>
            <w:vAlign w:val="center"/>
          </w:tcPr>
          <w:p w14:paraId="2EE4B1CE" w14:textId="77777777" w:rsidR="00E73300" w:rsidRDefault="00A3128C">
            <w:pPr>
              <w:jc w:val="right"/>
            </w:pPr>
            <w:r>
              <w:rPr>
                <w:sz w:val="20"/>
                <w:szCs w:val="20"/>
              </w:rPr>
              <w:t>3.300,00</w:t>
            </w:r>
          </w:p>
        </w:tc>
      </w:tr>
      <w:tr w:rsidR="00E73300" w14:paraId="2EE4B1D3"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1D0" w14:textId="77777777" w:rsidR="00E73300" w:rsidRDefault="00A3128C">
            <w:r>
              <w:rPr>
                <w:sz w:val="20"/>
                <w:szCs w:val="20"/>
              </w:rPr>
              <w:t>Rango intercuartílico</w:t>
            </w:r>
          </w:p>
        </w:tc>
        <w:tc>
          <w:tcPr>
            <w:tcW w:w="3023" w:type="dxa"/>
            <w:tcMar>
              <w:top w:w="60" w:type="dxa"/>
              <w:left w:w="100" w:type="dxa"/>
              <w:bottom w:w="60" w:type="dxa"/>
              <w:right w:w="100" w:type="dxa"/>
            </w:tcMar>
            <w:vAlign w:val="center"/>
          </w:tcPr>
          <w:p w14:paraId="2EE4B1D1" w14:textId="77777777" w:rsidR="00E73300" w:rsidRDefault="00A3128C">
            <w:pPr>
              <w:jc w:val="right"/>
            </w:pPr>
            <w:r>
              <w:rPr>
                <w:sz w:val="20"/>
                <w:szCs w:val="20"/>
              </w:rPr>
              <w:t>5,00</w:t>
            </w:r>
          </w:p>
        </w:tc>
        <w:tc>
          <w:tcPr>
            <w:tcW w:w="3023" w:type="dxa"/>
            <w:tcMar>
              <w:top w:w="60" w:type="dxa"/>
              <w:left w:w="100" w:type="dxa"/>
              <w:bottom w:w="60" w:type="dxa"/>
              <w:right w:w="100" w:type="dxa"/>
            </w:tcMar>
            <w:vAlign w:val="center"/>
          </w:tcPr>
          <w:p w14:paraId="2EE4B1D2" w14:textId="77777777" w:rsidR="00E73300" w:rsidRDefault="00A3128C">
            <w:pPr>
              <w:jc w:val="right"/>
            </w:pPr>
            <w:r>
              <w:rPr>
                <w:sz w:val="20"/>
                <w:szCs w:val="20"/>
              </w:rPr>
              <w:t>25,00</w:t>
            </w:r>
          </w:p>
        </w:tc>
      </w:tr>
      <w:tr w:rsidR="00E73300" w14:paraId="2EE4B1D7"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1D4" w14:textId="77777777" w:rsidR="00E73300" w:rsidRDefault="00A3128C">
            <w:r>
              <w:rPr>
                <w:sz w:val="20"/>
                <w:szCs w:val="20"/>
              </w:rPr>
              <w:t>Asimetría</w:t>
            </w:r>
          </w:p>
        </w:tc>
        <w:tc>
          <w:tcPr>
            <w:tcW w:w="3023" w:type="dxa"/>
            <w:tcMar>
              <w:top w:w="60" w:type="dxa"/>
              <w:left w:w="100" w:type="dxa"/>
              <w:bottom w:w="60" w:type="dxa"/>
              <w:right w:w="100" w:type="dxa"/>
            </w:tcMar>
            <w:vAlign w:val="center"/>
          </w:tcPr>
          <w:p w14:paraId="2EE4B1D5" w14:textId="77777777" w:rsidR="00E73300" w:rsidRDefault="00A3128C">
            <w:pPr>
              <w:jc w:val="right"/>
            </w:pPr>
            <w:r>
              <w:rPr>
                <w:sz w:val="20"/>
                <w:szCs w:val="20"/>
              </w:rPr>
              <w:t>0,05</w:t>
            </w:r>
          </w:p>
        </w:tc>
        <w:tc>
          <w:tcPr>
            <w:tcW w:w="3023" w:type="dxa"/>
            <w:tcMar>
              <w:top w:w="60" w:type="dxa"/>
              <w:left w:w="100" w:type="dxa"/>
              <w:bottom w:w="60" w:type="dxa"/>
              <w:right w:w="100" w:type="dxa"/>
            </w:tcMar>
            <w:vAlign w:val="center"/>
          </w:tcPr>
          <w:p w14:paraId="2EE4B1D6" w14:textId="77777777" w:rsidR="00E73300" w:rsidRDefault="00A3128C">
            <w:pPr>
              <w:jc w:val="right"/>
            </w:pPr>
            <w:r>
              <w:rPr>
                <w:sz w:val="20"/>
                <w:szCs w:val="20"/>
              </w:rPr>
              <w:t>18,00</w:t>
            </w:r>
          </w:p>
        </w:tc>
      </w:tr>
      <w:tr w:rsidR="00E73300" w14:paraId="2EE4B1DB"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1D8" w14:textId="77777777" w:rsidR="00E73300" w:rsidRDefault="00A3128C">
            <w:r>
              <w:rPr>
                <w:sz w:val="20"/>
                <w:szCs w:val="20"/>
              </w:rPr>
              <w:t>Curtosis</w:t>
            </w:r>
          </w:p>
        </w:tc>
        <w:tc>
          <w:tcPr>
            <w:tcW w:w="3023" w:type="dxa"/>
            <w:tcMar>
              <w:top w:w="60" w:type="dxa"/>
              <w:left w:w="100" w:type="dxa"/>
              <w:bottom w:w="60" w:type="dxa"/>
              <w:right w:w="100" w:type="dxa"/>
            </w:tcMar>
            <w:vAlign w:val="center"/>
          </w:tcPr>
          <w:p w14:paraId="2EE4B1D9" w14:textId="77777777" w:rsidR="00E73300" w:rsidRDefault="00A3128C">
            <w:pPr>
              <w:jc w:val="right"/>
            </w:pPr>
            <w:r>
              <w:rPr>
                <w:sz w:val="20"/>
                <w:szCs w:val="20"/>
              </w:rPr>
              <w:t>-0,30</w:t>
            </w:r>
          </w:p>
        </w:tc>
        <w:tc>
          <w:tcPr>
            <w:tcW w:w="3023" w:type="dxa"/>
            <w:tcMar>
              <w:top w:w="60" w:type="dxa"/>
              <w:left w:w="100" w:type="dxa"/>
              <w:bottom w:w="60" w:type="dxa"/>
              <w:right w:w="100" w:type="dxa"/>
            </w:tcMar>
            <w:vAlign w:val="center"/>
          </w:tcPr>
          <w:p w14:paraId="2EE4B1DA" w14:textId="77777777" w:rsidR="00E73300" w:rsidRDefault="00A3128C">
            <w:pPr>
              <w:jc w:val="right"/>
            </w:pPr>
            <w:r>
              <w:rPr>
                <w:sz w:val="20"/>
                <w:szCs w:val="20"/>
              </w:rPr>
              <w:t>829,52</w:t>
            </w:r>
          </w:p>
        </w:tc>
      </w:tr>
      <w:tr w:rsidR="00E73300" w14:paraId="2EE4B1DF"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1DC" w14:textId="77777777" w:rsidR="00E73300" w:rsidRDefault="00A3128C">
            <w:r>
              <w:rPr>
                <w:sz w:val="20"/>
                <w:szCs w:val="20"/>
              </w:rPr>
              <w:t>Coeficiente de variación</w:t>
            </w:r>
          </w:p>
        </w:tc>
        <w:tc>
          <w:tcPr>
            <w:tcW w:w="3023" w:type="dxa"/>
            <w:tcMar>
              <w:top w:w="60" w:type="dxa"/>
              <w:left w:w="100" w:type="dxa"/>
              <w:bottom w:w="60" w:type="dxa"/>
              <w:right w:w="100" w:type="dxa"/>
            </w:tcMar>
            <w:vAlign w:val="center"/>
          </w:tcPr>
          <w:p w14:paraId="2EE4B1DD" w14:textId="77777777" w:rsidR="00E73300" w:rsidRDefault="00A3128C">
            <w:pPr>
              <w:jc w:val="right"/>
            </w:pPr>
            <w:r>
              <w:rPr>
                <w:sz w:val="20"/>
                <w:szCs w:val="20"/>
              </w:rPr>
              <w:t>0,03</w:t>
            </w:r>
          </w:p>
        </w:tc>
        <w:tc>
          <w:tcPr>
            <w:tcW w:w="3023" w:type="dxa"/>
            <w:tcMar>
              <w:top w:w="60" w:type="dxa"/>
              <w:left w:w="100" w:type="dxa"/>
              <w:bottom w:w="60" w:type="dxa"/>
              <w:right w:w="100" w:type="dxa"/>
            </w:tcMar>
            <w:vAlign w:val="center"/>
          </w:tcPr>
          <w:p w14:paraId="2EE4B1DE" w14:textId="77777777" w:rsidR="00E73300" w:rsidRDefault="00A3128C">
            <w:pPr>
              <w:jc w:val="right"/>
            </w:pPr>
            <w:r>
              <w:rPr>
                <w:sz w:val="20"/>
                <w:szCs w:val="20"/>
              </w:rPr>
              <w:t>1,16</w:t>
            </w:r>
          </w:p>
        </w:tc>
      </w:tr>
    </w:tbl>
    <w:p w14:paraId="2EE4B1E0" w14:textId="77777777" w:rsidR="00E73300" w:rsidRDefault="00E73300">
      <w:pPr>
        <w:spacing w:after="240"/>
      </w:pPr>
    </w:p>
    <w:p w14:paraId="2EE4B1E1" w14:textId="77777777" w:rsidR="00E73300" w:rsidRDefault="00A3128C">
      <w:pPr>
        <w:ind w:firstLine="720"/>
        <w:jc w:val="both"/>
      </w:pPr>
      <w:r>
        <w:t xml:space="preserve">Las dos variables exigen tratamientos opuestos. </w:t>
      </w:r>
      <w:r>
        <w:rPr>
          <w:i/>
          <w:iCs/>
        </w:rPr>
        <w:t>points</w:t>
      </w:r>
      <w:r>
        <w:t xml:space="preserve"> es prácticamente simétrica: su asimetría de 0,05 y la coincidencia entre media y mediana permiten emplear media y desvío estándar como medidas de resumen. </w:t>
      </w:r>
      <w:r>
        <w:rPr>
          <w:i/>
          <w:iCs/>
        </w:rPr>
        <w:t>price</w:t>
      </w:r>
      <w:r>
        <w:t>, en cambio, presenta una asimetría de 18,00 y una curtosis de 829,52, valores extremos frente al 0 que corresponde a una distribución normal. Su media supera a la mediana en un 41% y su máximo equivale a 132 veces la mediana.</w:t>
      </w:r>
    </w:p>
    <w:p w14:paraId="2EE4B1E2" w14:textId="77777777" w:rsidR="00E73300" w:rsidRDefault="00A3128C">
      <w:pPr>
        <w:ind w:firstLine="720"/>
        <w:jc w:val="both"/>
      </w:pPr>
      <w:r>
        <w:t xml:space="preserve">De ello se desprende una regla operativa que se aplica en el resto del informe: para </w:t>
      </w:r>
      <w:r>
        <w:rPr>
          <w:i/>
          <w:iCs/>
        </w:rPr>
        <w:t>price</w:t>
      </w:r>
      <w:r>
        <w:t xml:space="preserve"> se emplean mediana y rango intercuartílico en lugar de media y desvío, y escala logarítmica en toda representación gráfica.</w:t>
      </w:r>
    </w:p>
    <w:p w14:paraId="2EE4B1E3" w14:textId="77777777" w:rsidR="00E73300" w:rsidRDefault="00A3128C">
      <w:pPr>
        <w:pStyle w:val="Heading2"/>
      </w:pPr>
      <w:bookmarkStart w:id="10" w:name="_Toc240984885"/>
      <w:r>
        <w:t>4.3. Distribución de los puntajes</w:t>
      </w:r>
      <w:bookmarkEnd w:id="10"/>
    </w:p>
    <w:p w14:paraId="2EE4B1E4" w14:textId="77777777" w:rsidR="00E73300" w:rsidRDefault="00A3128C">
      <w:pPr>
        <w:keepNext/>
        <w:spacing w:before="240" w:after="80"/>
        <w:jc w:val="center"/>
      </w:pPr>
      <w:r>
        <w:rPr>
          <w:noProof/>
        </w:rPr>
        <w:lastRenderedPageBreak/>
        <w:drawing>
          <wp:inline distT="0" distB="0" distL="0" distR="0" wp14:anchorId="2EE4B366" wp14:editId="2EE4B367">
            <wp:extent cx="5715000" cy="3124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124200"/>
                    </a:xfrm>
                    <a:prstGeom prst="rect">
                      <a:avLst/>
                    </a:prstGeom>
                  </pic:spPr>
                </pic:pic>
              </a:graphicData>
            </a:graphic>
          </wp:inline>
        </w:drawing>
      </w:r>
    </w:p>
    <w:p w14:paraId="2EE4B1E5" w14:textId="77777777" w:rsidR="00E73300" w:rsidRDefault="00A3128C">
      <w:pPr>
        <w:spacing w:after="240"/>
        <w:jc w:val="center"/>
      </w:pPr>
      <w:r>
        <w:rPr>
          <w:b/>
          <w:bCs/>
          <w:sz w:val="20"/>
          <w:szCs w:val="20"/>
        </w:rPr>
        <w:t xml:space="preserve">Figura 1. </w:t>
      </w:r>
      <w:r>
        <w:rPr>
          <w:sz w:val="20"/>
          <w:szCs w:val="20"/>
        </w:rPr>
        <w:t>Distribución de puntajes. La barrera vertical en 80 responde al umbral de publicación, no a la ausencia de vinos por debajo de ese valor.</w:t>
      </w:r>
    </w:p>
    <w:p w14:paraId="2EE4B1E6" w14:textId="77777777" w:rsidR="00E73300" w:rsidRDefault="00A3128C">
      <w:pPr>
        <w:ind w:firstLine="720"/>
        <w:jc w:val="both"/>
      </w:pPr>
      <w:r>
        <w:t>La distribución es aproximadamente simétrica y unimodal en torno a 88 puntos, pero exhibe un corte abrupto en 80 sin cola izquierda alguna. Ese corte no es una característica de los vinos sino del criterio editorial: WineEnthusiast no publica reseñas por debajo de ese puntaje.</w:t>
      </w:r>
    </w:p>
    <w:p w14:paraId="2EE4B1E7" w14:textId="77777777" w:rsidR="00E73300" w:rsidRDefault="00A3128C">
      <w:pPr>
        <w:ind w:firstLine="720"/>
        <w:jc w:val="both"/>
      </w:pPr>
      <w:r>
        <w:t>La consecuencia interpretativa es considerable. Afirmar que «el vino promedio obtiene 88 puntos» constituye un artefacto de sesgo de selección y no un hallazgo sobre la calidad de los vinos. La variable describe a los vinos publicados, que son una muestra deliberadamente no representativa de los vinos evaluados.</w:t>
      </w:r>
    </w:p>
    <w:p w14:paraId="2EE4B1E8" w14:textId="77777777" w:rsidR="00E73300" w:rsidRDefault="00A3128C">
      <w:pPr>
        <w:pStyle w:val="Heading2"/>
      </w:pPr>
      <w:bookmarkStart w:id="11" w:name="_Toc240984886"/>
      <w:r>
        <w:t>4.4. Distribución de los precios</w:t>
      </w:r>
      <w:bookmarkEnd w:id="11"/>
    </w:p>
    <w:p w14:paraId="2EE4B1E9" w14:textId="77777777" w:rsidR="00E73300" w:rsidRDefault="00A3128C">
      <w:pPr>
        <w:keepNext/>
        <w:spacing w:before="240" w:after="80"/>
        <w:jc w:val="center"/>
      </w:pPr>
      <w:r>
        <w:rPr>
          <w:noProof/>
        </w:rPr>
        <w:lastRenderedPageBreak/>
        <w:drawing>
          <wp:inline distT="0" distB="0" distL="0" distR="0" wp14:anchorId="2EE4B368" wp14:editId="2EE4B369">
            <wp:extent cx="5715000" cy="2466975"/>
            <wp:effectExtent l="0" t="0" r="0" b="0"/>
            <wp:docPr id="1437301496" name="Picture 1437301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466975"/>
                    </a:xfrm>
                    <a:prstGeom prst="rect">
                      <a:avLst/>
                    </a:prstGeom>
                  </pic:spPr>
                </pic:pic>
              </a:graphicData>
            </a:graphic>
          </wp:inline>
        </w:drawing>
      </w:r>
    </w:p>
    <w:p w14:paraId="2EE4B1EA" w14:textId="77777777" w:rsidR="00E73300" w:rsidRDefault="00A3128C">
      <w:pPr>
        <w:spacing w:after="240"/>
        <w:jc w:val="center"/>
      </w:pPr>
      <w:r>
        <w:rPr>
          <w:b/>
          <w:bCs/>
          <w:sz w:val="20"/>
          <w:szCs w:val="20"/>
        </w:rPr>
        <w:t xml:space="preserve">Figura 2. </w:t>
      </w:r>
      <w:r>
        <w:rPr>
          <w:sz w:val="20"/>
          <w:szCs w:val="20"/>
        </w:rPr>
        <w:t>La misma variable bajo dos escalas. La asimetría cae de 18,00 a 0,60 al aplicar el logaritmo.</w:t>
      </w:r>
    </w:p>
    <w:p w14:paraId="2EE4B1EB" w14:textId="77777777" w:rsidR="00E73300" w:rsidRDefault="00A3128C">
      <w:pPr>
        <w:ind w:firstLine="720"/>
        <w:jc w:val="both"/>
      </w:pPr>
      <w:r>
        <w:t>El panel izquierdo muestra por qué la escala lineal resulta inservible para esta variable: la asimetría comprime el 99% de las observaciones contra el eje vertical y deja el resto del gráfico vacío. El panel derecho presenta los mismos datos en escala logarítmica, donde la distribución se revela aproximadamente simétrica y con una asimetría de 0,60.</w:t>
      </w:r>
    </w:p>
    <w:p w14:paraId="2EE4B1EC" w14:textId="77777777" w:rsidR="00E73300" w:rsidRDefault="00A3128C">
      <w:pPr>
        <w:ind w:firstLine="720"/>
        <w:jc w:val="both"/>
      </w:pPr>
      <w:r>
        <w:t xml:space="preserve">El precio se comporta, por lo tanto, como una variable </w:t>
      </w:r>
      <w:r>
        <w:rPr>
          <w:b/>
          <w:bCs/>
        </w:rPr>
        <w:t>log-normal</w:t>
      </w:r>
      <w:r>
        <w:t>. El uso del logaritmo no es un recurso estético sino el reconocimiento de la escala en la que la variable es naturalmente simétrica, y de ello dependen las conclusiones de la sección 6.</w:t>
      </w:r>
    </w:p>
    <w:p w14:paraId="2EE4B1ED" w14:textId="77777777" w:rsidR="00E73300" w:rsidRDefault="00A3128C">
      <w:pPr>
        <w:pStyle w:val="Heading2"/>
      </w:pPr>
      <w:bookmarkStart w:id="12" w:name="_Toc240984887"/>
      <w:r>
        <w:t>4.5. Variables categóricas</w:t>
      </w:r>
      <w:bookmarkEnd w:id="12"/>
    </w:p>
    <w:p w14:paraId="2EE4B1EE" w14:textId="77777777" w:rsidR="00E73300" w:rsidRDefault="00A3128C">
      <w:pPr>
        <w:keepNext/>
        <w:spacing w:before="240" w:after="80"/>
        <w:jc w:val="center"/>
      </w:pPr>
      <w:r>
        <w:rPr>
          <w:noProof/>
        </w:rPr>
        <w:lastRenderedPageBreak/>
        <w:drawing>
          <wp:inline distT="0" distB="0" distL="0" distR="0" wp14:anchorId="2EE4B36A" wp14:editId="2EE4B36B">
            <wp:extent cx="5715000" cy="3943350"/>
            <wp:effectExtent l="0" t="0" r="0" b="0"/>
            <wp:docPr id="632083665" name="Picture 632083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943350"/>
                    </a:xfrm>
                    <a:prstGeom prst="rect">
                      <a:avLst/>
                    </a:prstGeom>
                  </pic:spPr>
                </pic:pic>
              </a:graphicData>
            </a:graphic>
          </wp:inline>
        </w:drawing>
      </w:r>
    </w:p>
    <w:p w14:paraId="2EE4B1EF" w14:textId="77777777" w:rsidR="00E73300" w:rsidRDefault="00A3128C">
      <w:pPr>
        <w:spacing w:after="240"/>
        <w:jc w:val="center"/>
      </w:pPr>
      <w:r>
        <w:rPr>
          <w:b/>
          <w:bCs/>
          <w:sz w:val="20"/>
          <w:szCs w:val="20"/>
        </w:rPr>
        <w:t xml:space="preserve">Figura 3. </w:t>
      </w:r>
      <w:r>
        <w:rPr>
          <w:sz w:val="20"/>
          <w:szCs w:val="20"/>
        </w:rPr>
        <w:t>Quince categorías más frecuentes de las cuatro variables categóricas principales.</w:t>
      </w:r>
    </w:p>
    <w:p w14:paraId="2EE4B1F0" w14:textId="77777777" w:rsidR="00E73300" w:rsidRDefault="00A3128C">
      <w:pPr>
        <w:ind w:firstLine="720"/>
        <w:jc w:val="both"/>
      </w:pPr>
      <w:r>
        <w:t>La concentración geográfica es pronunciada. Estados Unidos aporta el 42% de las reseñas y los tres primeros países reúnen el 72%; las diez primeras categorías cubren el 95,9% del conjunto. El patrón se repite en province, donde California concentra por sí sola el 28%.</w:t>
      </w:r>
    </w:p>
    <w:p w14:paraId="2EE4B1F1" w14:textId="77777777" w:rsidR="00E73300" w:rsidRDefault="00A3128C">
      <w:pPr>
        <w:ind w:firstLine="720"/>
        <w:jc w:val="both"/>
      </w:pPr>
      <w:r>
        <w:t>La variable winery presenta el comportamiento opuesto: con 16.757 bodegas distintas, las quince más frecuentes apenas alcanzan el 2% del total. Se trata de una cola larga extrema en la que ninguna bodega individual resulta representativa, lo que desaconseja cualquier análisis comparativo a ese nivel de agregación.</w:t>
      </w:r>
    </w:p>
    <w:p w14:paraId="2EE4B1F2" w14:textId="77777777" w:rsidR="00E73300" w:rsidRDefault="00A3128C">
      <w:pPr>
        <w:pStyle w:val="Heading1"/>
      </w:pPr>
      <w:bookmarkStart w:id="13" w:name="_Toc240984888"/>
      <w:r>
        <w:t>5. Tratamiento de datos faltantes</w:t>
      </w:r>
      <w:bookmarkEnd w:id="13"/>
    </w:p>
    <w:p w14:paraId="2EE4B1F3" w14:textId="77777777" w:rsidR="00E73300" w:rsidRDefault="00A3128C">
      <w:pPr>
        <w:pStyle w:val="Heading2"/>
      </w:pPr>
      <w:bookmarkStart w:id="14" w:name="_Toc240984889"/>
      <w:r>
        <w:t>5.1. Cuantificación y co-ocurrencia</w:t>
      </w:r>
      <w:bookmarkEnd w:id="14"/>
    </w:p>
    <w:p w14:paraId="2EE4B1F4" w14:textId="77777777" w:rsidR="00E73300" w:rsidRDefault="00A3128C">
      <w:pPr>
        <w:keepNext/>
        <w:spacing w:before="240" w:after="80"/>
        <w:jc w:val="center"/>
      </w:pPr>
      <w:r>
        <w:rPr>
          <w:noProof/>
        </w:rPr>
        <w:lastRenderedPageBreak/>
        <w:drawing>
          <wp:inline distT="0" distB="0" distL="0" distR="0" wp14:anchorId="2EE4B36C" wp14:editId="2EE4B36D">
            <wp:extent cx="5715000" cy="2095500"/>
            <wp:effectExtent l="0" t="0" r="0" b="0"/>
            <wp:docPr id="435212521" name="Picture 43521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095500"/>
                    </a:xfrm>
                    <a:prstGeom prst="rect">
                      <a:avLst/>
                    </a:prstGeom>
                  </pic:spPr>
                </pic:pic>
              </a:graphicData>
            </a:graphic>
          </wp:inline>
        </w:drawing>
      </w:r>
    </w:p>
    <w:p w14:paraId="2EE4B1F5" w14:textId="77777777" w:rsidR="00E73300" w:rsidRDefault="00A3128C">
      <w:pPr>
        <w:spacing w:after="240"/>
        <w:jc w:val="center"/>
      </w:pPr>
      <w:r>
        <w:rPr>
          <w:b/>
          <w:bCs/>
          <w:sz w:val="20"/>
          <w:szCs w:val="20"/>
        </w:rPr>
        <w:t xml:space="preserve">Figura 4. </w:t>
      </w:r>
      <w:r>
        <w:rPr>
          <w:sz w:val="20"/>
          <w:szCs w:val="20"/>
        </w:rPr>
        <w:t>Faltantes por columna y probabilidad condicional de co-ocurrencia entre pares de columnas.</w:t>
      </w:r>
    </w:p>
    <w:p w14:paraId="2EE4B1F6" w14:textId="77777777" w:rsidR="00E73300" w:rsidRDefault="00A3128C">
      <w:pPr>
        <w:keepNext/>
        <w:spacing w:before="240" w:after="80"/>
        <w:jc w:val="center"/>
      </w:pPr>
      <w:r>
        <w:rPr>
          <w:b/>
          <w:bCs/>
          <w:sz w:val="20"/>
          <w:szCs w:val="20"/>
        </w:rPr>
        <w:t xml:space="preserve">Tabla 3. </w:t>
      </w:r>
      <w:r>
        <w:rPr>
          <w:sz w:val="20"/>
          <w:szCs w:val="20"/>
        </w:rPr>
        <w:t>Valores faltantes por columna y mecanismo diagnosticado.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5"/>
        <w:gridCol w:w="1995"/>
        <w:gridCol w:w="1451"/>
        <w:gridCol w:w="2539"/>
      </w:tblGrid>
      <w:tr w:rsidR="00E73300" w14:paraId="2EE4B1FB" w14:textId="77777777">
        <w:tblPrEx>
          <w:tblCellMar>
            <w:top w:w="0" w:type="dxa"/>
            <w:bottom w:w="0" w:type="dxa"/>
          </w:tblCellMar>
        </w:tblPrEx>
        <w:trPr>
          <w:cantSplit/>
          <w:tblHeader/>
        </w:trPr>
        <w:tc>
          <w:tcPr>
            <w:tcW w:w="3085" w:type="dxa"/>
            <w:shd w:val="clear" w:color="auto" w:fill="EDE3E6"/>
            <w:tcMar>
              <w:top w:w="60" w:type="dxa"/>
              <w:left w:w="100" w:type="dxa"/>
              <w:bottom w:w="60" w:type="dxa"/>
              <w:right w:w="100" w:type="dxa"/>
            </w:tcMar>
            <w:vAlign w:val="center"/>
          </w:tcPr>
          <w:p w14:paraId="2EE4B1F7" w14:textId="77777777" w:rsidR="00E73300" w:rsidRDefault="00A3128C">
            <w:r>
              <w:rPr>
                <w:b/>
                <w:bCs/>
                <w:sz w:val="20"/>
                <w:szCs w:val="20"/>
              </w:rPr>
              <w:t>Variable</w:t>
            </w:r>
          </w:p>
        </w:tc>
        <w:tc>
          <w:tcPr>
            <w:tcW w:w="1995" w:type="dxa"/>
            <w:shd w:val="clear" w:color="auto" w:fill="EDE3E6"/>
            <w:tcMar>
              <w:top w:w="60" w:type="dxa"/>
              <w:left w:w="100" w:type="dxa"/>
              <w:bottom w:w="60" w:type="dxa"/>
              <w:right w:w="100" w:type="dxa"/>
            </w:tcMar>
            <w:vAlign w:val="center"/>
          </w:tcPr>
          <w:p w14:paraId="2EE4B1F8" w14:textId="77777777" w:rsidR="00E73300" w:rsidRDefault="00A3128C">
            <w:pPr>
              <w:jc w:val="right"/>
            </w:pPr>
            <w:r>
              <w:rPr>
                <w:b/>
                <w:bCs/>
                <w:sz w:val="20"/>
                <w:szCs w:val="20"/>
              </w:rPr>
              <w:t>Faltantes</w:t>
            </w:r>
          </w:p>
        </w:tc>
        <w:tc>
          <w:tcPr>
            <w:tcW w:w="1451" w:type="dxa"/>
            <w:shd w:val="clear" w:color="auto" w:fill="EDE3E6"/>
            <w:tcMar>
              <w:top w:w="60" w:type="dxa"/>
              <w:left w:w="100" w:type="dxa"/>
              <w:bottom w:w="60" w:type="dxa"/>
              <w:right w:w="100" w:type="dxa"/>
            </w:tcMar>
            <w:vAlign w:val="center"/>
          </w:tcPr>
          <w:p w14:paraId="2EE4B1F9" w14:textId="77777777" w:rsidR="00E73300" w:rsidRDefault="00A3128C">
            <w:pPr>
              <w:jc w:val="right"/>
            </w:pPr>
            <w:r>
              <w:rPr>
                <w:b/>
                <w:bCs/>
                <w:sz w:val="20"/>
                <w:szCs w:val="20"/>
              </w:rPr>
              <w:t>%</w:t>
            </w:r>
          </w:p>
        </w:tc>
        <w:tc>
          <w:tcPr>
            <w:tcW w:w="2539" w:type="dxa"/>
            <w:shd w:val="clear" w:color="auto" w:fill="EDE3E6"/>
            <w:tcMar>
              <w:top w:w="60" w:type="dxa"/>
              <w:left w:w="100" w:type="dxa"/>
              <w:bottom w:w="60" w:type="dxa"/>
              <w:right w:w="100" w:type="dxa"/>
            </w:tcMar>
            <w:vAlign w:val="center"/>
          </w:tcPr>
          <w:p w14:paraId="2EE4B1FA" w14:textId="77777777" w:rsidR="00E73300" w:rsidRDefault="00A3128C">
            <w:r>
              <w:rPr>
                <w:b/>
                <w:bCs/>
                <w:sz w:val="20"/>
                <w:szCs w:val="20"/>
              </w:rPr>
              <w:t>Mecanismo</w:t>
            </w:r>
          </w:p>
        </w:tc>
      </w:tr>
      <w:tr w:rsidR="00E73300" w14:paraId="2EE4B200"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1FC" w14:textId="77777777" w:rsidR="00E73300" w:rsidRDefault="00A3128C">
            <w:r>
              <w:rPr>
                <w:sz w:val="20"/>
                <w:szCs w:val="20"/>
              </w:rPr>
              <w:t>region_2</w:t>
            </w:r>
          </w:p>
        </w:tc>
        <w:tc>
          <w:tcPr>
            <w:tcW w:w="1995" w:type="dxa"/>
            <w:tcMar>
              <w:top w:w="60" w:type="dxa"/>
              <w:left w:w="100" w:type="dxa"/>
              <w:bottom w:w="60" w:type="dxa"/>
              <w:right w:w="100" w:type="dxa"/>
            </w:tcMar>
            <w:vAlign w:val="center"/>
          </w:tcPr>
          <w:p w14:paraId="2EE4B1FD" w14:textId="77777777" w:rsidR="00E73300" w:rsidRDefault="00A3128C">
            <w:pPr>
              <w:jc w:val="right"/>
            </w:pPr>
            <w:r>
              <w:rPr>
                <w:sz w:val="20"/>
                <w:szCs w:val="20"/>
              </w:rPr>
              <w:t>79.460</w:t>
            </w:r>
          </w:p>
        </w:tc>
        <w:tc>
          <w:tcPr>
            <w:tcW w:w="1451" w:type="dxa"/>
            <w:tcMar>
              <w:top w:w="60" w:type="dxa"/>
              <w:left w:w="100" w:type="dxa"/>
              <w:bottom w:w="60" w:type="dxa"/>
              <w:right w:w="100" w:type="dxa"/>
            </w:tcMar>
            <w:vAlign w:val="center"/>
          </w:tcPr>
          <w:p w14:paraId="2EE4B1FE" w14:textId="77777777" w:rsidR="00E73300" w:rsidRDefault="00A3128C">
            <w:pPr>
              <w:jc w:val="right"/>
            </w:pPr>
            <w:r>
              <w:rPr>
                <w:sz w:val="20"/>
                <w:szCs w:val="20"/>
              </w:rPr>
              <w:t>61,1</w:t>
            </w:r>
          </w:p>
        </w:tc>
        <w:tc>
          <w:tcPr>
            <w:tcW w:w="2539" w:type="dxa"/>
            <w:tcMar>
              <w:top w:w="60" w:type="dxa"/>
              <w:left w:w="100" w:type="dxa"/>
              <w:bottom w:w="60" w:type="dxa"/>
              <w:right w:w="100" w:type="dxa"/>
            </w:tcMar>
            <w:vAlign w:val="center"/>
          </w:tcPr>
          <w:p w14:paraId="2EE4B1FF" w14:textId="77777777" w:rsidR="00E73300" w:rsidRDefault="00A3128C">
            <w:r>
              <w:rPr>
                <w:sz w:val="20"/>
                <w:szCs w:val="20"/>
              </w:rPr>
              <w:t>Estructural</w:t>
            </w:r>
          </w:p>
        </w:tc>
      </w:tr>
      <w:tr w:rsidR="00E73300" w14:paraId="2EE4B205"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201" w14:textId="77777777" w:rsidR="00E73300" w:rsidRDefault="00A3128C">
            <w:r>
              <w:rPr>
                <w:sz w:val="20"/>
                <w:szCs w:val="20"/>
              </w:rPr>
              <w:t>designation</w:t>
            </w:r>
          </w:p>
        </w:tc>
        <w:tc>
          <w:tcPr>
            <w:tcW w:w="1995" w:type="dxa"/>
            <w:tcMar>
              <w:top w:w="60" w:type="dxa"/>
              <w:left w:w="100" w:type="dxa"/>
              <w:bottom w:w="60" w:type="dxa"/>
              <w:right w:w="100" w:type="dxa"/>
            </w:tcMar>
            <w:vAlign w:val="center"/>
          </w:tcPr>
          <w:p w14:paraId="2EE4B202" w14:textId="77777777" w:rsidR="00E73300" w:rsidRDefault="00A3128C">
            <w:pPr>
              <w:jc w:val="right"/>
            </w:pPr>
            <w:r>
              <w:rPr>
                <w:sz w:val="20"/>
                <w:szCs w:val="20"/>
              </w:rPr>
              <w:t>37.465</w:t>
            </w:r>
          </w:p>
        </w:tc>
        <w:tc>
          <w:tcPr>
            <w:tcW w:w="1451" w:type="dxa"/>
            <w:tcMar>
              <w:top w:w="60" w:type="dxa"/>
              <w:left w:w="100" w:type="dxa"/>
              <w:bottom w:w="60" w:type="dxa"/>
              <w:right w:w="100" w:type="dxa"/>
            </w:tcMar>
            <w:vAlign w:val="center"/>
          </w:tcPr>
          <w:p w14:paraId="2EE4B203" w14:textId="77777777" w:rsidR="00E73300" w:rsidRDefault="00A3128C">
            <w:pPr>
              <w:jc w:val="right"/>
            </w:pPr>
            <w:r>
              <w:rPr>
                <w:sz w:val="20"/>
                <w:szCs w:val="20"/>
              </w:rPr>
              <w:t>28,8</w:t>
            </w:r>
          </w:p>
        </w:tc>
        <w:tc>
          <w:tcPr>
            <w:tcW w:w="2539" w:type="dxa"/>
            <w:tcMar>
              <w:top w:w="60" w:type="dxa"/>
              <w:left w:w="100" w:type="dxa"/>
              <w:bottom w:w="60" w:type="dxa"/>
              <w:right w:w="100" w:type="dxa"/>
            </w:tcMar>
            <w:vAlign w:val="center"/>
          </w:tcPr>
          <w:p w14:paraId="2EE4B204" w14:textId="77777777" w:rsidR="00E73300" w:rsidRDefault="00A3128C">
            <w:r>
              <w:rPr>
                <w:sz w:val="20"/>
                <w:szCs w:val="20"/>
              </w:rPr>
              <w:t>Estructural</w:t>
            </w:r>
          </w:p>
        </w:tc>
      </w:tr>
      <w:tr w:rsidR="00E73300" w14:paraId="2EE4B20A"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206" w14:textId="77777777" w:rsidR="00E73300" w:rsidRDefault="00A3128C">
            <w:r>
              <w:rPr>
                <w:sz w:val="20"/>
                <w:szCs w:val="20"/>
              </w:rPr>
              <w:t>taster_twitter_handle</w:t>
            </w:r>
          </w:p>
        </w:tc>
        <w:tc>
          <w:tcPr>
            <w:tcW w:w="1995" w:type="dxa"/>
            <w:tcMar>
              <w:top w:w="60" w:type="dxa"/>
              <w:left w:w="100" w:type="dxa"/>
              <w:bottom w:w="60" w:type="dxa"/>
              <w:right w:w="100" w:type="dxa"/>
            </w:tcMar>
            <w:vAlign w:val="center"/>
          </w:tcPr>
          <w:p w14:paraId="2EE4B207" w14:textId="77777777" w:rsidR="00E73300" w:rsidRDefault="00A3128C">
            <w:pPr>
              <w:jc w:val="right"/>
            </w:pPr>
            <w:r>
              <w:rPr>
                <w:sz w:val="20"/>
                <w:szCs w:val="20"/>
              </w:rPr>
              <w:t>31.213</w:t>
            </w:r>
          </w:p>
        </w:tc>
        <w:tc>
          <w:tcPr>
            <w:tcW w:w="1451" w:type="dxa"/>
            <w:tcMar>
              <w:top w:w="60" w:type="dxa"/>
              <w:left w:w="100" w:type="dxa"/>
              <w:bottom w:w="60" w:type="dxa"/>
              <w:right w:w="100" w:type="dxa"/>
            </w:tcMar>
            <w:vAlign w:val="center"/>
          </w:tcPr>
          <w:p w14:paraId="2EE4B208" w14:textId="77777777" w:rsidR="00E73300" w:rsidRDefault="00A3128C">
            <w:pPr>
              <w:jc w:val="right"/>
            </w:pPr>
            <w:r>
              <w:rPr>
                <w:sz w:val="20"/>
                <w:szCs w:val="20"/>
              </w:rPr>
              <w:t>24,0</w:t>
            </w:r>
          </w:p>
        </w:tc>
        <w:tc>
          <w:tcPr>
            <w:tcW w:w="2539" w:type="dxa"/>
            <w:tcMar>
              <w:top w:w="60" w:type="dxa"/>
              <w:left w:w="100" w:type="dxa"/>
              <w:bottom w:w="60" w:type="dxa"/>
              <w:right w:w="100" w:type="dxa"/>
            </w:tcMar>
            <w:vAlign w:val="center"/>
          </w:tcPr>
          <w:p w14:paraId="2EE4B209" w14:textId="77777777" w:rsidR="00E73300" w:rsidRDefault="00A3128C">
            <w:r>
              <w:rPr>
                <w:sz w:val="20"/>
                <w:szCs w:val="20"/>
              </w:rPr>
              <w:t>Dependiente</w:t>
            </w:r>
          </w:p>
        </w:tc>
      </w:tr>
      <w:tr w:rsidR="00E73300" w14:paraId="2EE4B20F"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20B" w14:textId="77777777" w:rsidR="00E73300" w:rsidRDefault="00A3128C">
            <w:r>
              <w:rPr>
                <w:sz w:val="20"/>
                <w:szCs w:val="20"/>
              </w:rPr>
              <w:t>taster_name</w:t>
            </w:r>
          </w:p>
        </w:tc>
        <w:tc>
          <w:tcPr>
            <w:tcW w:w="1995" w:type="dxa"/>
            <w:tcMar>
              <w:top w:w="60" w:type="dxa"/>
              <w:left w:w="100" w:type="dxa"/>
              <w:bottom w:w="60" w:type="dxa"/>
              <w:right w:w="100" w:type="dxa"/>
            </w:tcMar>
            <w:vAlign w:val="center"/>
          </w:tcPr>
          <w:p w14:paraId="2EE4B20C" w14:textId="77777777" w:rsidR="00E73300" w:rsidRDefault="00A3128C">
            <w:pPr>
              <w:jc w:val="right"/>
            </w:pPr>
            <w:r>
              <w:rPr>
                <w:sz w:val="20"/>
                <w:szCs w:val="20"/>
              </w:rPr>
              <w:t>26.244</w:t>
            </w:r>
          </w:p>
        </w:tc>
        <w:tc>
          <w:tcPr>
            <w:tcW w:w="1451" w:type="dxa"/>
            <w:tcMar>
              <w:top w:w="60" w:type="dxa"/>
              <w:left w:w="100" w:type="dxa"/>
              <w:bottom w:w="60" w:type="dxa"/>
              <w:right w:w="100" w:type="dxa"/>
            </w:tcMar>
            <w:vAlign w:val="center"/>
          </w:tcPr>
          <w:p w14:paraId="2EE4B20D" w14:textId="77777777" w:rsidR="00E73300" w:rsidRDefault="00A3128C">
            <w:pPr>
              <w:jc w:val="right"/>
            </w:pPr>
            <w:r>
              <w:rPr>
                <w:sz w:val="20"/>
                <w:szCs w:val="20"/>
              </w:rPr>
              <w:t>20,2</w:t>
            </w:r>
          </w:p>
        </w:tc>
        <w:tc>
          <w:tcPr>
            <w:tcW w:w="2539" w:type="dxa"/>
            <w:tcMar>
              <w:top w:w="60" w:type="dxa"/>
              <w:left w:w="100" w:type="dxa"/>
              <w:bottom w:w="60" w:type="dxa"/>
              <w:right w:w="100" w:type="dxa"/>
            </w:tcMar>
            <w:vAlign w:val="center"/>
          </w:tcPr>
          <w:p w14:paraId="2EE4B20E" w14:textId="77777777" w:rsidR="00E73300" w:rsidRDefault="00A3128C">
            <w:r>
              <w:rPr>
                <w:sz w:val="20"/>
                <w:szCs w:val="20"/>
              </w:rPr>
              <w:t>No informado</w:t>
            </w:r>
          </w:p>
        </w:tc>
      </w:tr>
      <w:tr w:rsidR="00E73300" w14:paraId="2EE4B214"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210" w14:textId="77777777" w:rsidR="00E73300" w:rsidRDefault="00A3128C">
            <w:r>
              <w:rPr>
                <w:sz w:val="20"/>
                <w:szCs w:val="20"/>
              </w:rPr>
              <w:t>region_1</w:t>
            </w:r>
          </w:p>
        </w:tc>
        <w:tc>
          <w:tcPr>
            <w:tcW w:w="1995" w:type="dxa"/>
            <w:tcMar>
              <w:top w:w="60" w:type="dxa"/>
              <w:left w:w="100" w:type="dxa"/>
              <w:bottom w:w="60" w:type="dxa"/>
              <w:right w:w="100" w:type="dxa"/>
            </w:tcMar>
            <w:vAlign w:val="center"/>
          </w:tcPr>
          <w:p w14:paraId="2EE4B211" w14:textId="77777777" w:rsidR="00E73300" w:rsidRDefault="00A3128C">
            <w:pPr>
              <w:jc w:val="right"/>
            </w:pPr>
            <w:r>
              <w:rPr>
                <w:sz w:val="20"/>
                <w:szCs w:val="20"/>
              </w:rPr>
              <w:t>21.247</w:t>
            </w:r>
          </w:p>
        </w:tc>
        <w:tc>
          <w:tcPr>
            <w:tcW w:w="1451" w:type="dxa"/>
            <w:tcMar>
              <w:top w:w="60" w:type="dxa"/>
              <w:left w:w="100" w:type="dxa"/>
              <w:bottom w:w="60" w:type="dxa"/>
              <w:right w:w="100" w:type="dxa"/>
            </w:tcMar>
            <w:vAlign w:val="center"/>
          </w:tcPr>
          <w:p w14:paraId="2EE4B212" w14:textId="77777777" w:rsidR="00E73300" w:rsidRDefault="00A3128C">
            <w:pPr>
              <w:jc w:val="right"/>
            </w:pPr>
            <w:r>
              <w:rPr>
                <w:sz w:val="20"/>
                <w:szCs w:val="20"/>
              </w:rPr>
              <w:t>16,3</w:t>
            </w:r>
          </w:p>
        </w:tc>
        <w:tc>
          <w:tcPr>
            <w:tcW w:w="2539" w:type="dxa"/>
            <w:tcMar>
              <w:top w:w="60" w:type="dxa"/>
              <w:left w:w="100" w:type="dxa"/>
              <w:bottom w:w="60" w:type="dxa"/>
              <w:right w:w="100" w:type="dxa"/>
            </w:tcMar>
            <w:vAlign w:val="center"/>
          </w:tcPr>
          <w:p w14:paraId="2EE4B213" w14:textId="77777777" w:rsidR="00E73300" w:rsidRDefault="00A3128C">
            <w:r>
              <w:rPr>
                <w:sz w:val="20"/>
                <w:szCs w:val="20"/>
              </w:rPr>
              <w:t>Estructural</w:t>
            </w:r>
          </w:p>
        </w:tc>
      </w:tr>
      <w:tr w:rsidR="00E73300" w14:paraId="2EE4B219"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215" w14:textId="77777777" w:rsidR="00E73300" w:rsidRDefault="00A3128C">
            <w:r>
              <w:rPr>
                <w:sz w:val="20"/>
                <w:szCs w:val="20"/>
              </w:rPr>
              <w:t>price</w:t>
            </w:r>
          </w:p>
        </w:tc>
        <w:tc>
          <w:tcPr>
            <w:tcW w:w="1995" w:type="dxa"/>
            <w:tcMar>
              <w:top w:w="60" w:type="dxa"/>
              <w:left w:w="100" w:type="dxa"/>
              <w:bottom w:w="60" w:type="dxa"/>
              <w:right w:w="100" w:type="dxa"/>
            </w:tcMar>
            <w:vAlign w:val="center"/>
          </w:tcPr>
          <w:p w14:paraId="2EE4B216" w14:textId="77777777" w:rsidR="00E73300" w:rsidRDefault="00A3128C">
            <w:pPr>
              <w:jc w:val="right"/>
            </w:pPr>
            <w:r>
              <w:rPr>
                <w:sz w:val="20"/>
                <w:szCs w:val="20"/>
              </w:rPr>
              <w:t>8.996</w:t>
            </w:r>
          </w:p>
        </w:tc>
        <w:tc>
          <w:tcPr>
            <w:tcW w:w="1451" w:type="dxa"/>
            <w:tcMar>
              <w:top w:w="60" w:type="dxa"/>
              <w:left w:w="100" w:type="dxa"/>
              <w:bottom w:w="60" w:type="dxa"/>
              <w:right w:w="100" w:type="dxa"/>
            </w:tcMar>
            <w:vAlign w:val="center"/>
          </w:tcPr>
          <w:p w14:paraId="2EE4B217" w14:textId="77777777" w:rsidR="00E73300" w:rsidRDefault="00A3128C">
            <w:pPr>
              <w:jc w:val="right"/>
            </w:pPr>
            <w:r>
              <w:rPr>
                <w:sz w:val="20"/>
                <w:szCs w:val="20"/>
              </w:rPr>
              <w:t>6,9</w:t>
            </w:r>
          </w:p>
        </w:tc>
        <w:tc>
          <w:tcPr>
            <w:tcW w:w="2539" w:type="dxa"/>
            <w:tcMar>
              <w:top w:w="60" w:type="dxa"/>
              <w:left w:w="100" w:type="dxa"/>
              <w:bottom w:w="60" w:type="dxa"/>
              <w:right w:w="100" w:type="dxa"/>
            </w:tcMar>
            <w:vAlign w:val="center"/>
          </w:tcPr>
          <w:p w14:paraId="2EE4B218" w14:textId="77777777" w:rsidR="00E73300" w:rsidRDefault="00A3128C">
            <w:r>
              <w:rPr>
                <w:sz w:val="20"/>
                <w:szCs w:val="20"/>
              </w:rPr>
              <w:t>MAR</w:t>
            </w:r>
          </w:p>
        </w:tc>
      </w:tr>
      <w:tr w:rsidR="00E73300" w14:paraId="2EE4B21E"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21A" w14:textId="77777777" w:rsidR="00E73300" w:rsidRDefault="00A3128C">
            <w:r>
              <w:rPr>
                <w:sz w:val="20"/>
                <w:szCs w:val="20"/>
              </w:rPr>
              <w:t>province</w:t>
            </w:r>
          </w:p>
        </w:tc>
        <w:tc>
          <w:tcPr>
            <w:tcW w:w="1995" w:type="dxa"/>
            <w:tcMar>
              <w:top w:w="60" w:type="dxa"/>
              <w:left w:w="100" w:type="dxa"/>
              <w:bottom w:w="60" w:type="dxa"/>
              <w:right w:w="100" w:type="dxa"/>
            </w:tcMar>
            <w:vAlign w:val="center"/>
          </w:tcPr>
          <w:p w14:paraId="2EE4B21B" w14:textId="77777777" w:rsidR="00E73300" w:rsidRDefault="00A3128C">
            <w:pPr>
              <w:jc w:val="right"/>
            </w:pPr>
            <w:r>
              <w:rPr>
                <w:sz w:val="20"/>
                <w:szCs w:val="20"/>
              </w:rPr>
              <w:t>63</w:t>
            </w:r>
          </w:p>
        </w:tc>
        <w:tc>
          <w:tcPr>
            <w:tcW w:w="1451" w:type="dxa"/>
            <w:tcMar>
              <w:top w:w="60" w:type="dxa"/>
              <w:left w:w="100" w:type="dxa"/>
              <w:bottom w:w="60" w:type="dxa"/>
              <w:right w:w="100" w:type="dxa"/>
            </w:tcMar>
            <w:vAlign w:val="center"/>
          </w:tcPr>
          <w:p w14:paraId="2EE4B21C" w14:textId="77777777" w:rsidR="00E73300" w:rsidRDefault="00A3128C">
            <w:pPr>
              <w:jc w:val="right"/>
            </w:pPr>
            <w:r>
              <w:rPr>
                <w:sz w:val="20"/>
                <w:szCs w:val="20"/>
              </w:rPr>
              <w:t>0,05</w:t>
            </w:r>
          </w:p>
        </w:tc>
        <w:tc>
          <w:tcPr>
            <w:tcW w:w="2539" w:type="dxa"/>
            <w:tcMar>
              <w:top w:w="60" w:type="dxa"/>
              <w:left w:w="100" w:type="dxa"/>
              <w:bottom w:w="60" w:type="dxa"/>
              <w:right w:w="100" w:type="dxa"/>
            </w:tcMar>
            <w:vAlign w:val="center"/>
          </w:tcPr>
          <w:p w14:paraId="2EE4B21D" w14:textId="77777777" w:rsidR="00E73300" w:rsidRDefault="00A3128C">
            <w:r>
              <w:rPr>
                <w:sz w:val="20"/>
                <w:szCs w:val="20"/>
              </w:rPr>
              <w:t>Desconocido</w:t>
            </w:r>
          </w:p>
        </w:tc>
      </w:tr>
      <w:tr w:rsidR="00E73300" w14:paraId="2EE4B223"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21F" w14:textId="77777777" w:rsidR="00E73300" w:rsidRDefault="00A3128C">
            <w:r>
              <w:rPr>
                <w:sz w:val="20"/>
                <w:szCs w:val="20"/>
              </w:rPr>
              <w:t>country</w:t>
            </w:r>
          </w:p>
        </w:tc>
        <w:tc>
          <w:tcPr>
            <w:tcW w:w="1995" w:type="dxa"/>
            <w:tcMar>
              <w:top w:w="60" w:type="dxa"/>
              <w:left w:w="100" w:type="dxa"/>
              <w:bottom w:w="60" w:type="dxa"/>
              <w:right w:w="100" w:type="dxa"/>
            </w:tcMar>
            <w:vAlign w:val="center"/>
          </w:tcPr>
          <w:p w14:paraId="2EE4B220" w14:textId="77777777" w:rsidR="00E73300" w:rsidRDefault="00A3128C">
            <w:pPr>
              <w:jc w:val="right"/>
            </w:pPr>
            <w:r>
              <w:rPr>
                <w:sz w:val="20"/>
                <w:szCs w:val="20"/>
              </w:rPr>
              <w:t>63</w:t>
            </w:r>
          </w:p>
        </w:tc>
        <w:tc>
          <w:tcPr>
            <w:tcW w:w="1451" w:type="dxa"/>
            <w:tcMar>
              <w:top w:w="60" w:type="dxa"/>
              <w:left w:w="100" w:type="dxa"/>
              <w:bottom w:w="60" w:type="dxa"/>
              <w:right w:w="100" w:type="dxa"/>
            </w:tcMar>
            <w:vAlign w:val="center"/>
          </w:tcPr>
          <w:p w14:paraId="2EE4B221" w14:textId="77777777" w:rsidR="00E73300" w:rsidRDefault="00A3128C">
            <w:pPr>
              <w:jc w:val="right"/>
            </w:pPr>
            <w:r>
              <w:rPr>
                <w:sz w:val="20"/>
                <w:szCs w:val="20"/>
              </w:rPr>
              <w:t>0,05</w:t>
            </w:r>
          </w:p>
        </w:tc>
        <w:tc>
          <w:tcPr>
            <w:tcW w:w="2539" w:type="dxa"/>
            <w:tcMar>
              <w:top w:w="60" w:type="dxa"/>
              <w:left w:w="100" w:type="dxa"/>
              <w:bottom w:w="60" w:type="dxa"/>
              <w:right w:w="100" w:type="dxa"/>
            </w:tcMar>
            <w:vAlign w:val="center"/>
          </w:tcPr>
          <w:p w14:paraId="2EE4B222" w14:textId="77777777" w:rsidR="00E73300" w:rsidRDefault="00A3128C">
            <w:r>
              <w:rPr>
                <w:sz w:val="20"/>
                <w:szCs w:val="20"/>
              </w:rPr>
              <w:t>Desconocido</w:t>
            </w:r>
          </w:p>
        </w:tc>
      </w:tr>
      <w:tr w:rsidR="00E73300" w14:paraId="2EE4B228"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224" w14:textId="77777777" w:rsidR="00E73300" w:rsidRDefault="00A3128C">
            <w:r>
              <w:rPr>
                <w:sz w:val="20"/>
                <w:szCs w:val="20"/>
              </w:rPr>
              <w:t>variety</w:t>
            </w:r>
          </w:p>
        </w:tc>
        <w:tc>
          <w:tcPr>
            <w:tcW w:w="1995" w:type="dxa"/>
            <w:tcMar>
              <w:top w:w="60" w:type="dxa"/>
              <w:left w:w="100" w:type="dxa"/>
              <w:bottom w:w="60" w:type="dxa"/>
              <w:right w:w="100" w:type="dxa"/>
            </w:tcMar>
            <w:vAlign w:val="center"/>
          </w:tcPr>
          <w:p w14:paraId="2EE4B225" w14:textId="77777777" w:rsidR="00E73300" w:rsidRDefault="00A3128C">
            <w:pPr>
              <w:jc w:val="right"/>
            </w:pPr>
            <w:r>
              <w:rPr>
                <w:sz w:val="20"/>
                <w:szCs w:val="20"/>
              </w:rPr>
              <w:t>1</w:t>
            </w:r>
          </w:p>
        </w:tc>
        <w:tc>
          <w:tcPr>
            <w:tcW w:w="1451" w:type="dxa"/>
            <w:tcMar>
              <w:top w:w="60" w:type="dxa"/>
              <w:left w:w="100" w:type="dxa"/>
              <w:bottom w:w="60" w:type="dxa"/>
              <w:right w:w="100" w:type="dxa"/>
            </w:tcMar>
            <w:vAlign w:val="center"/>
          </w:tcPr>
          <w:p w14:paraId="2EE4B226" w14:textId="77777777" w:rsidR="00E73300" w:rsidRDefault="00A3128C">
            <w:pPr>
              <w:jc w:val="right"/>
            </w:pPr>
            <w:r>
              <w:rPr>
                <w:sz w:val="20"/>
                <w:szCs w:val="20"/>
              </w:rPr>
              <w:t>0,00</w:t>
            </w:r>
          </w:p>
        </w:tc>
        <w:tc>
          <w:tcPr>
            <w:tcW w:w="2539" w:type="dxa"/>
            <w:tcMar>
              <w:top w:w="60" w:type="dxa"/>
              <w:left w:w="100" w:type="dxa"/>
              <w:bottom w:w="60" w:type="dxa"/>
              <w:right w:w="100" w:type="dxa"/>
            </w:tcMar>
            <w:vAlign w:val="center"/>
          </w:tcPr>
          <w:p w14:paraId="2EE4B227" w14:textId="77777777" w:rsidR="00E73300" w:rsidRDefault="00A3128C">
            <w:r>
              <w:rPr>
                <w:sz w:val="20"/>
                <w:szCs w:val="20"/>
              </w:rPr>
              <w:t>Desconocido</w:t>
            </w:r>
          </w:p>
        </w:tc>
      </w:tr>
    </w:tbl>
    <w:p w14:paraId="2EE4B229" w14:textId="77777777" w:rsidR="00E73300" w:rsidRDefault="00E73300">
      <w:pPr>
        <w:spacing w:after="240"/>
      </w:pPr>
    </w:p>
    <w:p w14:paraId="2EE4B22A" w14:textId="77777777" w:rsidR="00E73300" w:rsidRDefault="00A3128C">
      <w:pPr>
        <w:ind w:firstLine="720"/>
        <w:jc w:val="both"/>
      </w:pPr>
      <w:r>
        <w:t xml:space="preserve">El panel derecho de la Figura 4 permite distinguir faltantes estructurales de aleatorios mediante probabilidades condicionales. Dos resultados son concluyentes. La probabilidad de que falte </w:t>
      </w:r>
      <w:r>
        <w:rPr>
          <w:i/>
          <w:iCs/>
        </w:rPr>
        <w:t>taster_twitter_handle</w:t>
      </w:r>
      <w:r>
        <w:t xml:space="preserve"> dado que falta </w:t>
      </w:r>
      <w:r>
        <w:rPr>
          <w:i/>
          <w:iCs/>
        </w:rPr>
        <w:t>taster_name</w:t>
      </w:r>
      <w:r>
        <w:t xml:space="preserve"> es exactamente 1,00: la segunda columna es una función de la primera y su ausencia no aporta información adicional. Y la probabilidad de que falte </w:t>
      </w:r>
      <w:r>
        <w:rPr>
          <w:i/>
          <w:iCs/>
        </w:rPr>
        <w:t>region_2</w:t>
      </w:r>
      <w:r>
        <w:t xml:space="preserve"> dado que falta </w:t>
      </w:r>
      <w:r>
        <w:rPr>
          <w:i/>
          <w:iCs/>
        </w:rPr>
        <w:t>price</w:t>
      </w:r>
      <w:r>
        <w:t xml:space="preserve"> asciende a 0,98, lo que indica que ambos faltantes comparten una causa común: el origen geográfico.</w:t>
      </w:r>
    </w:p>
    <w:p w14:paraId="2EE4B22B" w14:textId="77777777" w:rsidR="00E73300" w:rsidRDefault="00A3128C">
      <w:pPr>
        <w:pStyle w:val="Heading2"/>
      </w:pPr>
      <w:bookmarkStart w:id="15" w:name="_Toc240984890"/>
      <w:r>
        <w:lastRenderedPageBreak/>
        <w:t>5.2. El faltante estructural como información</w:t>
      </w:r>
      <w:bookmarkEnd w:id="15"/>
    </w:p>
    <w:p w14:paraId="2EE4B22C" w14:textId="77777777" w:rsidR="00E73300" w:rsidRDefault="00A3128C">
      <w:pPr>
        <w:ind w:firstLine="720"/>
        <w:jc w:val="both"/>
      </w:pPr>
      <w:r>
        <w:t xml:space="preserve">El error más frecuente ante una columna con 61% de valores ausentes consiste en descartarla. La verificación demuestra que sería un error grave: </w:t>
      </w:r>
      <w:r>
        <w:rPr>
          <w:i/>
          <w:iCs/>
        </w:rPr>
        <w:t>region_2</w:t>
      </w:r>
      <w:r>
        <w:t xml:space="preserve"> está presente en el 92,7% de los vinos estadounidenses y en </w:t>
      </w:r>
      <w:r>
        <w:rPr>
          <w:b/>
          <w:bCs/>
        </w:rPr>
        <w:t>exactamente cero</w:t>
      </w:r>
      <w:r>
        <w:t xml:space="preserve"> reseñas del resto del mundo. No es una columna incompleta sino una columna completa para el subconjunto en el que tiene sentido, ya que designa sub-apelaciones propias del sistema vitivinícola de Estados Unidos.</w:t>
      </w:r>
    </w:p>
    <w:p w14:paraId="2EE4B22D" w14:textId="77777777" w:rsidR="00E73300" w:rsidRDefault="00A3128C">
      <w:pPr>
        <w:ind w:firstLine="720"/>
        <w:jc w:val="both"/>
      </w:pPr>
      <w:r>
        <w:t>Un razonamiento análogo se aplica a designation y region_1: no todo vino procede de un viñedo designado ni de un área vinícola delimitada. En estos casos el valor ausente no representa un dato perdido sino la categoría «no aplica», y sustituirlo por una etiqueta explícita conserva esa información, mientras que imputarlo fabricaría un dato que nunca existió.</w:t>
      </w:r>
    </w:p>
    <w:p w14:paraId="2EE4B22E" w14:textId="77777777" w:rsidR="00E73300" w:rsidRDefault="00A3128C">
      <w:pPr>
        <w:pStyle w:val="Heading2"/>
      </w:pPr>
      <w:bookmarkStart w:id="16" w:name="_Toc240984891"/>
      <w:r>
        <w:t>5.3. Diagnóstico del mecanismo de ausencia del precio</w:t>
      </w:r>
      <w:bookmarkEnd w:id="16"/>
    </w:p>
    <w:p w14:paraId="2EE4B22F" w14:textId="77777777" w:rsidR="00E73300" w:rsidRDefault="00A3128C">
      <w:pPr>
        <w:ind w:firstLine="720"/>
        <w:jc w:val="both"/>
      </w:pPr>
      <w:r>
        <w:t>El precio es la única variable cuyo faltante constituye un dato genuinamente perdido y, por lo tanto, la única candidata a imputación. Determinar el mecanismo es lo que decide la estrategia adecuada.</w:t>
      </w:r>
    </w:p>
    <w:p w14:paraId="2EE4B230" w14:textId="77777777" w:rsidR="00E73300" w:rsidRDefault="00A3128C">
      <w:pPr>
        <w:pStyle w:val="ListParagraph"/>
        <w:numPr>
          <w:ilvl w:val="0"/>
          <w:numId w:val="2"/>
        </w:numPr>
        <w:jc w:val="both"/>
      </w:pPr>
      <w:r>
        <w:rPr>
          <w:b/>
          <w:bCs/>
        </w:rPr>
        <w:t>MCAR</w:t>
      </w:r>
      <w:r>
        <w:t xml:space="preserve"> (ausencia completamente aleatoria): no se relaciona con ninguna variable. Cualquier imputación razonable resulta aceptable y eliminar las filas afectadas no introduce sesgo.</w:t>
      </w:r>
    </w:p>
    <w:p w14:paraId="2EE4B231" w14:textId="77777777" w:rsidR="00E73300" w:rsidRDefault="00A3128C">
      <w:pPr>
        <w:pStyle w:val="ListParagraph"/>
        <w:numPr>
          <w:ilvl w:val="0"/>
          <w:numId w:val="2"/>
        </w:numPr>
        <w:jc w:val="both"/>
      </w:pPr>
      <w:r>
        <w:rPr>
          <w:b/>
          <w:bCs/>
        </w:rPr>
        <w:t>MAR</w:t>
      </w:r>
      <w:r>
        <w:t xml:space="preserve"> (ausencia aleatoria condicionada): depende de variables que sí se observan. Imputar con un valor global sesga el resultado; es necesario condicionar.</w:t>
      </w:r>
    </w:p>
    <w:p w14:paraId="2EE4B232" w14:textId="77777777" w:rsidR="00E73300" w:rsidRDefault="00A3128C">
      <w:pPr>
        <w:pStyle w:val="ListParagraph"/>
        <w:numPr>
          <w:ilvl w:val="0"/>
          <w:numId w:val="2"/>
        </w:numPr>
        <w:jc w:val="both"/>
      </w:pPr>
      <w:r>
        <w:rPr>
          <w:b/>
          <w:bCs/>
        </w:rPr>
        <w:t>MNAR</w:t>
      </w:r>
      <w:r>
        <w:t xml:space="preserve"> (ausencia no aleatoria): depende del propio valor faltante y no es corregible sólo con los datos disponibles.</w:t>
      </w:r>
    </w:p>
    <w:p w14:paraId="2EE4B233" w14:textId="77777777" w:rsidR="00E73300" w:rsidRDefault="00A3128C">
      <w:pPr>
        <w:keepNext/>
        <w:spacing w:before="240" w:after="80"/>
        <w:jc w:val="center"/>
      </w:pPr>
      <w:r>
        <w:rPr>
          <w:b/>
          <w:bCs/>
          <w:sz w:val="20"/>
          <w:szCs w:val="20"/>
        </w:rPr>
        <w:t xml:space="preserve">Tabla 4. </w:t>
      </w:r>
      <w:r>
        <w:rPr>
          <w:sz w:val="20"/>
          <w:szCs w:val="20"/>
        </w:rPr>
        <w:t>Proporción de precios ausentes por país, en países con al menos 1.000 reseñas.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3"/>
        <w:gridCol w:w="3023"/>
      </w:tblGrid>
      <w:tr w:rsidR="00E73300" w14:paraId="2EE4B237" w14:textId="77777777">
        <w:tblPrEx>
          <w:tblCellMar>
            <w:top w:w="0" w:type="dxa"/>
            <w:bottom w:w="0" w:type="dxa"/>
          </w:tblCellMar>
        </w:tblPrEx>
        <w:trPr>
          <w:cantSplit/>
          <w:tblHeader/>
        </w:trPr>
        <w:tc>
          <w:tcPr>
            <w:tcW w:w="3024" w:type="dxa"/>
            <w:shd w:val="clear" w:color="auto" w:fill="EDE3E6"/>
            <w:tcMar>
              <w:top w:w="60" w:type="dxa"/>
              <w:left w:w="100" w:type="dxa"/>
              <w:bottom w:w="60" w:type="dxa"/>
              <w:right w:w="100" w:type="dxa"/>
            </w:tcMar>
            <w:vAlign w:val="center"/>
          </w:tcPr>
          <w:p w14:paraId="2EE4B234" w14:textId="77777777" w:rsidR="00E73300" w:rsidRDefault="00A3128C">
            <w:r>
              <w:rPr>
                <w:b/>
                <w:bCs/>
                <w:sz w:val="20"/>
                <w:szCs w:val="20"/>
              </w:rPr>
              <w:t>País</w:t>
            </w:r>
          </w:p>
        </w:tc>
        <w:tc>
          <w:tcPr>
            <w:tcW w:w="3023" w:type="dxa"/>
            <w:shd w:val="clear" w:color="auto" w:fill="EDE3E6"/>
            <w:tcMar>
              <w:top w:w="60" w:type="dxa"/>
              <w:left w:w="100" w:type="dxa"/>
              <w:bottom w:w="60" w:type="dxa"/>
              <w:right w:w="100" w:type="dxa"/>
            </w:tcMar>
            <w:vAlign w:val="center"/>
          </w:tcPr>
          <w:p w14:paraId="2EE4B235" w14:textId="77777777" w:rsidR="00E73300" w:rsidRDefault="00A3128C">
            <w:pPr>
              <w:jc w:val="right"/>
            </w:pPr>
            <w:r>
              <w:rPr>
                <w:b/>
                <w:bCs/>
                <w:sz w:val="20"/>
                <w:szCs w:val="20"/>
              </w:rPr>
              <w:t>Reseñas</w:t>
            </w:r>
          </w:p>
        </w:tc>
        <w:tc>
          <w:tcPr>
            <w:tcW w:w="3023" w:type="dxa"/>
            <w:shd w:val="clear" w:color="auto" w:fill="EDE3E6"/>
            <w:tcMar>
              <w:top w:w="60" w:type="dxa"/>
              <w:left w:w="100" w:type="dxa"/>
              <w:bottom w:w="60" w:type="dxa"/>
              <w:right w:w="100" w:type="dxa"/>
            </w:tcMar>
            <w:vAlign w:val="center"/>
          </w:tcPr>
          <w:p w14:paraId="2EE4B236" w14:textId="77777777" w:rsidR="00E73300" w:rsidRDefault="00A3128C">
            <w:pPr>
              <w:jc w:val="right"/>
            </w:pPr>
            <w:r>
              <w:rPr>
                <w:b/>
                <w:bCs/>
                <w:sz w:val="20"/>
                <w:szCs w:val="20"/>
              </w:rPr>
              <w:t>% sin precio</w:t>
            </w:r>
          </w:p>
        </w:tc>
      </w:tr>
      <w:tr w:rsidR="00E73300" w14:paraId="2EE4B23B"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38" w14:textId="77777777" w:rsidR="00E73300" w:rsidRDefault="00A3128C">
            <w:r>
              <w:rPr>
                <w:sz w:val="20"/>
                <w:szCs w:val="20"/>
              </w:rPr>
              <w:t>Francia</w:t>
            </w:r>
          </w:p>
        </w:tc>
        <w:tc>
          <w:tcPr>
            <w:tcW w:w="3023" w:type="dxa"/>
            <w:tcMar>
              <w:top w:w="60" w:type="dxa"/>
              <w:left w:w="100" w:type="dxa"/>
              <w:bottom w:w="60" w:type="dxa"/>
              <w:right w:w="100" w:type="dxa"/>
            </w:tcMar>
            <w:vAlign w:val="center"/>
          </w:tcPr>
          <w:p w14:paraId="2EE4B239" w14:textId="77777777" w:rsidR="00E73300" w:rsidRDefault="00A3128C">
            <w:pPr>
              <w:jc w:val="right"/>
            </w:pPr>
            <w:r>
              <w:rPr>
                <w:sz w:val="20"/>
                <w:szCs w:val="20"/>
              </w:rPr>
              <w:t>20.353</w:t>
            </w:r>
          </w:p>
        </w:tc>
        <w:tc>
          <w:tcPr>
            <w:tcW w:w="3023" w:type="dxa"/>
            <w:tcMar>
              <w:top w:w="60" w:type="dxa"/>
              <w:left w:w="100" w:type="dxa"/>
              <w:bottom w:w="60" w:type="dxa"/>
              <w:right w:w="100" w:type="dxa"/>
            </w:tcMar>
            <w:vAlign w:val="center"/>
          </w:tcPr>
          <w:p w14:paraId="2EE4B23A" w14:textId="77777777" w:rsidR="00E73300" w:rsidRDefault="00A3128C">
            <w:pPr>
              <w:jc w:val="right"/>
            </w:pPr>
            <w:r>
              <w:rPr>
                <w:sz w:val="20"/>
                <w:szCs w:val="20"/>
              </w:rPr>
              <w:t>20,0</w:t>
            </w:r>
          </w:p>
        </w:tc>
      </w:tr>
      <w:tr w:rsidR="00E73300" w14:paraId="2EE4B23F"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3C" w14:textId="77777777" w:rsidR="00E73300" w:rsidRDefault="00A3128C">
            <w:r>
              <w:rPr>
                <w:sz w:val="20"/>
                <w:szCs w:val="20"/>
              </w:rPr>
              <w:t>Austria</w:t>
            </w:r>
          </w:p>
        </w:tc>
        <w:tc>
          <w:tcPr>
            <w:tcW w:w="3023" w:type="dxa"/>
            <w:tcMar>
              <w:top w:w="60" w:type="dxa"/>
              <w:left w:w="100" w:type="dxa"/>
              <w:bottom w:w="60" w:type="dxa"/>
              <w:right w:w="100" w:type="dxa"/>
            </w:tcMar>
            <w:vAlign w:val="center"/>
          </w:tcPr>
          <w:p w14:paraId="2EE4B23D" w14:textId="77777777" w:rsidR="00E73300" w:rsidRDefault="00A3128C">
            <w:pPr>
              <w:jc w:val="right"/>
            </w:pPr>
            <w:r>
              <w:rPr>
                <w:sz w:val="20"/>
                <w:szCs w:val="20"/>
              </w:rPr>
              <w:t>3.034</w:t>
            </w:r>
          </w:p>
        </w:tc>
        <w:tc>
          <w:tcPr>
            <w:tcW w:w="3023" w:type="dxa"/>
            <w:tcMar>
              <w:top w:w="60" w:type="dxa"/>
              <w:left w:w="100" w:type="dxa"/>
              <w:bottom w:w="60" w:type="dxa"/>
              <w:right w:w="100" w:type="dxa"/>
            </w:tcMar>
            <w:vAlign w:val="center"/>
          </w:tcPr>
          <w:p w14:paraId="2EE4B23E" w14:textId="77777777" w:rsidR="00E73300" w:rsidRDefault="00A3128C">
            <w:pPr>
              <w:jc w:val="right"/>
            </w:pPr>
            <w:r>
              <w:rPr>
                <w:sz w:val="20"/>
                <w:szCs w:val="20"/>
              </w:rPr>
              <w:t>16,4</w:t>
            </w:r>
          </w:p>
        </w:tc>
      </w:tr>
      <w:tr w:rsidR="00E73300" w14:paraId="2EE4B243"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40" w14:textId="77777777" w:rsidR="00E73300" w:rsidRDefault="00A3128C">
            <w:r>
              <w:rPr>
                <w:sz w:val="20"/>
                <w:szCs w:val="20"/>
              </w:rPr>
              <w:t>Portugal</w:t>
            </w:r>
          </w:p>
        </w:tc>
        <w:tc>
          <w:tcPr>
            <w:tcW w:w="3023" w:type="dxa"/>
            <w:tcMar>
              <w:top w:w="60" w:type="dxa"/>
              <w:left w:w="100" w:type="dxa"/>
              <w:bottom w:w="60" w:type="dxa"/>
              <w:right w:w="100" w:type="dxa"/>
            </w:tcMar>
            <w:vAlign w:val="center"/>
          </w:tcPr>
          <w:p w14:paraId="2EE4B241" w14:textId="77777777" w:rsidR="00E73300" w:rsidRDefault="00A3128C">
            <w:pPr>
              <w:jc w:val="right"/>
            </w:pPr>
            <w:r>
              <w:rPr>
                <w:sz w:val="20"/>
                <w:szCs w:val="20"/>
              </w:rPr>
              <w:t>5.256</w:t>
            </w:r>
          </w:p>
        </w:tc>
        <w:tc>
          <w:tcPr>
            <w:tcW w:w="3023" w:type="dxa"/>
            <w:tcMar>
              <w:top w:w="60" w:type="dxa"/>
              <w:left w:w="100" w:type="dxa"/>
              <w:bottom w:w="60" w:type="dxa"/>
              <w:right w:w="100" w:type="dxa"/>
            </w:tcMar>
            <w:vAlign w:val="center"/>
          </w:tcPr>
          <w:p w14:paraId="2EE4B242" w14:textId="77777777" w:rsidR="00E73300" w:rsidRDefault="00A3128C">
            <w:pPr>
              <w:jc w:val="right"/>
            </w:pPr>
            <w:r>
              <w:rPr>
                <w:sz w:val="20"/>
                <w:szCs w:val="20"/>
              </w:rPr>
              <w:t>14,3</w:t>
            </w:r>
          </w:p>
        </w:tc>
      </w:tr>
      <w:tr w:rsidR="00E73300" w14:paraId="2EE4B247"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44" w14:textId="77777777" w:rsidR="00E73300" w:rsidRDefault="00A3128C">
            <w:r>
              <w:rPr>
                <w:sz w:val="20"/>
                <w:szCs w:val="20"/>
              </w:rPr>
              <w:t>Italia</w:t>
            </w:r>
          </w:p>
        </w:tc>
        <w:tc>
          <w:tcPr>
            <w:tcW w:w="3023" w:type="dxa"/>
            <w:tcMar>
              <w:top w:w="60" w:type="dxa"/>
              <w:left w:w="100" w:type="dxa"/>
              <w:bottom w:w="60" w:type="dxa"/>
              <w:right w:w="100" w:type="dxa"/>
            </w:tcMar>
            <w:vAlign w:val="center"/>
          </w:tcPr>
          <w:p w14:paraId="2EE4B245" w14:textId="77777777" w:rsidR="00E73300" w:rsidRDefault="00A3128C">
            <w:pPr>
              <w:jc w:val="right"/>
            </w:pPr>
            <w:r>
              <w:rPr>
                <w:sz w:val="20"/>
                <w:szCs w:val="20"/>
              </w:rPr>
              <w:t>17.940</w:t>
            </w:r>
          </w:p>
        </w:tc>
        <w:tc>
          <w:tcPr>
            <w:tcW w:w="3023" w:type="dxa"/>
            <w:tcMar>
              <w:top w:w="60" w:type="dxa"/>
              <w:left w:w="100" w:type="dxa"/>
              <w:bottom w:w="60" w:type="dxa"/>
              <w:right w:w="100" w:type="dxa"/>
            </w:tcMar>
            <w:vAlign w:val="center"/>
          </w:tcPr>
          <w:p w14:paraId="2EE4B246" w14:textId="77777777" w:rsidR="00E73300" w:rsidRDefault="00A3128C">
            <w:pPr>
              <w:jc w:val="right"/>
            </w:pPr>
            <w:r>
              <w:rPr>
                <w:sz w:val="20"/>
                <w:szCs w:val="20"/>
              </w:rPr>
              <w:t>13,6</w:t>
            </w:r>
          </w:p>
        </w:tc>
      </w:tr>
      <w:tr w:rsidR="00E73300" w14:paraId="2EE4B24B"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48" w14:textId="77777777" w:rsidR="00E73300" w:rsidRDefault="00A3128C">
            <w:r>
              <w:rPr>
                <w:sz w:val="20"/>
                <w:szCs w:val="20"/>
              </w:rPr>
              <w:t>Sudáfrica</w:t>
            </w:r>
          </w:p>
        </w:tc>
        <w:tc>
          <w:tcPr>
            <w:tcW w:w="3023" w:type="dxa"/>
            <w:tcMar>
              <w:top w:w="60" w:type="dxa"/>
              <w:left w:w="100" w:type="dxa"/>
              <w:bottom w:w="60" w:type="dxa"/>
              <w:right w:w="100" w:type="dxa"/>
            </w:tcMar>
            <w:vAlign w:val="center"/>
          </w:tcPr>
          <w:p w14:paraId="2EE4B249" w14:textId="77777777" w:rsidR="00E73300" w:rsidRDefault="00A3128C">
            <w:pPr>
              <w:jc w:val="right"/>
            </w:pPr>
            <w:r>
              <w:rPr>
                <w:sz w:val="20"/>
                <w:szCs w:val="20"/>
              </w:rPr>
              <w:t>1.301</w:t>
            </w:r>
          </w:p>
        </w:tc>
        <w:tc>
          <w:tcPr>
            <w:tcW w:w="3023" w:type="dxa"/>
            <w:tcMar>
              <w:top w:w="60" w:type="dxa"/>
              <w:left w:w="100" w:type="dxa"/>
              <w:bottom w:w="60" w:type="dxa"/>
              <w:right w:w="100" w:type="dxa"/>
            </w:tcMar>
            <w:vAlign w:val="center"/>
          </w:tcPr>
          <w:p w14:paraId="2EE4B24A" w14:textId="77777777" w:rsidR="00E73300" w:rsidRDefault="00A3128C">
            <w:pPr>
              <w:jc w:val="right"/>
            </w:pPr>
            <w:r>
              <w:rPr>
                <w:sz w:val="20"/>
                <w:szCs w:val="20"/>
              </w:rPr>
              <w:t>8,1</w:t>
            </w:r>
          </w:p>
        </w:tc>
      </w:tr>
      <w:tr w:rsidR="00E73300" w14:paraId="2EE4B24F"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4C" w14:textId="77777777" w:rsidR="00E73300" w:rsidRDefault="00A3128C">
            <w:r>
              <w:rPr>
                <w:sz w:val="20"/>
                <w:szCs w:val="20"/>
              </w:rPr>
              <w:lastRenderedPageBreak/>
              <w:t>Nueva Zelanda</w:t>
            </w:r>
          </w:p>
        </w:tc>
        <w:tc>
          <w:tcPr>
            <w:tcW w:w="3023" w:type="dxa"/>
            <w:tcMar>
              <w:top w:w="60" w:type="dxa"/>
              <w:left w:w="100" w:type="dxa"/>
              <w:bottom w:w="60" w:type="dxa"/>
              <w:right w:w="100" w:type="dxa"/>
            </w:tcMar>
            <w:vAlign w:val="center"/>
          </w:tcPr>
          <w:p w14:paraId="2EE4B24D" w14:textId="77777777" w:rsidR="00E73300" w:rsidRDefault="00A3128C">
            <w:pPr>
              <w:jc w:val="right"/>
            </w:pPr>
            <w:r>
              <w:rPr>
                <w:sz w:val="20"/>
                <w:szCs w:val="20"/>
              </w:rPr>
              <w:t>1.278</w:t>
            </w:r>
          </w:p>
        </w:tc>
        <w:tc>
          <w:tcPr>
            <w:tcW w:w="3023" w:type="dxa"/>
            <w:tcMar>
              <w:top w:w="60" w:type="dxa"/>
              <w:left w:w="100" w:type="dxa"/>
              <w:bottom w:w="60" w:type="dxa"/>
              <w:right w:w="100" w:type="dxa"/>
            </w:tcMar>
            <w:vAlign w:val="center"/>
          </w:tcPr>
          <w:p w14:paraId="2EE4B24E" w14:textId="77777777" w:rsidR="00E73300" w:rsidRDefault="00A3128C">
            <w:pPr>
              <w:jc w:val="right"/>
            </w:pPr>
            <w:r>
              <w:rPr>
                <w:sz w:val="20"/>
                <w:szCs w:val="20"/>
              </w:rPr>
              <w:t>3,0</w:t>
            </w:r>
          </w:p>
        </w:tc>
      </w:tr>
      <w:tr w:rsidR="00E73300" w14:paraId="2EE4B253"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50" w14:textId="77777777" w:rsidR="00E73300" w:rsidRDefault="00A3128C">
            <w:r>
              <w:rPr>
                <w:sz w:val="20"/>
                <w:szCs w:val="20"/>
              </w:rPr>
              <w:t>Argentina</w:t>
            </w:r>
          </w:p>
        </w:tc>
        <w:tc>
          <w:tcPr>
            <w:tcW w:w="3023" w:type="dxa"/>
            <w:tcMar>
              <w:top w:w="60" w:type="dxa"/>
              <w:left w:w="100" w:type="dxa"/>
              <w:bottom w:w="60" w:type="dxa"/>
              <w:right w:w="100" w:type="dxa"/>
            </w:tcMar>
            <w:vAlign w:val="center"/>
          </w:tcPr>
          <w:p w14:paraId="2EE4B251" w14:textId="77777777" w:rsidR="00E73300" w:rsidRDefault="00A3128C">
            <w:pPr>
              <w:jc w:val="right"/>
            </w:pPr>
            <w:r>
              <w:rPr>
                <w:sz w:val="20"/>
                <w:szCs w:val="20"/>
              </w:rPr>
              <w:t>3.544</w:t>
            </w:r>
          </w:p>
        </w:tc>
        <w:tc>
          <w:tcPr>
            <w:tcW w:w="3023" w:type="dxa"/>
            <w:tcMar>
              <w:top w:w="60" w:type="dxa"/>
              <w:left w:w="100" w:type="dxa"/>
              <w:bottom w:w="60" w:type="dxa"/>
              <w:right w:w="100" w:type="dxa"/>
            </w:tcMar>
            <w:vAlign w:val="center"/>
          </w:tcPr>
          <w:p w14:paraId="2EE4B252" w14:textId="77777777" w:rsidR="00E73300" w:rsidRDefault="00A3128C">
            <w:pPr>
              <w:jc w:val="right"/>
            </w:pPr>
            <w:r>
              <w:rPr>
                <w:sz w:val="20"/>
                <w:szCs w:val="20"/>
              </w:rPr>
              <w:t>1,2</w:t>
            </w:r>
          </w:p>
        </w:tc>
      </w:tr>
      <w:tr w:rsidR="00E73300" w14:paraId="2EE4B257"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54" w14:textId="77777777" w:rsidR="00E73300" w:rsidRDefault="00A3128C">
            <w:r>
              <w:rPr>
                <w:sz w:val="20"/>
                <w:szCs w:val="20"/>
              </w:rPr>
              <w:t>España</w:t>
            </w:r>
          </w:p>
        </w:tc>
        <w:tc>
          <w:tcPr>
            <w:tcW w:w="3023" w:type="dxa"/>
            <w:tcMar>
              <w:top w:w="60" w:type="dxa"/>
              <w:left w:w="100" w:type="dxa"/>
              <w:bottom w:w="60" w:type="dxa"/>
              <w:right w:w="100" w:type="dxa"/>
            </w:tcMar>
            <w:vAlign w:val="center"/>
          </w:tcPr>
          <w:p w14:paraId="2EE4B255" w14:textId="77777777" w:rsidR="00E73300" w:rsidRDefault="00A3128C">
            <w:pPr>
              <w:jc w:val="right"/>
            </w:pPr>
            <w:r>
              <w:rPr>
                <w:sz w:val="20"/>
                <w:szCs w:val="20"/>
              </w:rPr>
              <w:t>6.116</w:t>
            </w:r>
          </w:p>
        </w:tc>
        <w:tc>
          <w:tcPr>
            <w:tcW w:w="3023" w:type="dxa"/>
            <w:tcMar>
              <w:top w:w="60" w:type="dxa"/>
              <w:left w:w="100" w:type="dxa"/>
              <w:bottom w:w="60" w:type="dxa"/>
              <w:right w:w="100" w:type="dxa"/>
            </w:tcMar>
            <w:vAlign w:val="center"/>
          </w:tcPr>
          <w:p w14:paraId="2EE4B256" w14:textId="77777777" w:rsidR="00E73300" w:rsidRDefault="00A3128C">
            <w:pPr>
              <w:jc w:val="right"/>
            </w:pPr>
            <w:r>
              <w:rPr>
                <w:sz w:val="20"/>
                <w:szCs w:val="20"/>
              </w:rPr>
              <w:t>1,1</w:t>
            </w:r>
          </w:p>
        </w:tc>
      </w:tr>
      <w:tr w:rsidR="00E73300" w14:paraId="2EE4B25B"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58" w14:textId="77777777" w:rsidR="00E73300" w:rsidRDefault="00A3128C">
            <w:r>
              <w:rPr>
                <w:sz w:val="20"/>
                <w:szCs w:val="20"/>
              </w:rPr>
              <w:t>Estados Unidos</w:t>
            </w:r>
          </w:p>
        </w:tc>
        <w:tc>
          <w:tcPr>
            <w:tcW w:w="3023" w:type="dxa"/>
            <w:tcMar>
              <w:top w:w="60" w:type="dxa"/>
              <w:left w:w="100" w:type="dxa"/>
              <w:bottom w:w="60" w:type="dxa"/>
              <w:right w:w="100" w:type="dxa"/>
            </w:tcMar>
            <w:vAlign w:val="center"/>
          </w:tcPr>
          <w:p w14:paraId="2EE4B259" w14:textId="77777777" w:rsidR="00E73300" w:rsidRDefault="00A3128C">
            <w:pPr>
              <w:jc w:val="right"/>
            </w:pPr>
            <w:r>
              <w:rPr>
                <w:sz w:val="20"/>
                <w:szCs w:val="20"/>
              </w:rPr>
              <w:t>50.457</w:t>
            </w:r>
          </w:p>
        </w:tc>
        <w:tc>
          <w:tcPr>
            <w:tcW w:w="3023" w:type="dxa"/>
            <w:tcMar>
              <w:top w:w="60" w:type="dxa"/>
              <w:left w:w="100" w:type="dxa"/>
              <w:bottom w:w="60" w:type="dxa"/>
              <w:right w:w="100" w:type="dxa"/>
            </w:tcMar>
            <w:vAlign w:val="center"/>
          </w:tcPr>
          <w:p w14:paraId="2EE4B25A" w14:textId="77777777" w:rsidR="00E73300" w:rsidRDefault="00A3128C">
            <w:pPr>
              <w:jc w:val="right"/>
            </w:pPr>
            <w:r>
              <w:rPr>
                <w:sz w:val="20"/>
                <w:szCs w:val="20"/>
              </w:rPr>
              <w:t>0,4</w:t>
            </w:r>
          </w:p>
        </w:tc>
      </w:tr>
    </w:tbl>
    <w:p w14:paraId="2EE4B25C" w14:textId="77777777" w:rsidR="00E73300" w:rsidRDefault="00E73300">
      <w:pPr>
        <w:spacing w:after="240"/>
      </w:pPr>
    </w:p>
    <w:p w14:paraId="2EE4B25D" w14:textId="77777777" w:rsidR="00E73300" w:rsidRDefault="00A3128C">
      <w:pPr>
        <w:ind w:firstLine="720"/>
        <w:jc w:val="both"/>
      </w:pPr>
      <w:r>
        <w:t xml:space="preserve">Francia presenta cincuenta veces más precios ausentes que Estados Unidos, y la proporción crece además con el puntaje, del 0,5% entre los vinos de 80 puntos al 15,2% entre los de 99. La ausencia depende claramente de variables observadas, de modo que el mecanismo es </w:t>
      </w:r>
      <w:r>
        <w:rPr>
          <w:b/>
          <w:bCs/>
        </w:rPr>
        <w:t>MAR</w:t>
      </w:r>
      <w:r>
        <w:t>. La consecuencia es directa: imputar con la mediana general asignaría precios propios del mercado estadounidense, más económico, a vinos franceses e italianos.</w:t>
      </w:r>
    </w:p>
    <w:p w14:paraId="2EE4B25E" w14:textId="77777777" w:rsidR="00E73300" w:rsidRDefault="00A3128C">
      <w:pPr>
        <w:pStyle w:val="Heading2"/>
      </w:pPr>
      <w:bookmarkStart w:id="17" w:name="_Toc240984892"/>
      <w:r>
        <w:t>5.4. Selección de la estrategia mediante validación</w:t>
      </w:r>
      <w:bookmarkEnd w:id="17"/>
    </w:p>
    <w:p w14:paraId="2EE4B25F" w14:textId="77777777" w:rsidR="00E73300" w:rsidRDefault="00A3128C">
      <w:pPr>
        <w:ind w:firstLine="720"/>
        <w:jc w:val="both"/>
      </w:pPr>
      <w:r>
        <w:t>La elección del método de imputación no se resolvió por criterio general sino por medición. Se ocultó una muestra de precios efectivamente conocidos, se imputó cada estrategia candidata y se midió el error contra el valor real, disponible en esas filas.</w:t>
      </w:r>
    </w:p>
    <w:p w14:paraId="2EE4B260" w14:textId="77777777" w:rsidR="00E73300" w:rsidRDefault="00A3128C">
      <w:pPr>
        <w:ind w:firstLine="720"/>
        <w:jc w:val="both"/>
      </w:pPr>
      <w:r>
        <w:t>El ocultamiento replicó el patrón MAR observado —ocultando proporcionalmente más en los países que efectivamente presentan más ausencias— en lugar de seleccionar filas al azar. Evaluar contra un patrón MCAR artificial habría favorecido indebidamente a los métodos globales, que son precisamente los que fallan cuando la ausencia se concentra.</w:t>
      </w:r>
    </w:p>
    <w:p w14:paraId="2EE4B261" w14:textId="77777777" w:rsidR="00E73300" w:rsidRDefault="00A3128C">
      <w:pPr>
        <w:keepNext/>
        <w:spacing w:before="240" w:after="80"/>
        <w:jc w:val="center"/>
      </w:pPr>
      <w:r>
        <w:rPr>
          <w:b/>
          <w:bCs/>
          <w:sz w:val="20"/>
          <w:szCs w:val="20"/>
        </w:rPr>
        <w:t xml:space="preserve">Tabla 5. </w:t>
      </w:r>
      <w:r>
        <w:rPr>
          <w:sz w:val="20"/>
          <w:szCs w:val="20"/>
        </w:rPr>
        <w:t>Error de cada estrategia de imputación sobre precios ocultados deliberadamente.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2267"/>
        <w:gridCol w:w="2267"/>
        <w:gridCol w:w="2267"/>
      </w:tblGrid>
      <w:tr w:rsidR="00E73300" w14:paraId="2EE4B266" w14:textId="77777777">
        <w:tblPrEx>
          <w:tblCellMar>
            <w:top w:w="0" w:type="dxa"/>
            <w:bottom w:w="0" w:type="dxa"/>
          </w:tblCellMar>
        </w:tblPrEx>
        <w:trPr>
          <w:cantSplit/>
          <w:tblHeader/>
        </w:trPr>
        <w:tc>
          <w:tcPr>
            <w:tcW w:w="2269" w:type="dxa"/>
            <w:shd w:val="clear" w:color="auto" w:fill="EDE3E6"/>
            <w:tcMar>
              <w:top w:w="60" w:type="dxa"/>
              <w:left w:w="100" w:type="dxa"/>
              <w:bottom w:w="60" w:type="dxa"/>
              <w:right w:w="100" w:type="dxa"/>
            </w:tcMar>
            <w:vAlign w:val="center"/>
          </w:tcPr>
          <w:p w14:paraId="2EE4B262" w14:textId="77777777" w:rsidR="00E73300" w:rsidRDefault="00A3128C">
            <w:r>
              <w:rPr>
                <w:b/>
                <w:bCs/>
                <w:sz w:val="20"/>
                <w:szCs w:val="20"/>
              </w:rPr>
              <w:t>Estrategia</w:t>
            </w:r>
          </w:p>
        </w:tc>
        <w:tc>
          <w:tcPr>
            <w:tcW w:w="2267" w:type="dxa"/>
            <w:shd w:val="clear" w:color="auto" w:fill="EDE3E6"/>
            <w:tcMar>
              <w:top w:w="60" w:type="dxa"/>
              <w:left w:w="100" w:type="dxa"/>
              <w:bottom w:w="60" w:type="dxa"/>
              <w:right w:w="100" w:type="dxa"/>
            </w:tcMar>
            <w:vAlign w:val="center"/>
          </w:tcPr>
          <w:p w14:paraId="2EE4B263" w14:textId="77777777" w:rsidR="00E73300" w:rsidRDefault="00A3128C">
            <w:pPr>
              <w:jc w:val="right"/>
            </w:pPr>
            <w:r>
              <w:rPr>
                <w:b/>
                <w:bCs/>
                <w:sz w:val="20"/>
                <w:szCs w:val="20"/>
              </w:rPr>
              <w:t>MAE</w:t>
            </w:r>
          </w:p>
        </w:tc>
        <w:tc>
          <w:tcPr>
            <w:tcW w:w="2267" w:type="dxa"/>
            <w:shd w:val="clear" w:color="auto" w:fill="EDE3E6"/>
            <w:tcMar>
              <w:top w:w="60" w:type="dxa"/>
              <w:left w:w="100" w:type="dxa"/>
              <w:bottom w:w="60" w:type="dxa"/>
              <w:right w:w="100" w:type="dxa"/>
            </w:tcMar>
            <w:vAlign w:val="center"/>
          </w:tcPr>
          <w:p w14:paraId="2EE4B264" w14:textId="77777777" w:rsidR="00E73300" w:rsidRDefault="00A3128C">
            <w:pPr>
              <w:jc w:val="right"/>
            </w:pPr>
            <w:r>
              <w:rPr>
                <w:b/>
                <w:bCs/>
                <w:sz w:val="20"/>
                <w:szCs w:val="20"/>
              </w:rPr>
              <w:t>Error mediano</w:t>
            </w:r>
          </w:p>
        </w:tc>
        <w:tc>
          <w:tcPr>
            <w:tcW w:w="2267" w:type="dxa"/>
            <w:shd w:val="clear" w:color="auto" w:fill="EDE3E6"/>
            <w:tcMar>
              <w:top w:w="60" w:type="dxa"/>
              <w:left w:w="100" w:type="dxa"/>
              <w:bottom w:w="60" w:type="dxa"/>
              <w:right w:w="100" w:type="dxa"/>
            </w:tcMar>
            <w:vAlign w:val="center"/>
          </w:tcPr>
          <w:p w14:paraId="2EE4B265" w14:textId="77777777" w:rsidR="00E73300" w:rsidRDefault="00A3128C">
            <w:pPr>
              <w:jc w:val="right"/>
            </w:pPr>
            <w:r>
              <w:rPr>
                <w:b/>
                <w:bCs/>
                <w:sz w:val="20"/>
                <w:szCs w:val="20"/>
              </w:rPr>
              <w:t>MAPE</w:t>
            </w:r>
          </w:p>
        </w:tc>
      </w:tr>
      <w:tr w:rsidR="00E73300" w14:paraId="2EE4B26B"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2EE4B267" w14:textId="77777777" w:rsidR="00E73300" w:rsidRDefault="00A3128C">
            <w:r>
              <w:rPr>
                <w:sz w:val="20"/>
                <w:szCs w:val="20"/>
              </w:rPr>
              <w:t>Media global</w:t>
            </w:r>
          </w:p>
        </w:tc>
        <w:tc>
          <w:tcPr>
            <w:tcW w:w="2267" w:type="dxa"/>
            <w:tcMar>
              <w:top w:w="60" w:type="dxa"/>
              <w:left w:w="100" w:type="dxa"/>
              <w:bottom w:w="60" w:type="dxa"/>
              <w:right w:w="100" w:type="dxa"/>
            </w:tcMar>
            <w:vAlign w:val="center"/>
          </w:tcPr>
          <w:p w14:paraId="2EE4B268" w14:textId="77777777" w:rsidR="00E73300" w:rsidRDefault="00A3128C">
            <w:pPr>
              <w:jc w:val="right"/>
            </w:pPr>
            <w:r>
              <w:rPr>
                <w:sz w:val="20"/>
                <w:szCs w:val="20"/>
              </w:rPr>
              <w:t>$24,35</w:t>
            </w:r>
          </w:p>
        </w:tc>
        <w:tc>
          <w:tcPr>
            <w:tcW w:w="2267" w:type="dxa"/>
            <w:tcMar>
              <w:top w:w="60" w:type="dxa"/>
              <w:left w:w="100" w:type="dxa"/>
              <w:bottom w:w="60" w:type="dxa"/>
              <w:right w:w="100" w:type="dxa"/>
            </w:tcMar>
            <w:vAlign w:val="center"/>
          </w:tcPr>
          <w:p w14:paraId="2EE4B269" w14:textId="77777777" w:rsidR="00E73300" w:rsidRDefault="00A3128C">
            <w:pPr>
              <w:jc w:val="right"/>
            </w:pPr>
            <w:r>
              <w:rPr>
                <w:sz w:val="20"/>
                <w:szCs w:val="20"/>
              </w:rPr>
              <w:t>$17,44</w:t>
            </w:r>
          </w:p>
        </w:tc>
        <w:tc>
          <w:tcPr>
            <w:tcW w:w="2267" w:type="dxa"/>
            <w:tcMar>
              <w:top w:w="60" w:type="dxa"/>
              <w:left w:w="100" w:type="dxa"/>
              <w:bottom w:w="60" w:type="dxa"/>
              <w:right w:w="100" w:type="dxa"/>
            </w:tcMar>
            <w:vAlign w:val="center"/>
          </w:tcPr>
          <w:p w14:paraId="2EE4B26A" w14:textId="77777777" w:rsidR="00E73300" w:rsidRDefault="00A3128C">
            <w:pPr>
              <w:jc w:val="right"/>
            </w:pPr>
            <w:r>
              <w:rPr>
                <w:sz w:val="20"/>
                <w:szCs w:val="20"/>
              </w:rPr>
              <w:t>61,1%</w:t>
            </w:r>
          </w:p>
        </w:tc>
      </w:tr>
      <w:tr w:rsidR="00E73300" w14:paraId="2EE4B270"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2EE4B26C" w14:textId="77777777" w:rsidR="00E73300" w:rsidRDefault="00A3128C">
            <w:r>
              <w:rPr>
                <w:sz w:val="20"/>
                <w:szCs w:val="20"/>
              </w:rPr>
              <w:t>Mediana global</w:t>
            </w:r>
          </w:p>
        </w:tc>
        <w:tc>
          <w:tcPr>
            <w:tcW w:w="2267" w:type="dxa"/>
            <w:tcMar>
              <w:top w:w="60" w:type="dxa"/>
              <w:left w:w="100" w:type="dxa"/>
              <w:bottom w:w="60" w:type="dxa"/>
              <w:right w:w="100" w:type="dxa"/>
            </w:tcMar>
            <w:vAlign w:val="center"/>
          </w:tcPr>
          <w:p w14:paraId="2EE4B26D" w14:textId="77777777" w:rsidR="00E73300" w:rsidRDefault="00A3128C">
            <w:pPr>
              <w:jc w:val="right"/>
            </w:pPr>
            <w:r>
              <w:rPr>
                <w:sz w:val="20"/>
                <w:szCs w:val="20"/>
              </w:rPr>
              <w:t>$21,96</w:t>
            </w:r>
          </w:p>
        </w:tc>
        <w:tc>
          <w:tcPr>
            <w:tcW w:w="2267" w:type="dxa"/>
            <w:tcMar>
              <w:top w:w="60" w:type="dxa"/>
              <w:left w:w="100" w:type="dxa"/>
              <w:bottom w:w="60" w:type="dxa"/>
              <w:right w:w="100" w:type="dxa"/>
            </w:tcMar>
            <w:vAlign w:val="center"/>
          </w:tcPr>
          <w:p w14:paraId="2EE4B26E" w14:textId="77777777" w:rsidR="00E73300" w:rsidRDefault="00A3128C">
            <w:pPr>
              <w:jc w:val="right"/>
            </w:pPr>
            <w:r>
              <w:rPr>
                <w:sz w:val="20"/>
                <w:szCs w:val="20"/>
              </w:rPr>
              <w:t>$10,00</w:t>
            </w:r>
          </w:p>
        </w:tc>
        <w:tc>
          <w:tcPr>
            <w:tcW w:w="2267" w:type="dxa"/>
            <w:tcMar>
              <w:top w:w="60" w:type="dxa"/>
              <w:left w:w="100" w:type="dxa"/>
              <w:bottom w:w="60" w:type="dxa"/>
              <w:right w:w="100" w:type="dxa"/>
            </w:tcMar>
            <w:vAlign w:val="center"/>
          </w:tcPr>
          <w:p w14:paraId="2EE4B26F" w14:textId="77777777" w:rsidR="00E73300" w:rsidRDefault="00A3128C">
            <w:pPr>
              <w:jc w:val="right"/>
            </w:pPr>
            <w:r>
              <w:rPr>
                <w:sz w:val="20"/>
                <w:szCs w:val="20"/>
              </w:rPr>
              <w:t>47,1%</w:t>
            </w:r>
          </w:p>
        </w:tc>
      </w:tr>
      <w:tr w:rsidR="00E73300" w14:paraId="2EE4B275"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2EE4B271" w14:textId="77777777" w:rsidR="00E73300" w:rsidRDefault="00A3128C">
            <w:r>
              <w:rPr>
                <w:sz w:val="20"/>
                <w:szCs w:val="20"/>
              </w:rPr>
              <w:t>Mediana por país</w:t>
            </w:r>
          </w:p>
        </w:tc>
        <w:tc>
          <w:tcPr>
            <w:tcW w:w="2267" w:type="dxa"/>
            <w:tcMar>
              <w:top w:w="60" w:type="dxa"/>
              <w:left w:w="100" w:type="dxa"/>
              <w:bottom w:w="60" w:type="dxa"/>
              <w:right w:w="100" w:type="dxa"/>
            </w:tcMar>
            <w:vAlign w:val="center"/>
          </w:tcPr>
          <w:p w14:paraId="2EE4B272" w14:textId="77777777" w:rsidR="00E73300" w:rsidRDefault="00A3128C">
            <w:pPr>
              <w:jc w:val="right"/>
            </w:pPr>
            <w:r>
              <w:rPr>
                <w:sz w:val="20"/>
                <w:szCs w:val="20"/>
              </w:rPr>
              <w:t>$21,66</w:t>
            </w:r>
          </w:p>
        </w:tc>
        <w:tc>
          <w:tcPr>
            <w:tcW w:w="2267" w:type="dxa"/>
            <w:tcMar>
              <w:top w:w="60" w:type="dxa"/>
              <w:left w:w="100" w:type="dxa"/>
              <w:bottom w:w="60" w:type="dxa"/>
              <w:right w:w="100" w:type="dxa"/>
            </w:tcMar>
            <w:vAlign w:val="center"/>
          </w:tcPr>
          <w:p w14:paraId="2EE4B273" w14:textId="77777777" w:rsidR="00E73300" w:rsidRDefault="00A3128C">
            <w:pPr>
              <w:jc w:val="right"/>
            </w:pPr>
            <w:r>
              <w:rPr>
                <w:sz w:val="20"/>
                <w:szCs w:val="20"/>
              </w:rPr>
              <w:t>$10,00</w:t>
            </w:r>
          </w:p>
        </w:tc>
        <w:tc>
          <w:tcPr>
            <w:tcW w:w="2267" w:type="dxa"/>
            <w:tcMar>
              <w:top w:w="60" w:type="dxa"/>
              <w:left w:w="100" w:type="dxa"/>
              <w:bottom w:w="60" w:type="dxa"/>
              <w:right w:w="100" w:type="dxa"/>
            </w:tcMar>
            <w:vAlign w:val="center"/>
          </w:tcPr>
          <w:p w14:paraId="2EE4B274" w14:textId="77777777" w:rsidR="00E73300" w:rsidRDefault="00A3128C">
            <w:pPr>
              <w:jc w:val="right"/>
            </w:pPr>
            <w:r>
              <w:rPr>
                <w:sz w:val="20"/>
                <w:szCs w:val="20"/>
              </w:rPr>
              <w:t>44,4%</w:t>
            </w:r>
          </w:p>
        </w:tc>
      </w:tr>
      <w:tr w:rsidR="00E73300" w14:paraId="2EE4B27A"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2EE4B276" w14:textId="77777777" w:rsidR="00E73300" w:rsidRDefault="00A3128C">
            <w:r>
              <w:rPr>
                <w:sz w:val="20"/>
                <w:szCs w:val="20"/>
              </w:rPr>
              <w:t>Mediana por variedad</w:t>
            </w:r>
          </w:p>
        </w:tc>
        <w:tc>
          <w:tcPr>
            <w:tcW w:w="2267" w:type="dxa"/>
            <w:tcMar>
              <w:top w:w="60" w:type="dxa"/>
              <w:left w:w="100" w:type="dxa"/>
              <w:bottom w:w="60" w:type="dxa"/>
              <w:right w:w="100" w:type="dxa"/>
            </w:tcMar>
            <w:vAlign w:val="center"/>
          </w:tcPr>
          <w:p w14:paraId="2EE4B277" w14:textId="77777777" w:rsidR="00E73300" w:rsidRDefault="00A3128C">
            <w:pPr>
              <w:jc w:val="right"/>
            </w:pPr>
            <w:r>
              <w:rPr>
                <w:sz w:val="20"/>
                <w:szCs w:val="20"/>
              </w:rPr>
              <w:t>$19,57</w:t>
            </w:r>
          </w:p>
        </w:tc>
        <w:tc>
          <w:tcPr>
            <w:tcW w:w="2267" w:type="dxa"/>
            <w:tcMar>
              <w:top w:w="60" w:type="dxa"/>
              <w:left w:w="100" w:type="dxa"/>
              <w:bottom w:w="60" w:type="dxa"/>
              <w:right w:w="100" w:type="dxa"/>
            </w:tcMar>
            <w:vAlign w:val="center"/>
          </w:tcPr>
          <w:p w14:paraId="2EE4B278" w14:textId="77777777" w:rsidR="00E73300" w:rsidRDefault="00A3128C">
            <w:pPr>
              <w:jc w:val="right"/>
            </w:pPr>
            <w:r>
              <w:rPr>
                <w:sz w:val="20"/>
                <w:szCs w:val="20"/>
              </w:rPr>
              <w:t>$9,00</w:t>
            </w:r>
          </w:p>
        </w:tc>
        <w:tc>
          <w:tcPr>
            <w:tcW w:w="2267" w:type="dxa"/>
            <w:tcMar>
              <w:top w:w="60" w:type="dxa"/>
              <w:left w:w="100" w:type="dxa"/>
              <w:bottom w:w="60" w:type="dxa"/>
              <w:right w:w="100" w:type="dxa"/>
            </w:tcMar>
            <w:vAlign w:val="center"/>
          </w:tcPr>
          <w:p w14:paraId="2EE4B279" w14:textId="77777777" w:rsidR="00E73300" w:rsidRDefault="00A3128C">
            <w:pPr>
              <w:jc w:val="right"/>
            </w:pPr>
            <w:r>
              <w:rPr>
                <w:sz w:val="20"/>
                <w:szCs w:val="20"/>
              </w:rPr>
              <w:t>35,9%</w:t>
            </w:r>
          </w:p>
        </w:tc>
      </w:tr>
      <w:tr w:rsidR="00E73300" w14:paraId="2EE4B27F"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2EE4B27B" w14:textId="77777777" w:rsidR="00E73300" w:rsidRDefault="00A3128C">
            <w:r>
              <w:rPr>
                <w:sz w:val="20"/>
                <w:szCs w:val="20"/>
              </w:rPr>
              <w:lastRenderedPageBreak/>
              <w:t>Mediana por país y variedad</w:t>
            </w:r>
          </w:p>
        </w:tc>
        <w:tc>
          <w:tcPr>
            <w:tcW w:w="2267" w:type="dxa"/>
            <w:tcMar>
              <w:top w:w="60" w:type="dxa"/>
              <w:left w:w="100" w:type="dxa"/>
              <w:bottom w:w="60" w:type="dxa"/>
              <w:right w:w="100" w:type="dxa"/>
            </w:tcMar>
            <w:vAlign w:val="center"/>
          </w:tcPr>
          <w:p w14:paraId="2EE4B27C" w14:textId="77777777" w:rsidR="00E73300" w:rsidRDefault="00A3128C">
            <w:pPr>
              <w:jc w:val="right"/>
            </w:pPr>
            <w:r>
              <w:rPr>
                <w:sz w:val="20"/>
                <w:szCs w:val="20"/>
              </w:rPr>
              <w:t>$18,73</w:t>
            </w:r>
          </w:p>
        </w:tc>
        <w:tc>
          <w:tcPr>
            <w:tcW w:w="2267" w:type="dxa"/>
            <w:tcMar>
              <w:top w:w="60" w:type="dxa"/>
              <w:left w:w="100" w:type="dxa"/>
              <w:bottom w:w="60" w:type="dxa"/>
              <w:right w:w="100" w:type="dxa"/>
            </w:tcMar>
            <w:vAlign w:val="center"/>
          </w:tcPr>
          <w:p w14:paraId="2EE4B27D" w14:textId="77777777" w:rsidR="00E73300" w:rsidRDefault="00A3128C">
            <w:pPr>
              <w:jc w:val="right"/>
            </w:pPr>
            <w:r>
              <w:rPr>
                <w:sz w:val="20"/>
                <w:szCs w:val="20"/>
              </w:rPr>
              <w:t>$8,00</w:t>
            </w:r>
          </w:p>
        </w:tc>
        <w:tc>
          <w:tcPr>
            <w:tcW w:w="2267" w:type="dxa"/>
            <w:tcMar>
              <w:top w:w="60" w:type="dxa"/>
              <w:left w:w="100" w:type="dxa"/>
              <w:bottom w:w="60" w:type="dxa"/>
              <w:right w:w="100" w:type="dxa"/>
            </w:tcMar>
            <w:vAlign w:val="center"/>
          </w:tcPr>
          <w:p w14:paraId="2EE4B27E" w14:textId="77777777" w:rsidR="00E73300" w:rsidRDefault="00A3128C">
            <w:pPr>
              <w:jc w:val="right"/>
            </w:pPr>
            <w:r>
              <w:rPr>
                <w:sz w:val="20"/>
                <w:szCs w:val="20"/>
              </w:rPr>
              <w:t>33,3%</w:t>
            </w:r>
          </w:p>
        </w:tc>
      </w:tr>
      <w:tr w:rsidR="00E73300" w14:paraId="2EE4B284"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2EE4B280" w14:textId="77777777" w:rsidR="00E73300" w:rsidRDefault="00A3128C">
            <w:r>
              <w:rPr>
                <w:sz w:val="20"/>
                <w:szCs w:val="20"/>
              </w:rPr>
              <w:t>Mediana por país, variedad y puntaje</w:t>
            </w:r>
          </w:p>
        </w:tc>
        <w:tc>
          <w:tcPr>
            <w:tcW w:w="2267" w:type="dxa"/>
            <w:tcMar>
              <w:top w:w="60" w:type="dxa"/>
              <w:left w:w="100" w:type="dxa"/>
              <w:bottom w:w="60" w:type="dxa"/>
              <w:right w:w="100" w:type="dxa"/>
            </w:tcMar>
            <w:vAlign w:val="center"/>
          </w:tcPr>
          <w:p w14:paraId="2EE4B281" w14:textId="77777777" w:rsidR="00E73300" w:rsidRDefault="00A3128C">
            <w:pPr>
              <w:jc w:val="right"/>
            </w:pPr>
            <w:r>
              <w:rPr>
                <w:sz w:val="20"/>
                <w:szCs w:val="20"/>
              </w:rPr>
              <w:t>$14,92</w:t>
            </w:r>
          </w:p>
        </w:tc>
        <w:tc>
          <w:tcPr>
            <w:tcW w:w="2267" w:type="dxa"/>
            <w:tcMar>
              <w:top w:w="60" w:type="dxa"/>
              <w:left w:w="100" w:type="dxa"/>
              <w:bottom w:w="60" w:type="dxa"/>
              <w:right w:w="100" w:type="dxa"/>
            </w:tcMar>
            <w:vAlign w:val="center"/>
          </w:tcPr>
          <w:p w14:paraId="2EE4B282" w14:textId="77777777" w:rsidR="00E73300" w:rsidRDefault="00A3128C">
            <w:pPr>
              <w:jc w:val="right"/>
            </w:pPr>
            <w:r>
              <w:rPr>
                <w:sz w:val="20"/>
                <w:szCs w:val="20"/>
              </w:rPr>
              <w:t>$6,00</w:t>
            </w:r>
          </w:p>
        </w:tc>
        <w:tc>
          <w:tcPr>
            <w:tcW w:w="2267" w:type="dxa"/>
            <w:tcMar>
              <w:top w:w="60" w:type="dxa"/>
              <w:left w:w="100" w:type="dxa"/>
              <w:bottom w:w="60" w:type="dxa"/>
              <w:right w:w="100" w:type="dxa"/>
            </w:tcMar>
            <w:vAlign w:val="center"/>
          </w:tcPr>
          <w:p w14:paraId="2EE4B283" w14:textId="77777777" w:rsidR="00E73300" w:rsidRDefault="00A3128C">
            <w:pPr>
              <w:jc w:val="right"/>
            </w:pPr>
            <w:r>
              <w:rPr>
                <w:sz w:val="20"/>
                <w:szCs w:val="20"/>
              </w:rPr>
              <w:t>25,0%</w:t>
            </w:r>
          </w:p>
        </w:tc>
      </w:tr>
    </w:tbl>
    <w:p w14:paraId="2EE4B285" w14:textId="77777777" w:rsidR="00E73300" w:rsidRDefault="00E73300">
      <w:pPr>
        <w:spacing w:after="240"/>
      </w:pPr>
    </w:p>
    <w:p w14:paraId="2EE4B286" w14:textId="77777777" w:rsidR="00E73300" w:rsidRDefault="00A3128C">
      <w:pPr>
        <w:ind w:firstLine="720"/>
        <w:jc w:val="both"/>
      </w:pPr>
      <w:r>
        <w:t>La estrategia adoptada reduce el error absoluto medio de $21,96 a $14,92 y el error porcentual mediano del 47% al 25% respecto de la mediana global. La incorporación del puntaje al agrupador es la que más contribuye, resultado coherente con la relación exponencial entre precio y puntaje documentada en la sección 7.1. Se emplean medianas y no medias porque, dentro de cada grupo, la media continúa inflada por unas pocas botellas muy costosas. Una cascada de respaldos, del agrupamiento más específico al más ge</w:t>
      </w:r>
      <w:r>
        <w:t>neral, garantiza que no subsistan valores nulos.</w:t>
      </w:r>
    </w:p>
    <w:p w14:paraId="2EE4B287" w14:textId="77777777" w:rsidR="00E73300" w:rsidRDefault="00A3128C">
      <w:pPr>
        <w:pStyle w:val="Heading2"/>
      </w:pPr>
      <w:bookmarkStart w:id="18" w:name="_Toc240984893"/>
      <w:r>
        <w:t>5.5. Decisiones adoptadas y prevención de circularidad</w:t>
      </w:r>
      <w:bookmarkEnd w:id="18"/>
    </w:p>
    <w:p w14:paraId="2EE4B288" w14:textId="77777777" w:rsidR="00E73300" w:rsidRDefault="00A3128C">
      <w:pPr>
        <w:ind w:firstLine="720"/>
        <w:jc w:val="both"/>
      </w:pPr>
      <w:r>
        <w:t>No se eliminó ninguna fila. Las 63 reseñas sin país y la única sin variedad conservan puntaje, precio y descripción válidos: descartarlas habría supuesto perder esa información sin contrapartida, mientras que etiquetarlas como «Desconocido» deja la ignorancia declarada y visible en cualquier tabla de frecuencias.</w:t>
      </w:r>
    </w:p>
    <w:p w14:paraId="2EE4B289" w14:textId="77777777" w:rsidR="00E73300" w:rsidRDefault="00A3128C">
      <w:pPr>
        <w:ind w:firstLine="720"/>
        <w:jc w:val="both"/>
      </w:pPr>
      <w:r>
        <w:t xml:space="preserve">Cada precio imputado quedó señalado mediante una columna auxiliar. La precaución es necesaria porque la imputación emplea </w:t>
      </w:r>
      <w:r>
        <w:rPr>
          <w:i/>
          <w:iCs/>
        </w:rPr>
        <w:t>points</w:t>
      </w:r>
      <w:r>
        <w:t xml:space="preserve"> como variable de agrupamiento: analizar la relación entre precio y puntaje sobre valores generados a partir del puntaje reforzaría artificialmente esa misma relación. Se trata de un caso de </w:t>
      </w:r>
      <w:r>
        <w:rPr>
          <w:b/>
          <w:bCs/>
        </w:rPr>
        <w:t>circularidad</w:t>
      </w:r>
      <w:r>
        <w:t>, y la columna auxiliar permite excluir los valores sintéticos de todo análisis donde comprometan la conclusión. Los análisis de las secciones 6 y 7.1 se realizaron exclusivamente sobre precios observados.</w:t>
      </w:r>
    </w:p>
    <w:p w14:paraId="2EE4B28A" w14:textId="77777777" w:rsidR="00E73300" w:rsidRDefault="00A3128C">
      <w:pPr>
        <w:pStyle w:val="Heading1"/>
      </w:pPr>
      <w:bookmarkStart w:id="19" w:name="_Toc240984894"/>
      <w:r>
        <w:t>6. Análisis de datos atípicos</w:t>
      </w:r>
      <w:bookmarkEnd w:id="19"/>
    </w:p>
    <w:p w14:paraId="2EE4B28B" w14:textId="77777777" w:rsidR="00E73300" w:rsidRDefault="00A3128C">
      <w:pPr>
        <w:pStyle w:val="Heading2"/>
      </w:pPr>
      <w:bookmarkStart w:id="20" w:name="_Toc240984895"/>
      <w:r>
        <w:t>6.1. Comparación de criterios de detección</w:t>
      </w:r>
      <w:bookmarkEnd w:id="20"/>
    </w:p>
    <w:p w14:paraId="2EE4B28C" w14:textId="77777777" w:rsidR="00E73300" w:rsidRDefault="00A3128C">
      <w:pPr>
        <w:keepNext/>
        <w:spacing w:before="240" w:after="80"/>
        <w:jc w:val="center"/>
      </w:pPr>
      <w:r>
        <w:rPr>
          <w:b/>
          <w:bCs/>
          <w:sz w:val="20"/>
          <w:szCs w:val="20"/>
        </w:rPr>
        <w:lastRenderedPageBreak/>
        <w:t xml:space="preserve">Tabla 6. </w:t>
      </w:r>
      <w:r>
        <w:rPr>
          <w:sz w:val="20"/>
          <w:szCs w:val="20"/>
        </w:rPr>
        <w:t>Proporción de observaciones señaladas como atípicas según el criterio empleado.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3"/>
        <w:gridCol w:w="3023"/>
      </w:tblGrid>
      <w:tr w:rsidR="00E73300" w14:paraId="2EE4B290" w14:textId="77777777">
        <w:tblPrEx>
          <w:tblCellMar>
            <w:top w:w="0" w:type="dxa"/>
            <w:bottom w:w="0" w:type="dxa"/>
          </w:tblCellMar>
        </w:tblPrEx>
        <w:trPr>
          <w:cantSplit/>
          <w:tblHeader/>
        </w:trPr>
        <w:tc>
          <w:tcPr>
            <w:tcW w:w="3024" w:type="dxa"/>
            <w:shd w:val="clear" w:color="auto" w:fill="EDE3E6"/>
            <w:tcMar>
              <w:top w:w="60" w:type="dxa"/>
              <w:left w:w="100" w:type="dxa"/>
              <w:bottom w:w="60" w:type="dxa"/>
              <w:right w:w="100" w:type="dxa"/>
            </w:tcMar>
            <w:vAlign w:val="center"/>
          </w:tcPr>
          <w:p w14:paraId="2EE4B28D" w14:textId="77777777" w:rsidR="00E73300" w:rsidRDefault="00A3128C">
            <w:r>
              <w:rPr>
                <w:b/>
                <w:bCs/>
                <w:sz w:val="20"/>
                <w:szCs w:val="20"/>
              </w:rPr>
              <w:t>Criterio</w:t>
            </w:r>
          </w:p>
        </w:tc>
        <w:tc>
          <w:tcPr>
            <w:tcW w:w="3023" w:type="dxa"/>
            <w:shd w:val="clear" w:color="auto" w:fill="EDE3E6"/>
            <w:tcMar>
              <w:top w:w="60" w:type="dxa"/>
              <w:left w:w="100" w:type="dxa"/>
              <w:bottom w:w="60" w:type="dxa"/>
              <w:right w:w="100" w:type="dxa"/>
            </w:tcMar>
            <w:vAlign w:val="center"/>
          </w:tcPr>
          <w:p w14:paraId="2EE4B28E" w14:textId="77777777" w:rsidR="00E73300" w:rsidRDefault="00A3128C">
            <w:pPr>
              <w:jc w:val="right"/>
            </w:pPr>
            <w:r>
              <w:rPr>
                <w:b/>
                <w:bCs/>
                <w:sz w:val="20"/>
                <w:szCs w:val="20"/>
              </w:rPr>
              <w:t>% en price</w:t>
            </w:r>
          </w:p>
        </w:tc>
        <w:tc>
          <w:tcPr>
            <w:tcW w:w="3023" w:type="dxa"/>
            <w:shd w:val="clear" w:color="auto" w:fill="EDE3E6"/>
            <w:tcMar>
              <w:top w:w="60" w:type="dxa"/>
              <w:left w:w="100" w:type="dxa"/>
              <w:bottom w:w="60" w:type="dxa"/>
              <w:right w:w="100" w:type="dxa"/>
            </w:tcMar>
            <w:vAlign w:val="center"/>
          </w:tcPr>
          <w:p w14:paraId="2EE4B28F" w14:textId="77777777" w:rsidR="00E73300" w:rsidRDefault="00A3128C">
            <w:pPr>
              <w:jc w:val="right"/>
            </w:pPr>
            <w:r>
              <w:rPr>
                <w:b/>
                <w:bCs/>
                <w:sz w:val="20"/>
                <w:szCs w:val="20"/>
              </w:rPr>
              <w:t>% en points</w:t>
            </w:r>
          </w:p>
        </w:tc>
      </w:tr>
      <w:tr w:rsidR="00E73300" w14:paraId="2EE4B294"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91" w14:textId="77777777" w:rsidR="00E73300" w:rsidRDefault="00A3128C">
            <w:r>
              <w:rPr>
                <w:sz w:val="20"/>
                <w:szCs w:val="20"/>
              </w:rPr>
              <w:t>Rango intercuartílico clásico</w:t>
            </w:r>
          </w:p>
        </w:tc>
        <w:tc>
          <w:tcPr>
            <w:tcW w:w="3023" w:type="dxa"/>
            <w:tcMar>
              <w:top w:w="60" w:type="dxa"/>
              <w:left w:w="100" w:type="dxa"/>
              <w:bottom w:w="60" w:type="dxa"/>
              <w:right w:w="100" w:type="dxa"/>
            </w:tcMar>
            <w:vAlign w:val="center"/>
          </w:tcPr>
          <w:p w14:paraId="2EE4B292" w14:textId="77777777" w:rsidR="00E73300" w:rsidRDefault="00A3128C">
            <w:pPr>
              <w:jc w:val="right"/>
            </w:pPr>
            <w:r>
              <w:rPr>
                <w:sz w:val="20"/>
                <w:szCs w:val="20"/>
              </w:rPr>
              <w:t>6,16</w:t>
            </w:r>
          </w:p>
        </w:tc>
        <w:tc>
          <w:tcPr>
            <w:tcW w:w="3023" w:type="dxa"/>
            <w:tcMar>
              <w:top w:w="60" w:type="dxa"/>
              <w:left w:w="100" w:type="dxa"/>
              <w:bottom w:w="60" w:type="dxa"/>
              <w:right w:w="100" w:type="dxa"/>
            </w:tcMar>
            <w:vAlign w:val="center"/>
          </w:tcPr>
          <w:p w14:paraId="2EE4B293" w14:textId="77777777" w:rsidR="00E73300" w:rsidRDefault="00A3128C">
            <w:pPr>
              <w:jc w:val="right"/>
            </w:pPr>
            <w:r>
              <w:rPr>
                <w:sz w:val="20"/>
                <w:szCs w:val="20"/>
              </w:rPr>
              <w:t>0,04</w:t>
            </w:r>
          </w:p>
        </w:tc>
      </w:tr>
      <w:tr w:rsidR="00E73300" w14:paraId="2EE4B298"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95" w14:textId="77777777" w:rsidR="00E73300" w:rsidRDefault="00A3128C">
            <w:r>
              <w:rPr>
                <w:sz w:val="20"/>
                <w:szCs w:val="20"/>
              </w:rPr>
              <w:t>Puntuación z, |z| &gt; 3</w:t>
            </w:r>
          </w:p>
        </w:tc>
        <w:tc>
          <w:tcPr>
            <w:tcW w:w="3023" w:type="dxa"/>
            <w:tcMar>
              <w:top w:w="60" w:type="dxa"/>
              <w:left w:w="100" w:type="dxa"/>
              <w:bottom w:w="60" w:type="dxa"/>
              <w:right w:w="100" w:type="dxa"/>
            </w:tcMar>
            <w:vAlign w:val="center"/>
          </w:tcPr>
          <w:p w14:paraId="2EE4B296" w14:textId="77777777" w:rsidR="00E73300" w:rsidRDefault="00A3128C">
            <w:pPr>
              <w:jc w:val="right"/>
            </w:pPr>
            <w:r>
              <w:rPr>
                <w:sz w:val="20"/>
                <w:szCs w:val="20"/>
              </w:rPr>
              <w:t>0,97</w:t>
            </w:r>
          </w:p>
        </w:tc>
        <w:tc>
          <w:tcPr>
            <w:tcW w:w="3023" w:type="dxa"/>
            <w:tcMar>
              <w:top w:w="60" w:type="dxa"/>
              <w:left w:w="100" w:type="dxa"/>
              <w:bottom w:w="60" w:type="dxa"/>
              <w:right w:w="100" w:type="dxa"/>
            </w:tcMar>
            <w:vAlign w:val="center"/>
          </w:tcPr>
          <w:p w14:paraId="2EE4B297" w14:textId="77777777" w:rsidR="00E73300" w:rsidRDefault="00A3128C">
            <w:pPr>
              <w:jc w:val="right"/>
            </w:pPr>
            <w:r>
              <w:rPr>
                <w:sz w:val="20"/>
                <w:szCs w:val="20"/>
              </w:rPr>
              <w:t>0,10</w:t>
            </w:r>
          </w:p>
        </w:tc>
      </w:tr>
      <w:tr w:rsidR="00E73300" w14:paraId="2EE4B29C"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99" w14:textId="77777777" w:rsidR="00E73300" w:rsidRDefault="00A3128C">
            <w:r>
              <w:rPr>
                <w:sz w:val="20"/>
                <w:szCs w:val="20"/>
              </w:rPr>
              <w:t>z modificado sobre la MAD, |z| &gt; 3,5</w:t>
            </w:r>
          </w:p>
        </w:tc>
        <w:tc>
          <w:tcPr>
            <w:tcW w:w="3023" w:type="dxa"/>
            <w:tcMar>
              <w:top w:w="60" w:type="dxa"/>
              <w:left w:w="100" w:type="dxa"/>
              <w:bottom w:w="60" w:type="dxa"/>
              <w:right w:w="100" w:type="dxa"/>
            </w:tcMar>
            <w:vAlign w:val="center"/>
          </w:tcPr>
          <w:p w14:paraId="2EE4B29A" w14:textId="77777777" w:rsidR="00E73300" w:rsidRDefault="00A3128C">
            <w:pPr>
              <w:jc w:val="right"/>
            </w:pPr>
            <w:r>
              <w:rPr>
                <w:sz w:val="20"/>
                <w:szCs w:val="20"/>
              </w:rPr>
              <w:t>6,41</w:t>
            </w:r>
          </w:p>
        </w:tc>
        <w:tc>
          <w:tcPr>
            <w:tcW w:w="3023" w:type="dxa"/>
            <w:tcMar>
              <w:top w:w="60" w:type="dxa"/>
              <w:left w:w="100" w:type="dxa"/>
              <w:bottom w:w="60" w:type="dxa"/>
              <w:right w:w="100" w:type="dxa"/>
            </w:tcMar>
            <w:vAlign w:val="center"/>
          </w:tcPr>
          <w:p w14:paraId="2EE4B29B" w14:textId="77777777" w:rsidR="00E73300" w:rsidRDefault="00A3128C">
            <w:pPr>
              <w:jc w:val="right"/>
            </w:pPr>
            <w:r>
              <w:rPr>
                <w:sz w:val="20"/>
                <w:szCs w:val="20"/>
              </w:rPr>
              <w:t>0,04</w:t>
            </w:r>
          </w:p>
        </w:tc>
      </w:tr>
      <w:tr w:rsidR="00E73300" w14:paraId="2EE4B2A0"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2EE4B29D" w14:textId="77777777" w:rsidR="00E73300" w:rsidRDefault="00A3128C">
            <w:r>
              <w:rPr>
                <w:sz w:val="20"/>
                <w:szCs w:val="20"/>
              </w:rPr>
              <w:t>Rango intercuartílico sobre log(x)</w:t>
            </w:r>
          </w:p>
        </w:tc>
        <w:tc>
          <w:tcPr>
            <w:tcW w:w="3023" w:type="dxa"/>
            <w:tcMar>
              <w:top w:w="60" w:type="dxa"/>
              <w:left w:w="100" w:type="dxa"/>
              <w:bottom w:w="60" w:type="dxa"/>
              <w:right w:w="100" w:type="dxa"/>
            </w:tcMar>
            <w:vAlign w:val="center"/>
          </w:tcPr>
          <w:p w14:paraId="2EE4B29E" w14:textId="77777777" w:rsidR="00E73300" w:rsidRDefault="00A3128C">
            <w:pPr>
              <w:jc w:val="right"/>
            </w:pPr>
            <w:r>
              <w:rPr>
                <w:sz w:val="20"/>
                <w:szCs w:val="20"/>
              </w:rPr>
              <w:t>0,97</w:t>
            </w:r>
          </w:p>
        </w:tc>
        <w:tc>
          <w:tcPr>
            <w:tcW w:w="3023" w:type="dxa"/>
            <w:tcMar>
              <w:top w:w="60" w:type="dxa"/>
              <w:left w:w="100" w:type="dxa"/>
              <w:bottom w:w="60" w:type="dxa"/>
              <w:right w:w="100" w:type="dxa"/>
            </w:tcMar>
            <w:vAlign w:val="center"/>
          </w:tcPr>
          <w:p w14:paraId="2EE4B29F" w14:textId="77777777" w:rsidR="00E73300" w:rsidRDefault="00A3128C">
            <w:pPr>
              <w:jc w:val="right"/>
            </w:pPr>
            <w:r>
              <w:rPr>
                <w:sz w:val="20"/>
                <w:szCs w:val="20"/>
              </w:rPr>
              <w:t>0,02</w:t>
            </w:r>
          </w:p>
        </w:tc>
      </w:tr>
    </w:tbl>
    <w:p w14:paraId="2EE4B2A1" w14:textId="77777777" w:rsidR="00E73300" w:rsidRDefault="00E73300">
      <w:pPr>
        <w:spacing w:after="240"/>
      </w:pPr>
    </w:p>
    <w:p w14:paraId="2EE4B2A2" w14:textId="77777777" w:rsidR="00E73300" w:rsidRDefault="00A3128C">
      <w:pPr>
        <w:ind w:firstLine="720"/>
        <w:jc w:val="both"/>
      </w:pPr>
      <w:r>
        <w:t>Los criterios discrepan por un factor de seis sobre la misma variable, y la discrepancia constituye en sí misma un hallazgo. El rango intercuartílico clásico presupone una distribución aproximadamente simétrica; aplicado a una variable con asimetría 18 termina señalando el 6,16% de las observaciones, que no son casos excepcionales sino la cola natural de la distribución.</w:t>
      </w:r>
    </w:p>
    <w:p w14:paraId="2EE4B2A3" w14:textId="77777777" w:rsidR="00E73300" w:rsidRDefault="00A3128C">
      <w:pPr>
        <w:ind w:firstLine="720"/>
        <w:jc w:val="both"/>
      </w:pPr>
      <w:r>
        <w:t>La puntuación z incurre en un defecto distinto: emplea media y desvío estándar, que son precisamente los estadísticos que los valores extremos distorsionan, de modo que el criterio resulta circular y sub-detecta. El z modificado corrige ese problema sustituyéndolos por mediana y desviación absoluta mediana, robustas ante valores extremos. El rango intercuartílico aplicado sobre el logaritmo es el más defendible para esta variable, ya que aplica el criterio sobre la escala en que efectivamente es simétrica.</w:t>
      </w:r>
    </w:p>
    <w:p w14:paraId="2EE4B2A4" w14:textId="77777777" w:rsidR="00E73300" w:rsidRDefault="00A3128C">
      <w:pPr>
        <w:keepNext/>
        <w:spacing w:before="240" w:after="80"/>
        <w:jc w:val="center"/>
      </w:pPr>
      <w:r>
        <w:rPr>
          <w:noProof/>
        </w:rPr>
        <w:drawing>
          <wp:inline distT="0" distB="0" distL="0" distR="0" wp14:anchorId="2EE4B36E" wp14:editId="2EE4B36F">
            <wp:extent cx="5715000" cy="1952625"/>
            <wp:effectExtent l="0" t="0" r="0" b="0"/>
            <wp:docPr id="511843114" name="Picture 511843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952625"/>
                    </a:xfrm>
                    <a:prstGeom prst="rect">
                      <a:avLst/>
                    </a:prstGeom>
                  </pic:spPr>
                </pic:pic>
              </a:graphicData>
            </a:graphic>
          </wp:inline>
        </w:drawing>
      </w:r>
    </w:p>
    <w:p w14:paraId="2EE4B2A5" w14:textId="77777777" w:rsidR="00E73300" w:rsidRDefault="00A3128C">
      <w:pPr>
        <w:spacing w:after="240"/>
        <w:jc w:val="center"/>
      </w:pPr>
      <w:r>
        <w:rPr>
          <w:b/>
          <w:bCs/>
          <w:sz w:val="20"/>
          <w:szCs w:val="20"/>
        </w:rPr>
        <w:t xml:space="preserve">Figura 5. </w:t>
      </w:r>
      <w:r>
        <w:rPr>
          <w:sz w:val="20"/>
          <w:szCs w:val="20"/>
        </w:rPr>
        <w:t>Umbrales de los dos criterios más discrepantes y distribución del cociente contra el grupo de pares.</w:t>
      </w:r>
    </w:p>
    <w:p w14:paraId="2EE4B2A6" w14:textId="77777777" w:rsidR="00E73300" w:rsidRDefault="00A3128C">
      <w:pPr>
        <w:pStyle w:val="Heading2"/>
      </w:pPr>
      <w:bookmarkStart w:id="21" w:name="_Toc240984896"/>
      <w:r>
        <w:t>6.2. Naturaleza y causa: la extremidad estadística no identifica errores</w:t>
      </w:r>
      <w:bookmarkEnd w:id="21"/>
    </w:p>
    <w:p w14:paraId="2EE4B2A7" w14:textId="77777777" w:rsidR="00E73300" w:rsidRDefault="00A3128C">
      <w:pPr>
        <w:ind w:firstLine="720"/>
        <w:jc w:val="both"/>
      </w:pPr>
      <w:r>
        <w:lastRenderedPageBreak/>
        <w:t>Los criterios anteriores responden a la pregunta «¿es un valor extremo?». La consigna requiere responder otra: «¿es un error?». Y esa distinción no se resuelve observando la distribución global.</w:t>
      </w:r>
    </w:p>
    <w:p w14:paraId="2EE4B2A8" w14:textId="77777777" w:rsidR="00E73300" w:rsidRDefault="00A3128C">
      <w:pPr>
        <w:ind w:firstLine="720"/>
        <w:jc w:val="both"/>
      </w:pPr>
      <w:r>
        <w:t>Château Pétrus a 2.500 dólares y Château Margaux a 1.900 son valores extremos y correctos: esos vinos se comercializan efectivamente a esos precios. Un Médoc corriente a 3.300 dólares es igual de extremo y no puede serlo. Ambos superan cualquier umbral estadístico, pero exigen tratamientos opuestos.</w:t>
      </w:r>
    </w:p>
    <w:p w14:paraId="2EE4B2A9" w14:textId="77777777" w:rsidR="00E73300" w:rsidRDefault="00A3128C">
      <w:pPr>
        <w:ind w:firstLine="720"/>
        <w:jc w:val="both"/>
      </w:pPr>
      <w:r>
        <w:t xml:space="preserve">Para separarlos se comparó cada precio con la mediana de su </w:t>
      </w:r>
      <w:r>
        <w:rPr>
          <w:b/>
          <w:bCs/>
        </w:rPr>
        <w:t>grupo de pares</w:t>
      </w:r>
      <w:r>
        <w:t>, definido como el conjunto de vinos de la misma provincia y el mismo puntaje. Un vino costoso entre vinos costosos arroja un cociente próximo a 1; un vino costoso entre vinos económicos se delata. La distribución de cocientes concentra su masa alrededor de 1 y sitúa el percentil 99,9 en 7,3, de modo que un umbral de 10 queda fuera del alcance de la variación legítima de mercado.</w:t>
      </w:r>
    </w:p>
    <w:p w14:paraId="2EE4B2AA" w14:textId="77777777" w:rsidR="00E73300" w:rsidRDefault="00A3128C">
      <w:pPr>
        <w:keepNext/>
        <w:spacing w:before="240" w:after="80"/>
        <w:jc w:val="center"/>
      </w:pPr>
      <w:r>
        <w:rPr>
          <w:b/>
          <w:bCs/>
          <w:sz w:val="20"/>
          <w:szCs w:val="20"/>
        </w:rPr>
        <w:t xml:space="preserve">Tabla 7. </w:t>
      </w:r>
      <w:r>
        <w:rPr>
          <w:sz w:val="20"/>
          <w:szCs w:val="20"/>
        </w:rPr>
        <w:t>Precios más alejados de su grupo de pares.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3"/>
        <w:gridCol w:w="1088"/>
        <w:gridCol w:w="1360"/>
        <w:gridCol w:w="1269"/>
        <w:gridCol w:w="1360"/>
      </w:tblGrid>
      <w:tr w:rsidR="00E73300" w14:paraId="2EE4B2B0" w14:textId="77777777">
        <w:tblPrEx>
          <w:tblCellMar>
            <w:top w:w="0" w:type="dxa"/>
            <w:bottom w:w="0" w:type="dxa"/>
          </w:tblCellMar>
        </w:tblPrEx>
        <w:trPr>
          <w:cantSplit/>
          <w:tblHeader/>
        </w:trPr>
        <w:tc>
          <w:tcPr>
            <w:tcW w:w="3993" w:type="dxa"/>
            <w:shd w:val="clear" w:color="auto" w:fill="EDE3E6"/>
            <w:tcMar>
              <w:top w:w="60" w:type="dxa"/>
              <w:left w:w="100" w:type="dxa"/>
              <w:bottom w:w="60" w:type="dxa"/>
              <w:right w:w="100" w:type="dxa"/>
            </w:tcMar>
            <w:vAlign w:val="center"/>
          </w:tcPr>
          <w:p w14:paraId="2EE4B2AB" w14:textId="77777777" w:rsidR="00E73300" w:rsidRDefault="00A3128C">
            <w:r>
              <w:rPr>
                <w:b/>
                <w:bCs/>
                <w:sz w:val="20"/>
                <w:szCs w:val="20"/>
              </w:rPr>
              <w:t>Vino</w:t>
            </w:r>
          </w:p>
        </w:tc>
        <w:tc>
          <w:tcPr>
            <w:tcW w:w="1088" w:type="dxa"/>
            <w:shd w:val="clear" w:color="auto" w:fill="EDE3E6"/>
            <w:tcMar>
              <w:top w:w="60" w:type="dxa"/>
              <w:left w:w="100" w:type="dxa"/>
              <w:bottom w:w="60" w:type="dxa"/>
              <w:right w:w="100" w:type="dxa"/>
            </w:tcMar>
            <w:vAlign w:val="center"/>
          </w:tcPr>
          <w:p w14:paraId="2EE4B2AC" w14:textId="77777777" w:rsidR="00E73300" w:rsidRDefault="00A3128C">
            <w:pPr>
              <w:jc w:val="right"/>
            </w:pPr>
            <w:r>
              <w:rPr>
                <w:b/>
                <w:bCs/>
                <w:sz w:val="20"/>
                <w:szCs w:val="20"/>
              </w:rPr>
              <w:t>Puntos</w:t>
            </w:r>
          </w:p>
        </w:tc>
        <w:tc>
          <w:tcPr>
            <w:tcW w:w="1360" w:type="dxa"/>
            <w:shd w:val="clear" w:color="auto" w:fill="EDE3E6"/>
            <w:tcMar>
              <w:top w:w="60" w:type="dxa"/>
              <w:left w:w="100" w:type="dxa"/>
              <w:bottom w:w="60" w:type="dxa"/>
              <w:right w:w="100" w:type="dxa"/>
            </w:tcMar>
            <w:vAlign w:val="center"/>
          </w:tcPr>
          <w:p w14:paraId="2EE4B2AD" w14:textId="77777777" w:rsidR="00E73300" w:rsidRDefault="00A3128C">
            <w:pPr>
              <w:jc w:val="right"/>
            </w:pPr>
            <w:r>
              <w:rPr>
                <w:b/>
                <w:bCs/>
                <w:sz w:val="20"/>
                <w:szCs w:val="20"/>
              </w:rPr>
              <w:t>Precio</w:t>
            </w:r>
          </w:p>
        </w:tc>
        <w:tc>
          <w:tcPr>
            <w:tcW w:w="1269" w:type="dxa"/>
            <w:shd w:val="clear" w:color="auto" w:fill="EDE3E6"/>
            <w:tcMar>
              <w:top w:w="60" w:type="dxa"/>
              <w:left w:w="100" w:type="dxa"/>
              <w:bottom w:w="60" w:type="dxa"/>
              <w:right w:w="100" w:type="dxa"/>
            </w:tcMar>
            <w:vAlign w:val="center"/>
          </w:tcPr>
          <w:p w14:paraId="2EE4B2AE" w14:textId="77777777" w:rsidR="00E73300" w:rsidRDefault="00A3128C">
            <w:pPr>
              <w:jc w:val="right"/>
            </w:pPr>
            <w:r>
              <w:rPr>
                <w:b/>
                <w:bCs/>
                <w:sz w:val="20"/>
                <w:szCs w:val="20"/>
              </w:rPr>
              <w:t>Pares</w:t>
            </w:r>
          </w:p>
        </w:tc>
        <w:tc>
          <w:tcPr>
            <w:tcW w:w="1360" w:type="dxa"/>
            <w:shd w:val="clear" w:color="auto" w:fill="EDE3E6"/>
            <w:tcMar>
              <w:top w:w="60" w:type="dxa"/>
              <w:left w:w="100" w:type="dxa"/>
              <w:bottom w:w="60" w:type="dxa"/>
              <w:right w:w="100" w:type="dxa"/>
            </w:tcMar>
            <w:vAlign w:val="center"/>
          </w:tcPr>
          <w:p w14:paraId="2EE4B2AF" w14:textId="77777777" w:rsidR="00E73300" w:rsidRDefault="00A3128C">
            <w:pPr>
              <w:jc w:val="right"/>
            </w:pPr>
            <w:r>
              <w:rPr>
                <w:b/>
                <w:bCs/>
                <w:sz w:val="20"/>
                <w:szCs w:val="20"/>
              </w:rPr>
              <w:t>Cociente</w:t>
            </w:r>
          </w:p>
        </w:tc>
      </w:tr>
      <w:tr w:rsidR="00E73300" w14:paraId="2EE4B2B6"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2EE4B2B1" w14:textId="77777777" w:rsidR="00E73300" w:rsidRDefault="00A3128C">
            <w:r>
              <w:rPr>
                <w:sz w:val="20"/>
                <w:szCs w:val="20"/>
              </w:rPr>
              <w:t>Château les Ormes Sorbet 2013 Médoc</w:t>
            </w:r>
          </w:p>
        </w:tc>
        <w:tc>
          <w:tcPr>
            <w:tcW w:w="1088" w:type="dxa"/>
            <w:tcMar>
              <w:top w:w="60" w:type="dxa"/>
              <w:left w:w="100" w:type="dxa"/>
              <w:bottom w:w="60" w:type="dxa"/>
              <w:right w:w="100" w:type="dxa"/>
            </w:tcMar>
            <w:vAlign w:val="center"/>
          </w:tcPr>
          <w:p w14:paraId="2EE4B2B2" w14:textId="77777777" w:rsidR="00E73300" w:rsidRDefault="00A3128C">
            <w:pPr>
              <w:jc w:val="right"/>
            </w:pPr>
            <w:r>
              <w:rPr>
                <w:sz w:val="20"/>
                <w:szCs w:val="20"/>
              </w:rPr>
              <w:t>88</w:t>
            </w:r>
          </w:p>
        </w:tc>
        <w:tc>
          <w:tcPr>
            <w:tcW w:w="1360" w:type="dxa"/>
            <w:tcMar>
              <w:top w:w="60" w:type="dxa"/>
              <w:left w:w="100" w:type="dxa"/>
              <w:bottom w:w="60" w:type="dxa"/>
              <w:right w:w="100" w:type="dxa"/>
            </w:tcMar>
            <w:vAlign w:val="center"/>
          </w:tcPr>
          <w:p w14:paraId="2EE4B2B3" w14:textId="77777777" w:rsidR="00E73300" w:rsidRDefault="00A3128C">
            <w:pPr>
              <w:jc w:val="right"/>
            </w:pPr>
            <w:r>
              <w:rPr>
                <w:sz w:val="20"/>
                <w:szCs w:val="20"/>
              </w:rPr>
              <w:t>$3.300</w:t>
            </w:r>
          </w:p>
        </w:tc>
        <w:tc>
          <w:tcPr>
            <w:tcW w:w="1269" w:type="dxa"/>
            <w:tcMar>
              <w:top w:w="60" w:type="dxa"/>
              <w:left w:w="100" w:type="dxa"/>
              <w:bottom w:w="60" w:type="dxa"/>
              <w:right w:w="100" w:type="dxa"/>
            </w:tcMar>
            <w:vAlign w:val="center"/>
          </w:tcPr>
          <w:p w14:paraId="2EE4B2B4" w14:textId="77777777" w:rsidR="00E73300" w:rsidRDefault="00A3128C">
            <w:pPr>
              <w:jc w:val="right"/>
            </w:pPr>
            <w:r>
              <w:rPr>
                <w:sz w:val="20"/>
                <w:szCs w:val="20"/>
              </w:rPr>
              <w:t>$20</w:t>
            </w:r>
          </w:p>
        </w:tc>
        <w:tc>
          <w:tcPr>
            <w:tcW w:w="1360" w:type="dxa"/>
            <w:tcMar>
              <w:top w:w="60" w:type="dxa"/>
              <w:left w:w="100" w:type="dxa"/>
              <w:bottom w:w="60" w:type="dxa"/>
              <w:right w:w="100" w:type="dxa"/>
            </w:tcMar>
            <w:vAlign w:val="center"/>
          </w:tcPr>
          <w:p w14:paraId="2EE4B2B5" w14:textId="77777777" w:rsidR="00E73300" w:rsidRDefault="00A3128C">
            <w:pPr>
              <w:jc w:val="right"/>
            </w:pPr>
            <w:r>
              <w:rPr>
                <w:sz w:val="20"/>
                <w:szCs w:val="20"/>
              </w:rPr>
              <w:t>165,0</w:t>
            </w:r>
          </w:p>
        </w:tc>
      </w:tr>
      <w:tr w:rsidR="00E73300" w14:paraId="2EE4B2BC"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2EE4B2B7" w14:textId="77777777" w:rsidR="00E73300" w:rsidRDefault="00A3128C">
            <w:r>
              <w:rPr>
                <w:sz w:val="20"/>
                <w:szCs w:val="20"/>
              </w:rPr>
              <w:t>Blair 2013 Roger Rose Chardonnay</w:t>
            </w:r>
          </w:p>
        </w:tc>
        <w:tc>
          <w:tcPr>
            <w:tcW w:w="1088" w:type="dxa"/>
            <w:tcMar>
              <w:top w:w="60" w:type="dxa"/>
              <w:left w:w="100" w:type="dxa"/>
              <w:bottom w:w="60" w:type="dxa"/>
              <w:right w:w="100" w:type="dxa"/>
            </w:tcMar>
            <w:vAlign w:val="center"/>
          </w:tcPr>
          <w:p w14:paraId="2EE4B2B8" w14:textId="77777777" w:rsidR="00E73300" w:rsidRDefault="00A3128C">
            <w:pPr>
              <w:jc w:val="right"/>
            </w:pPr>
            <w:r>
              <w:rPr>
                <w:sz w:val="20"/>
                <w:szCs w:val="20"/>
              </w:rPr>
              <w:t>91</w:t>
            </w:r>
          </w:p>
        </w:tc>
        <w:tc>
          <w:tcPr>
            <w:tcW w:w="1360" w:type="dxa"/>
            <w:tcMar>
              <w:top w:w="60" w:type="dxa"/>
              <w:left w:w="100" w:type="dxa"/>
              <w:bottom w:w="60" w:type="dxa"/>
              <w:right w:w="100" w:type="dxa"/>
            </w:tcMar>
            <w:vAlign w:val="center"/>
          </w:tcPr>
          <w:p w14:paraId="2EE4B2B9" w14:textId="77777777" w:rsidR="00E73300" w:rsidRDefault="00A3128C">
            <w:pPr>
              <w:jc w:val="right"/>
            </w:pPr>
            <w:r>
              <w:rPr>
                <w:sz w:val="20"/>
                <w:szCs w:val="20"/>
              </w:rPr>
              <w:t>$2.013</w:t>
            </w:r>
          </w:p>
        </w:tc>
        <w:tc>
          <w:tcPr>
            <w:tcW w:w="1269" w:type="dxa"/>
            <w:tcMar>
              <w:top w:w="60" w:type="dxa"/>
              <w:left w:w="100" w:type="dxa"/>
              <w:bottom w:w="60" w:type="dxa"/>
              <w:right w:w="100" w:type="dxa"/>
            </w:tcMar>
            <w:vAlign w:val="center"/>
          </w:tcPr>
          <w:p w14:paraId="2EE4B2BA" w14:textId="77777777" w:rsidR="00E73300" w:rsidRDefault="00A3128C">
            <w:pPr>
              <w:jc w:val="right"/>
            </w:pPr>
            <w:r>
              <w:rPr>
                <w:sz w:val="20"/>
                <w:szCs w:val="20"/>
              </w:rPr>
              <w:t>$40</w:t>
            </w:r>
          </w:p>
        </w:tc>
        <w:tc>
          <w:tcPr>
            <w:tcW w:w="1360" w:type="dxa"/>
            <w:tcMar>
              <w:top w:w="60" w:type="dxa"/>
              <w:left w:w="100" w:type="dxa"/>
              <w:bottom w:w="60" w:type="dxa"/>
              <w:right w:w="100" w:type="dxa"/>
            </w:tcMar>
            <w:vAlign w:val="center"/>
          </w:tcPr>
          <w:p w14:paraId="2EE4B2BB" w14:textId="77777777" w:rsidR="00E73300" w:rsidRDefault="00A3128C">
            <w:pPr>
              <w:jc w:val="right"/>
            </w:pPr>
            <w:r>
              <w:rPr>
                <w:sz w:val="20"/>
                <w:szCs w:val="20"/>
              </w:rPr>
              <w:t>50,3</w:t>
            </w:r>
          </w:p>
        </w:tc>
      </w:tr>
      <w:tr w:rsidR="00E73300" w14:paraId="2EE4B2C2"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2EE4B2BD" w14:textId="77777777" w:rsidR="00E73300" w:rsidRDefault="00A3128C">
            <w:r>
              <w:rPr>
                <w:sz w:val="20"/>
                <w:szCs w:val="20"/>
              </w:rPr>
              <w:t>Domaine Pellé 2014 Morogues Rosé</w:t>
            </w:r>
          </w:p>
        </w:tc>
        <w:tc>
          <w:tcPr>
            <w:tcW w:w="1088" w:type="dxa"/>
            <w:tcMar>
              <w:top w:w="60" w:type="dxa"/>
              <w:left w:w="100" w:type="dxa"/>
              <w:bottom w:w="60" w:type="dxa"/>
              <w:right w:w="100" w:type="dxa"/>
            </w:tcMar>
            <w:vAlign w:val="center"/>
          </w:tcPr>
          <w:p w14:paraId="2EE4B2BE" w14:textId="77777777" w:rsidR="00E73300" w:rsidRDefault="00A3128C">
            <w:pPr>
              <w:jc w:val="right"/>
            </w:pPr>
            <w:r>
              <w:rPr>
                <w:sz w:val="20"/>
                <w:szCs w:val="20"/>
              </w:rPr>
              <w:t>87</w:t>
            </w:r>
          </w:p>
        </w:tc>
        <w:tc>
          <w:tcPr>
            <w:tcW w:w="1360" w:type="dxa"/>
            <w:tcMar>
              <w:top w:w="60" w:type="dxa"/>
              <w:left w:w="100" w:type="dxa"/>
              <w:bottom w:w="60" w:type="dxa"/>
              <w:right w:w="100" w:type="dxa"/>
            </w:tcMar>
            <w:vAlign w:val="center"/>
          </w:tcPr>
          <w:p w14:paraId="2EE4B2BF" w14:textId="77777777" w:rsidR="00E73300" w:rsidRDefault="00A3128C">
            <w:pPr>
              <w:jc w:val="right"/>
            </w:pPr>
            <w:r>
              <w:rPr>
                <w:sz w:val="20"/>
                <w:szCs w:val="20"/>
              </w:rPr>
              <w:t>$800</w:t>
            </w:r>
          </w:p>
        </w:tc>
        <w:tc>
          <w:tcPr>
            <w:tcW w:w="1269" w:type="dxa"/>
            <w:tcMar>
              <w:top w:w="60" w:type="dxa"/>
              <w:left w:w="100" w:type="dxa"/>
              <w:bottom w:w="60" w:type="dxa"/>
              <w:right w:w="100" w:type="dxa"/>
            </w:tcMar>
            <w:vAlign w:val="center"/>
          </w:tcPr>
          <w:p w14:paraId="2EE4B2C0" w14:textId="77777777" w:rsidR="00E73300" w:rsidRDefault="00A3128C">
            <w:pPr>
              <w:jc w:val="right"/>
            </w:pPr>
            <w:r>
              <w:rPr>
                <w:sz w:val="20"/>
                <w:szCs w:val="20"/>
              </w:rPr>
              <w:t>$20</w:t>
            </w:r>
          </w:p>
        </w:tc>
        <w:tc>
          <w:tcPr>
            <w:tcW w:w="1360" w:type="dxa"/>
            <w:tcMar>
              <w:top w:w="60" w:type="dxa"/>
              <w:left w:w="100" w:type="dxa"/>
              <w:bottom w:w="60" w:type="dxa"/>
              <w:right w:w="100" w:type="dxa"/>
            </w:tcMar>
            <w:vAlign w:val="center"/>
          </w:tcPr>
          <w:p w14:paraId="2EE4B2C1" w14:textId="77777777" w:rsidR="00E73300" w:rsidRDefault="00A3128C">
            <w:pPr>
              <w:jc w:val="right"/>
            </w:pPr>
            <w:r>
              <w:rPr>
                <w:sz w:val="20"/>
                <w:szCs w:val="20"/>
              </w:rPr>
              <w:t>40,0</w:t>
            </w:r>
          </w:p>
        </w:tc>
      </w:tr>
      <w:tr w:rsidR="00E73300" w14:paraId="2EE4B2C8"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2EE4B2C3" w14:textId="77777777" w:rsidR="00E73300" w:rsidRDefault="00A3128C">
            <w:r>
              <w:rPr>
                <w:sz w:val="20"/>
                <w:szCs w:val="20"/>
              </w:rPr>
              <w:t>Burmester 1963 Colheita Port</w:t>
            </w:r>
          </w:p>
        </w:tc>
        <w:tc>
          <w:tcPr>
            <w:tcW w:w="1088" w:type="dxa"/>
            <w:tcMar>
              <w:top w:w="60" w:type="dxa"/>
              <w:left w:w="100" w:type="dxa"/>
              <w:bottom w:w="60" w:type="dxa"/>
              <w:right w:w="100" w:type="dxa"/>
            </w:tcMar>
            <w:vAlign w:val="center"/>
          </w:tcPr>
          <w:p w14:paraId="2EE4B2C4" w14:textId="77777777" w:rsidR="00E73300" w:rsidRDefault="00A3128C">
            <w:pPr>
              <w:jc w:val="right"/>
            </w:pPr>
            <w:r>
              <w:rPr>
                <w:sz w:val="20"/>
                <w:szCs w:val="20"/>
              </w:rPr>
              <w:t>87</w:t>
            </w:r>
          </w:p>
        </w:tc>
        <w:tc>
          <w:tcPr>
            <w:tcW w:w="1360" w:type="dxa"/>
            <w:tcMar>
              <w:top w:w="60" w:type="dxa"/>
              <w:left w:w="100" w:type="dxa"/>
              <w:bottom w:w="60" w:type="dxa"/>
              <w:right w:w="100" w:type="dxa"/>
            </w:tcMar>
            <w:vAlign w:val="center"/>
          </w:tcPr>
          <w:p w14:paraId="2EE4B2C5" w14:textId="77777777" w:rsidR="00E73300" w:rsidRDefault="00A3128C">
            <w:pPr>
              <w:jc w:val="right"/>
            </w:pPr>
            <w:r>
              <w:rPr>
                <w:sz w:val="20"/>
                <w:szCs w:val="20"/>
              </w:rPr>
              <w:t>$790</w:t>
            </w:r>
          </w:p>
        </w:tc>
        <w:tc>
          <w:tcPr>
            <w:tcW w:w="1269" w:type="dxa"/>
            <w:tcMar>
              <w:top w:w="60" w:type="dxa"/>
              <w:left w:w="100" w:type="dxa"/>
              <w:bottom w:w="60" w:type="dxa"/>
              <w:right w:w="100" w:type="dxa"/>
            </w:tcMar>
            <w:vAlign w:val="center"/>
          </w:tcPr>
          <w:p w14:paraId="2EE4B2C6" w14:textId="77777777" w:rsidR="00E73300" w:rsidRDefault="00A3128C">
            <w:pPr>
              <w:jc w:val="right"/>
            </w:pPr>
            <w:r>
              <w:rPr>
                <w:sz w:val="20"/>
                <w:szCs w:val="20"/>
              </w:rPr>
              <w:t>$25</w:t>
            </w:r>
          </w:p>
        </w:tc>
        <w:tc>
          <w:tcPr>
            <w:tcW w:w="1360" w:type="dxa"/>
            <w:tcMar>
              <w:top w:w="60" w:type="dxa"/>
              <w:left w:w="100" w:type="dxa"/>
              <w:bottom w:w="60" w:type="dxa"/>
              <w:right w:w="100" w:type="dxa"/>
            </w:tcMar>
            <w:vAlign w:val="center"/>
          </w:tcPr>
          <w:p w14:paraId="2EE4B2C7" w14:textId="77777777" w:rsidR="00E73300" w:rsidRDefault="00A3128C">
            <w:pPr>
              <w:jc w:val="right"/>
            </w:pPr>
            <w:r>
              <w:rPr>
                <w:sz w:val="20"/>
                <w:szCs w:val="20"/>
              </w:rPr>
              <w:t>31,6</w:t>
            </w:r>
          </w:p>
        </w:tc>
      </w:tr>
      <w:tr w:rsidR="00E73300" w14:paraId="2EE4B2CE"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2EE4B2C9" w14:textId="77777777" w:rsidR="00E73300" w:rsidRDefault="00A3128C">
            <w:r>
              <w:rPr>
                <w:sz w:val="20"/>
                <w:szCs w:val="20"/>
              </w:rPr>
              <w:t>Henschke 2009 Hill of Grace Shiraz</w:t>
            </w:r>
          </w:p>
        </w:tc>
        <w:tc>
          <w:tcPr>
            <w:tcW w:w="1088" w:type="dxa"/>
            <w:tcMar>
              <w:top w:w="60" w:type="dxa"/>
              <w:left w:w="100" w:type="dxa"/>
              <w:bottom w:w="60" w:type="dxa"/>
              <w:right w:w="100" w:type="dxa"/>
            </w:tcMar>
            <w:vAlign w:val="center"/>
          </w:tcPr>
          <w:p w14:paraId="2EE4B2CA" w14:textId="77777777" w:rsidR="00E73300" w:rsidRDefault="00A3128C">
            <w:pPr>
              <w:jc w:val="right"/>
            </w:pPr>
            <w:r>
              <w:rPr>
                <w:sz w:val="20"/>
                <w:szCs w:val="20"/>
              </w:rPr>
              <w:t>91</w:t>
            </w:r>
          </w:p>
        </w:tc>
        <w:tc>
          <w:tcPr>
            <w:tcW w:w="1360" w:type="dxa"/>
            <w:tcMar>
              <w:top w:w="60" w:type="dxa"/>
              <w:left w:w="100" w:type="dxa"/>
              <w:bottom w:w="60" w:type="dxa"/>
              <w:right w:w="100" w:type="dxa"/>
            </w:tcMar>
            <w:vAlign w:val="center"/>
          </w:tcPr>
          <w:p w14:paraId="2EE4B2CB" w14:textId="77777777" w:rsidR="00E73300" w:rsidRDefault="00A3128C">
            <w:pPr>
              <w:jc w:val="right"/>
            </w:pPr>
            <w:r>
              <w:rPr>
                <w:sz w:val="20"/>
                <w:szCs w:val="20"/>
              </w:rPr>
              <w:t>$780</w:t>
            </w:r>
          </w:p>
        </w:tc>
        <w:tc>
          <w:tcPr>
            <w:tcW w:w="1269" w:type="dxa"/>
            <w:tcMar>
              <w:top w:w="60" w:type="dxa"/>
              <w:left w:w="100" w:type="dxa"/>
              <w:bottom w:w="60" w:type="dxa"/>
              <w:right w:w="100" w:type="dxa"/>
            </w:tcMar>
            <w:vAlign w:val="center"/>
          </w:tcPr>
          <w:p w14:paraId="2EE4B2CC" w14:textId="77777777" w:rsidR="00E73300" w:rsidRDefault="00A3128C">
            <w:pPr>
              <w:jc w:val="right"/>
            </w:pPr>
            <w:r>
              <w:rPr>
                <w:sz w:val="20"/>
                <w:szCs w:val="20"/>
              </w:rPr>
              <w:t>$30</w:t>
            </w:r>
          </w:p>
        </w:tc>
        <w:tc>
          <w:tcPr>
            <w:tcW w:w="1360" w:type="dxa"/>
            <w:tcMar>
              <w:top w:w="60" w:type="dxa"/>
              <w:left w:w="100" w:type="dxa"/>
              <w:bottom w:w="60" w:type="dxa"/>
              <w:right w:w="100" w:type="dxa"/>
            </w:tcMar>
            <w:vAlign w:val="center"/>
          </w:tcPr>
          <w:p w14:paraId="2EE4B2CD" w14:textId="77777777" w:rsidR="00E73300" w:rsidRDefault="00A3128C">
            <w:pPr>
              <w:jc w:val="right"/>
            </w:pPr>
            <w:r>
              <w:rPr>
                <w:sz w:val="20"/>
                <w:szCs w:val="20"/>
              </w:rPr>
              <w:t>26,0</w:t>
            </w:r>
          </w:p>
        </w:tc>
      </w:tr>
      <w:tr w:rsidR="00E73300" w14:paraId="2EE4B2D4"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2EE4B2CF" w14:textId="77777777" w:rsidR="00E73300" w:rsidRDefault="00A3128C">
            <w:r>
              <w:rPr>
                <w:sz w:val="20"/>
                <w:szCs w:val="20"/>
              </w:rPr>
              <w:t>Château Pétrus 2014 Pomerol</w:t>
            </w:r>
          </w:p>
        </w:tc>
        <w:tc>
          <w:tcPr>
            <w:tcW w:w="1088" w:type="dxa"/>
            <w:tcMar>
              <w:top w:w="60" w:type="dxa"/>
              <w:left w:w="100" w:type="dxa"/>
              <w:bottom w:w="60" w:type="dxa"/>
              <w:right w:w="100" w:type="dxa"/>
            </w:tcMar>
            <w:vAlign w:val="center"/>
          </w:tcPr>
          <w:p w14:paraId="2EE4B2D0" w14:textId="77777777" w:rsidR="00E73300" w:rsidRDefault="00A3128C">
            <w:pPr>
              <w:jc w:val="right"/>
            </w:pPr>
            <w:r>
              <w:rPr>
                <w:sz w:val="20"/>
                <w:szCs w:val="20"/>
              </w:rPr>
              <w:t>96</w:t>
            </w:r>
          </w:p>
        </w:tc>
        <w:tc>
          <w:tcPr>
            <w:tcW w:w="1360" w:type="dxa"/>
            <w:tcMar>
              <w:top w:w="60" w:type="dxa"/>
              <w:left w:w="100" w:type="dxa"/>
              <w:bottom w:w="60" w:type="dxa"/>
              <w:right w:w="100" w:type="dxa"/>
            </w:tcMar>
            <w:vAlign w:val="center"/>
          </w:tcPr>
          <w:p w14:paraId="2EE4B2D1" w14:textId="77777777" w:rsidR="00E73300" w:rsidRDefault="00A3128C">
            <w:pPr>
              <w:jc w:val="right"/>
            </w:pPr>
            <w:r>
              <w:rPr>
                <w:sz w:val="20"/>
                <w:szCs w:val="20"/>
              </w:rPr>
              <w:t>$2.500</w:t>
            </w:r>
          </w:p>
        </w:tc>
        <w:tc>
          <w:tcPr>
            <w:tcW w:w="1269" w:type="dxa"/>
            <w:tcMar>
              <w:top w:w="60" w:type="dxa"/>
              <w:left w:w="100" w:type="dxa"/>
              <w:bottom w:w="60" w:type="dxa"/>
              <w:right w:w="100" w:type="dxa"/>
            </w:tcMar>
            <w:vAlign w:val="center"/>
          </w:tcPr>
          <w:p w14:paraId="2EE4B2D2" w14:textId="77777777" w:rsidR="00E73300" w:rsidRDefault="00A3128C">
            <w:pPr>
              <w:jc w:val="right"/>
            </w:pPr>
            <w:r>
              <w:rPr>
                <w:sz w:val="20"/>
                <w:szCs w:val="20"/>
              </w:rPr>
              <w:t>$175</w:t>
            </w:r>
          </w:p>
        </w:tc>
        <w:tc>
          <w:tcPr>
            <w:tcW w:w="1360" w:type="dxa"/>
            <w:tcMar>
              <w:top w:w="60" w:type="dxa"/>
              <w:left w:w="100" w:type="dxa"/>
              <w:bottom w:w="60" w:type="dxa"/>
              <w:right w:w="100" w:type="dxa"/>
            </w:tcMar>
            <w:vAlign w:val="center"/>
          </w:tcPr>
          <w:p w14:paraId="2EE4B2D3" w14:textId="77777777" w:rsidR="00E73300" w:rsidRDefault="00A3128C">
            <w:pPr>
              <w:jc w:val="right"/>
            </w:pPr>
            <w:r>
              <w:rPr>
                <w:sz w:val="20"/>
                <w:szCs w:val="20"/>
              </w:rPr>
              <w:t>14,3</w:t>
            </w:r>
          </w:p>
        </w:tc>
      </w:tr>
    </w:tbl>
    <w:p w14:paraId="2EE4B2D5" w14:textId="77777777" w:rsidR="00E73300" w:rsidRDefault="00E73300">
      <w:pPr>
        <w:spacing w:after="240"/>
      </w:pPr>
    </w:p>
    <w:p w14:paraId="2EE4B2D6" w14:textId="77777777" w:rsidR="00E73300" w:rsidRDefault="00A3128C">
      <w:pPr>
        <w:ind w:firstLine="720"/>
        <w:jc w:val="both"/>
      </w:pPr>
      <w:r>
        <w:t>El procedimiento identificó dos errores de carga con evidencia concluyente:</w:t>
      </w:r>
    </w:p>
    <w:p w14:paraId="2EE4B2D7" w14:textId="77777777" w:rsidR="00E73300" w:rsidRDefault="00A3128C">
      <w:pPr>
        <w:pStyle w:val="ListParagraph"/>
        <w:numPr>
          <w:ilvl w:val="0"/>
          <w:numId w:val="2"/>
        </w:numPr>
        <w:jc w:val="both"/>
      </w:pPr>
      <w:r>
        <w:rPr>
          <w:b/>
          <w:bCs/>
        </w:rPr>
        <w:t>Blair 2013 Roger Rose Chardonnay, $2.013.</w:t>
      </w:r>
      <w:r>
        <w:t xml:space="preserve"> El precio coincide exactamente con el año de cosecha consignado en el título. La misma bodega comercializa sus otros siete vinos entre 22 y 75 dólares, y la cosecha 2012 de este mismo vino figura a 28 dólares. Todo indica que el año se registró en el campo de precio.</w:t>
      </w:r>
    </w:p>
    <w:p w14:paraId="2EE4B2D8" w14:textId="77777777" w:rsidR="00E73300" w:rsidRDefault="00A3128C">
      <w:pPr>
        <w:pStyle w:val="ListParagraph"/>
        <w:numPr>
          <w:ilvl w:val="0"/>
          <w:numId w:val="2"/>
        </w:numPr>
        <w:jc w:val="both"/>
      </w:pPr>
      <w:r>
        <w:rPr>
          <w:b/>
          <w:bCs/>
        </w:rPr>
        <w:lastRenderedPageBreak/>
        <w:t>Château les Ormes Sorbet 2013 Médoc, $3.300.</w:t>
      </w:r>
      <w:r>
        <w:t xml:space="preserve"> Es el único vino de Burdeos con 88 puntos que supera los 50 dólares, sobre una base de 519 casos cuya mediana es de 20. El precio equivale a 165 veces el de su grupo de pares.</w:t>
      </w:r>
    </w:p>
    <w:p w14:paraId="2EE4B2D9" w14:textId="77777777" w:rsidR="00E73300" w:rsidRDefault="00A3128C">
      <w:pPr>
        <w:ind w:firstLine="720"/>
        <w:jc w:val="both"/>
      </w:pPr>
      <w:r>
        <w:t>En contraste, el Oporto Burmester de 1963 a 790 dólares y el Château Pétrus a 2.500 constituyen valores legítimos: un cociente elevado en vinos de guarda excepcional o de denominaciones de prestigio refleja el mercado real y no un error de registro.</w:t>
      </w:r>
    </w:p>
    <w:p w14:paraId="2EE4B2DA" w14:textId="77777777" w:rsidR="00E73300" w:rsidRDefault="00A3128C">
      <w:pPr>
        <w:pStyle w:val="Heading2"/>
      </w:pPr>
      <w:bookmarkStart w:id="22" w:name="_Toc240984897"/>
      <w:r>
        <w:t>6.3. Impacto sobre las conclusiones</w:t>
      </w:r>
      <w:bookmarkEnd w:id="22"/>
    </w:p>
    <w:p w14:paraId="2EE4B2DB" w14:textId="77777777" w:rsidR="00E73300" w:rsidRDefault="00A3128C">
      <w:pPr>
        <w:keepNext/>
        <w:spacing w:before="240" w:after="80"/>
        <w:jc w:val="center"/>
      </w:pPr>
      <w:r>
        <w:rPr>
          <w:b/>
          <w:bCs/>
          <w:sz w:val="20"/>
          <w:szCs w:val="20"/>
        </w:rPr>
        <w:t xml:space="preserve">Tabla 8. </w:t>
      </w:r>
      <w:r>
        <w:rPr>
          <w:sz w:val="20"/>
          <w:szCs w:val="20"/>
        </w:rPr>
        <w:t>Correlación entre precio y puntaje bajo distintos tratamientos de los atípicos.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74"/>
        <w:gridCol w:w="1632"/>
        <w:gridCol w:w="1632"/>
        <w:gridCol w:w="1632"/>
      </w:tblGrid>
      <w:tr w:rsidR="00E73300" w14:paraId="2EE4B2E0" w14:textId="77777777">
        <w:tblPrEx>
          <w:tblCellMar>
            <w:top w:w="0" w:type="dxa"/>
            <w:bottom w:w="0" w:type="dxa"/>
          </w:tblCellMar>
        </w:tblPrEx>
        <w:trPr>
          <w:cantSplit/>
          <w:tblHeader/>
        </w:trPr>
        <w:tc>
          <w:tcPr>
            <w:tcW w:w="4174" w:type="dxa"/>
            <w:shd w:val="clear" w:color="auto" w:fill="EDE3E6"/>
            <w:tcMar>
              <w:top w:w="60" w:type="dxa"/>
              <w:left w:w="100" w:type="dxa"/>
              <w:bottom w:w="60" w:type="dxa"/>
              <w:right w:w="100" w:type="dxa"/>
            </w:tcMar>
            <w:vAlign w:val="center"/>
          </w:tcPr>
          <w:p w14:paraId="2EE4B2DC" w14:textId="77777777" w:rsidR="00E73300" w:rsidRDefault="00A3128C">
            <w:r>
              <w:rPr>
                <w:b/>
                <w:bCs/>
                <w:sz w:val="20"/>
                <w:szCs w:val="20"/>
              </w:rPr>
              <w:t>Escenario</w:t>
            </w:r>
          </w:p>
        </w:tc>
        <w:tc>
          <w:tcPr>
            <w:tcW w:w="1632" w:type="dxa"/>
            <w:shd w:val="clear" w:color="auto" w:fill="EDE3E6"/>
            <w:tcMar>
              <w:top w:w="60" w:type="dxa"/>
              <w:left w:w="100" w:type="dxa"/>
              <w:bottom w:w="60" w:type="dxa"/>
              <w:right w:w="100" w:type="dxa"/>
            </w:tcMar>
            <w:vAlign w:val="center"/>
          </w:tcPr>
          <w:p w14:paraId="2EE4B2DD" w14:textId="77777777" w:rsidR="00E73300" w:rsidRDefault="00A3128C">
            <w:pPr>
              <w:jc w:val="right"/>
            </w:pPr>
            <w:r>
              <w:rPr>
                <w:b/>
                <w:bCs/>
                <w:sz w:val="20"/>
                <w:szCs w:val="20"/>
              </w:rPr>
              <w:t>n</w:t>
            </w:r>
          </w:p>
        </w:tc>
        <w:tc>
          <w:tcPr>
            <w:tcW w:w="1632" w:type="dxa"/>
            <w:shd w:val="clear" w:color="auto" w:fill="EDE3E6"/>
            <w:tcMar>
              <w:top w:w="60" w:type="dxa"/>
              <w:left w:w="100" w:type="dxa"/>
              <w:bottom w:w="60" w:type="dxa"/>
              <w:right w:w="100" w:type="dxa"/>
            </w:tcMar>
            <w:vAlign w:val="center"/>
          </w:tcPr>
          <w:p w14:paraId="2EE4B2DE" w14:textId="77777777" w:rsidR="00E73300" w:rsidRDefault="00A3128C">
            <w:pPr>
              <w:jc w:val="right"/>
            </w:pPr>
            <w:r>
              <w:rPr>
                <w:b/>
                <w:bCs/>
                <w:sz w:val="20"/>
                <w:szCs w:val="20"/>
              </w:rPr>
              <w:t>Pearson</w:t>
            </w:r>
          </w:p>
        </w:tc>
        <w:tc>
          <w:tcPr>
            <w:tcW w:w="1632" w:type="dxa"/>
            <w:shd w:val="clear" w:color="auto" w:fill="EDE3E6"/>
            <w:tcMar>
              <w:top w:w="60" w:type="dxa"/>
              <w:left w:w="100" w:type="dxa"/>
              <w:bottom w:w="60" w:type="dxa"/>
              <w:right w:w="100" w:type="dxa"/>
            </w:tcMar>
            <w:vAlign w:val="center"/>
          </w:tcPr>
          <w:p w14:paraId="2EE4B2DF" w14:textId="77777777" w:rsidR="00E73300" w:rsidRDefault="00A3128C">
            <w:pPr>
              <w:jc w:val="right"/>
            </w:pPr>
            <w:r>
              <w:rPr>
                <w:b/>
                <w:bCs/>
                <w:sz w:val="20"/>
                <w:szCs w:val="20"/>
              </w:rPr>
              <w:t>Spearman</w:t>
            </w:r>
          </w:p>
        </w:tc>
      </w:tr>
      <w:tr w:rsidR="00E73300" w14:paraId="2EE4B2E5"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2EE4B2E1" w14:textId="77777777" w:rsidR="00E73300" w:rsidRDefault="00A3128C">
            <w:r>
              <w:rPr>
                <w:sz w:val="20"/>
                <w:szCs w:val="20"/>
              </w:rPr>
              <w:t>Precio crudo, con atípicos</w:t>
            </w:r>
          </w:p>
        </w:tc>
        <w:tc>
          <w:tcPr>
            <w:tcW w:w="1632" w:type="dxa"/>
            <w:tcMar>
              <w:top w:w="60" w:type="dxa"/>
              <w:left w:w="100" w:type="dxa"/>
              <w:bottom w:w="60" w:type="dxa"/>
              <w:right w:w="100" w:type="dxa"/>
            </w:tcMar>
            <w:vAlign w:val="center"/>
          </w:tcPr>
          <w:p w14:paraId="2EE4B2E2" w14:textId="77777777" w:rsidR="00E73300" w:rsidRDefault="00A3128C">
            <w:pPr>
              <w:jc w:val="right"/>
            </w:pPr>
            <w:r>
              <w:rPr>
                <w:sz w:val="20"/>
                <w:szCs w:val="20"/>
              </w:rPr>
              <w:t>111.593</w:t>
            </w:r>
          </w:p>
        </w:tc>
        <w:tc>
          <w:tcPr>
            <w:tcW w:w="1632" w:type="dxa"/>
            <w:tcMar>
              <w:top w:w="60" w:type="dxa"/>
              <w:left w:w="100" w:type="dxa"/>
              <w:bottom w:w="60" w:type="dxa"/>
              <w:right w:w="100" w:type="dxa"/>
            </w:tcMar>
            <w:vAlign w:val="center"/>
          </w:tcPr>
          <w:p w14:paraId="2EE4B2E3" w14:textId="77777777" w:rsidR="00E73300" w:rsidRDefault="00A3128C">
            <w:pPr>
              <w:jc w:val="right"/>
            </w:pPr>
            <w:r>
              <w:rPr>
                <w:sz w:val="20"/>
                <w:szCs w:val="20"/>
              </w:rPr>
              <w:t>0,417</w:t>
            </w:r>
          </w:p>
        </w:tc>
        <w:tc>
          <w:tcPr>
            <w:tcW w:w="1632" w:type="dxa"/>
            <w:tcMar>
              <w:top w:w="60" w:type="dxa"/>
              <w:left w:w="100" w:type="dxa"/>
              <w:bottom w:w="60" w:type="dxa"/>
              <w:right w:w="100" w:type="dxa"/>
            </w:tcMar>
            <w:vAlign w:val="center"/>
          </w:tcPr>
          <w:p w14:paraId="2EE4B2E4" w14:textId="77777777" w:rsidR="00E73300" w:rsidRDefault="00A3128C">
            <w:pPr>
              <w:jc w:val="right"/>
            </w:pPr>
            <w:r>
              <w:rPr>
                <w:sz w:val="20"/>
                <w:szCs w:val="20"/>
              </w:rPr>
              <w:t>0,612</w:t>
            </w:r>
          </w:p>
        </w:tc>
      </w:tr>
      <w:tr w:rsidR="00E73300" w14:paraId="2EE4B2EA"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2EE4B2E6" w14:textId="77777777" w:rsidR="00E73300" w:rsidRDefault="00A3128C">
            <w:r>
              <w:rPr>
                <w:sz w:val="20"/>
                <w:szCs w:val="20"/>
              </w:rPr>
              <w:t>Precio crudo, sin atípicos por IQR</w:t>
            </w:r>
          </w:p>
        </w:tc>
        <w:tc>
          <w:tcPr>
            <w:tcW w:w="1632" w:type="dxa"/>
            <w:tcMar>
              <w:top w:w="60" w:type="dxa"/>
              <w:left w:w="100" w:type="dxa"/>
              <w:bottom w:w="60" w:type="dxa"/>
              <w:right w:w="100" w:type="dxa"/>
            </w:tcMar>
            <w:vAlign w:val="center"/>
          </w:tcPr>
          <w:p w14:paraId="2EE4B2E7" w14:textId="77777777" w:rsidR="00E73300" w:rsidRDefault="00A3128C">
            <w:pPr>
              <w:jc w:val="right"/>
            </w:pPr>
            <w:r>
              <w:rPr>
                <w:sz w:val="20"/>
                <w:szCs w:val="20"/>
              </w:rPr>
              <w:t>104.724</w:t>
            </w:r>
          </w:p>
        </w:tc>
        <w:tc>
          <w:tcPr>
            <w:tcW w:w="1632" w:type="dxa"/>
            <w:tcMar>
              <w:top w:w="60" w:type="dxa"/>
              <w:left w:w="100" w:type="dxa"/>
              <w:bottom w:w="60" w:type="dxa"/>
              <w:right w:w="100" w:type="dxa"/>
            </w:tcMar>
            <w:vAlign w:val="center"/>
          </w:tcPr>
          <w:p w14:paraId="2EE4B2E8" w14:textId="77777777" w:rsidR="00E73300" w:rsidRDefault="00A3128C">
            <w:pPr>
              <w:jc w:val="right"/>
            </w:pPr>
            <w:r>
              <w:rPr>
                <w:sz w:val="20"/>
                <w:szCs w:val="20"/>
              </w:rPr>
              <w:t>0,544</w:t>
            </w:r>
          </w:p>
        </w:tc>
        <w:tc>
          <w:tcPr>
            <w:tcW w:w="1632" w:type="dxa"/>
            <w:tcMar>
              <w:top w:w="60" w:type="dxa"/>
              <w:left w:w="100" w:type="dxa"/>
              <w:bottom w:w="60" w:type="dxa"/>
              <w:right w:w="100" w:type="dxa"/>
            </w:tcMar>
            <w:vAlign w:val="center"/>
          </w:tcPr>
          <w:p w14:paraId="2EE4B2E9" w14:textId="77777777" w:rsidR="00E73300" w:rsidRDefault="00A3128C">
            <w:pPr>
              <w:jc w:val="right"/>
            </w:pPr>
            <w:r>
              <w:rPr>
                <w:sz w:val="20"/>
                <w:szCs w:val="20"/>
              </w:rPr>
              <w:t>0,572</w:t>
            </w:r>
          </w:p>
        </w:tc>
      </w:tr>
      <w:tr w:rsidR="00E73300" w14:paraId="2EE4B2EF"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2EE4B2EB" w14:textId="77777777" w:rsidR="00E73300" w:rsidRDefault="00A3128C">
            <w:r>
              <w:rPr>
                <w:sz w:val="20"/>
                <w:szCs w:val="20"/>
              </w:rPr>
              <w:t>Logaritmo del precio, con atípicos</w:t>
            </w:r>
          </w:p>
        </w:tc>
        <w:tc>
          <w:tcPr>
            <w:tcW w:w="1632" w:type="dxa"/>
            <w:tcMar>
              <w:top w:w="60" w:type="dxa"/>
              <w:left w:w="100" w:type="dxa"/>
              <w:bottom w:w="60" w:type="dxa"/>
              <w:right w:w="100" w:type="dxa"/>
            </w:tcMar>
            <w:vAlign w:val="center"/>
          </w:tcPr>
          <w:p w14:paraId="2EE4B2EC" w14:textId="77777777" w:rsidR="00E73300" w:rsidRDefault="00A3128C">
            <w:pPr>
              <w:jc w:val="right"/>
            </w:pPr>
            <w:r>
              <w:rPr>
                <w:sz w:val="20"/>
                <w:szCs w:val="20"/>
              </w:rPr>
              <w:t>111.593</w:t>
            </w:r>
          </w:p>
        </w:tc>
        <w:tc>
          <w:tcPr>
            <w:tcW w:w="1632" w:type="dxa"/>
            <w:tcMar>
              <w:top w:w="60" w:type="dxa"/>
              <w:left w:w="100" w:type="dxa"/>
              <w:bottom w:w="60" w:type="dxa"/>
              <w:right w:w="100" w:type="dxa"/>
            </w:tcMar>
            <w:vAlign w:val="center"/>
          </w:tcPr>
          <w:p w14:paraId="2EE4B2ED" w14:textId="77777777" w:rsidR="00E73300" w:rsidRDefault="00A3128C">
            <w:pPr>
              <w:jc w:val="right"/>
            </w:pPr>
            <w:r>
              <w:rPr>
                <w:sz w:val="20"/>
                <w:szCs w:val="20"/>
              </w:rPr>
              <w:t>0,618</w:t>
            </w:r>
          </w:p>
        </w:tc>
        <w:tc>
          <w:tcPr>
            <w:tcW w:w="1632" w:type="dxa"/>
            <w:tcMar>
              <w:top w:w="60" w:type="dxa"/>
              <w:left w:w="100" w:type="dxa"/>
              <w:bottom w:w="60" w:type="dxa"/>
              <w:right w:w="100" w:type="dxa"/>
            </w:tcMar>
            <w:vAlign w:val="center"/>
          </w:tcPr>
          <w:p w14:paraId="2EE4B2EE" w14:textId="77777777" w:rsidR="00E73300" w:rsidRDefault="00A3128C">
            <w:pPr>
              <w:jc w:val="right"/>
            </w:pPr>
            <w:r>
              <w:rPr>
                <w:sz w:val="20"/>
                <w:szCs w:val="20"/>
              </w:rPr>
              <w:t>0,612</w:t>
            </w:r>
          </w:p>
        </w:tc>
      </w:tr>
    </w:tbl>
    <w:p w14:paraId="2EE4B2F0" w14:textId="77777777" w:rsidR="00E73300" w:rsidRDefault="00E73300">
      <w:pPr>
        <w:spacing w:after="240"/>
      </w:pPr>
    </w:p>
    <w:p w14:paraId="2EE4B2F1" w14:textId="77777777" w:rsidR="00E73300" w:rsidRDefault="00A3128C">
      <w:pPr>
        <w:ind w:firstLine="720"/>
        <w:jc w:val="both"/>
      </w:pPr>
      <w:r>
        <w:t>El coeficiente de Pearson mide asociación lineal; aplicado sobre una variable con asimetría 18 subestima la relación real y arroja 0,417. El de Spearman opera sobre rangos, es insensible a transformaciones monótonas de escala y por eso apenas se mueve entre escenarios: constituye la referencia robusta contra la cual comparar.</w:t>
      </w:r>
    </w:p>
    <w:p w14:paraId="2EE4B2F2" w14:textId="77777777" w:rsidR="00E73300" w:rsidRDefault="00A3128C">
      <w:pPr>
        <w:ind w:firstLine="720"/>
        <w:jc w:val="both"/>
      </w:pPr>
      <w:r>
        <w:t xml:space="preserve">El resultado central de la sección es que eliminar atípicos y transformar la escala no son dos caminos equivalentes hacia el mismo destino. Descartar los precios altos eleva el coeficiente de Pearson a 0,544 al precio de perder 6.869 vinos reales; el logaritmo alcanza 0,618, un valor superior, </w:t>
      </w:r>
      <w:r>
        <w:rPr>
          <w:b/>
          <w:bCs/>
        </w:rPr>
        <w:t>sin descartar una sola observación</w:t>
      </w:r>
      <w:r>
        <w:t>. Para esta variable, la respuesta correcta a la asimetría consiste en cambiar de escala y no en recortar los datos.</w:t>
      </w:r>
    </w:p>
    <w:p w14:paraId="2EE4B2F3" w14:textId="77777777" w:rsidR="00E73300" w:rsidRDefault="00A3128C">
      <w:pPr>
        <w:pStyle w:val="Heading2"/>
      </w:pPr>
      <w:bookmarkStart w:id="23" w:name="_Toc240984898"/>
      <w:r>
        <w:t>6.4. Tratamiento adoptado</w:t>
      </w:r>
      <w:bookmarkEnd w:id="23"/>
    </w:p>
    <w:p w14:paraId="2EE4B2F4" w14:textId="77777777" w:rsidR="00E73300" w:rsidRDefault="00A3128C">
      <w:pPr>
        <w:ind w:firstLine="720"/>
        <w:jc w:val="both"/>
      </w:pPr>
      <w:r>
        <w:t xml:space="preserve">En coherencia con lo anterior, no se eliminaron los valores atípicos de precio. Se conservó la totalidad de las observaciones y se adoptó la escala logarítmica junto con estadísticos robustos —mediana y rango intercuartílico— para todo análisis que involucre el precio. Los dos errores identificados quedaron documentados para su revisión, sin corrección </w:t>
      </w:r>
      <w:r>
        <w:lastRenderedPageBreak/>
        <w:t>automática: determinar si un precio es erróneo requiere criterio, y el procedimiento aporta la evidencia para ejercerlo.</w:t>
      </w:r>
    </w:p>
    <w:p w14:paraId="2EE4B2F5" w14:textId="77777777" w:rsidR="00E73300" w:rsidRDefault="00A3128C">
      <w:pPr>
        <w:ind w:firstLine="720"/>
        <w:jc w:val="both"/>
      </w:pPr>
      <w:r>
        <w:t xml:space="preserve">En el caso de </w:t>
      </w:r>
      <w:r>
        <w:rPr>
          <w:i/>
          <w:iCs/>
        </w:rPr>
        <w:t>points</w:t>
      </w:r>
      <w:r>
        <w:t xml:space="preserve"> el análisis de atípicos resulta prácticamente inaplicable. Ningún criterio señala más del 0,10% de las observaciones, y no porque la variable carezca de valores extremos sino porque ya viene recortada en origen: el umbral editorial de 80 puntos eliminó la cola inferior antes de que los datos llegaran al analista. Se trata de una limitación del conjunto de datos y no de una propiedad de los vinos.</w:t>
      </w:r>
    </w:p>
    <w:p w14:paraId="2EE4B2F6" w14:textId="77777777" w:rsidR="00E73300" w:rsidRDefault="00A3128C">
      <w:pPr>
        <w:pStyle w:val="Heading1"/>
      </w:pPr>
      <w:bookmarkStart w:id="24" w:name="_Toc240984899"/>
      <w:r>
        <w:t>7. Análisis comparativo entre variables</w:t>
      </w:r>
      <w:bookmarkEnd w:id="24"/>
    </w:p>
    <w:p w14:paraId="2EE4B2F7" w14:textId="77777777" w:rsidR="00E73300" w:rsidRDefault="00A3128C">
      <w:pPr>
        <w:pStyle w:val="Heading2"/>
      </w:pPr>
      <w:bookmarkStart w:id="25" w:name="_Toc240984900"/>
      <w:r>
        <w:t>7.1. Relación entre precio y puntaje</w:t>
      </w:r>
      <w:bookmarkEnd w:id="25"/>
    </w:p>
    <w:p w14:paraId="2EE4B2F8" w14:textId="77777777" w:rsidR="00E73300" w:rsidRDefault="00A3128C">
      <w:pPr>
        <w:keepNext/>
        <w:spacing w:before="240" w:after="80"/>
        <w:jc w:val="center"/>
      </w:pPr>
      <w:r>
        <w:rPr>
          <w:noProof/>
        </w:rPr>
        <w:drawing>
          <wp:inline distT="0" distB="0" distL="0" distR="0" wp14:anchorId="2EE4B370" wp14:editId="2EE4B371">
            <wp:extent cx="5715000" cy="2895600"/>
            <wp:effectExtent l="0" t="0" r="0" b="0"/>
            <wp:docPr id="469880071" name="Picture 469880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95600"/>
                    </a:xfrm>
                    <a:prstGeom prst="rect">
                      <a:avLst/>
                    </a:prstGeom>
                  </pic:spPr>
                </pic:pic>
              </a:graphicData>
            </a:graphic>
          </wp:inline>
        </w:drawing>
      </w:r>
    </w:p>
    <w:p w14:paraId="2EE4B2F9" w14:textId="77777777" w:rsidR="00E73300" w:rsidRDefault="00A3128C">
      <w:pPr>
        <w:spacing w:after="240"/>
        <w:jc w:val="center"/>
      </w:pPr>
      <w:r>
        <w:rPr>
          <w:b/>
          <w:bCs/>
          <w:sz w:val="20"/>
          <w:szCs w:val="20"/>
        </w:rPr>
        <w:t xml:space="preserve">Figura 6. </w:t>
      </w:r>
      <w:r>
        <w:rPr>
          <w:sz w:val="20"/>
          <w:szCs w:val="20"/>
        </w:rPr>
        <w:t>Distribución del precio para cada puntaje, en escala logarítmica. La línea une las medianas.</w:t>
      </w:r>
    </w:p>
    <w:p w14:paraId="2EE4B2FA" w14:textId="77777777" w:rsidR="00E73300" w:rsidRDefault="00A3128C">
      <w:pPr>
        <w:ind w:firstLine="720"/>
        <w:jc w:val="both"/>
      </w:pPr>
      <w:r>
        <w:t>Se representa la distribución del precio mediante diagramas de caja para cada puntaje, ya que points toma únicamente 21 valores distintos y constituye un agrupador natural. Un diagrama de dispersión con 120.000 observaciones produciría una mancha uniforme sin información aprovechable.</w:t>
      </w:r>
    </w:p>
    <w:p w14:paraId="2EE4B2FB" w14:textId="77777777" w:rsidR="00E73300" w:rsidRDefault="00A3128C">
      <w:pPr>
        <w:ind w:firstLine="720"/>
        <w:jc w:val="both"/>
      </w:pPr>
      <w:r>
        <w:t>En escala logarítmica la línea de medianas es sensiblemente recta a partir de los 86 puntos, lo que indica una relación aproximadamente exponencial: cada punto adicional multiplica el precio por un factor constante. Entre 80 y 85 puntos la mediana permanece estable en torno a los 14 dólares, valor que opera como un piso de mercado, y a partir de allí asciende hasta unos 350 dólares en 100 puntos, es decir veinticinco veces.</w:t>
      </w:r>
    </w:p>
    <w:p w14:paraId="2EE4B2FC" w14:textId="77777777" w:rsidR="00E73300" w:rsidRDefault="00A3128C">
      <w:pPr>
        <w:ind w:firstLine="720"/>
        <w:jc w:val="both"/>
      </w:pPr>
      <w:r>
        <w:lastRenderedPageBreak/>
        <w:t>La dispersión dentro de cada puntaje es considerable, de modo que el puntaje explica parte del precio pero dista de determinarlo. Con un coeficiente de Spearman de 0,612, la asociación es sólida sin ser determinista.</w:t>
      </w:r>
    </w:p>
    <w:p w14:paraId="2EE4B2FD" w14:textId="77777777" w:rsidR="00E73300" w:rsidRDefault="00A3128C">
      <w:pPr>
        <w:pStyle w:val="Heading2"/>
      </w:pPr>
      <w:bookmarkStart w:id="26" w:name="_Toc240984901"/>
      <w:r>
        <w:t>7.2. Comparación entre países</w:t>
      </w:r>
      <w:bookmarkEnd w:id="26"/>
    </w:p>
    <w:p w14:paraId="2EE4B2FE" w14:textId="77777777" w:rsidR="00E73300" w:rsidRDefault="00A3128C">
      <w:pPr>
        <w:keepNext/>
        <w:spacing w:before="240" w:after="80"/>
        <w:jc w:val="center"/>
      </w:pPr>
      <w:r>
        <w:rPr>
          <w:noProof/>
        </w:rPr>
        <w:drawing>
          <wp:inline distT="0" distB="0" distL="0" distR="0" wp14:anchorId="2EE4B372" wp14:editId="2EE4B373">
            <wp:extent cx="5715000" cy="2838450"/>
            <wp:effectExtent l="0" t="0" r="0" b="0"/>
            <wp:docPr id="1284195020" name="Picture 128419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38450"/>
                    </a:xfrm>
                    <a:prstGeom prst="rect">
                      <a:avLst/>
                    </a:prstGeom>
                  </pic:spPr>
                </pic:pic>
              </a:graphicData>
            </a:graphic>
          </wp:inline>
        </w:drawing>
      </w:r>
    </w:p>
    <w:p w14:paraId="2EE4B2FF" w14:textId="77777777" w:rsidR="00E73300" w:rsidRDefault="00A3128C">
      <w:pPr>
        <w:spacing w:after="240"/>
        <w:jc w:val="center"/>
      </w:pPr>
      <w:r>
        <w:rPr>
          <w:b/>
          <w:bCs/>
          <w:sz w:val="20"/>
          <w:szCs w:val="20"/>
        </w:rPr>
        <w:t xml:space="preserve">Figura 7. </w:t>
      </w:r>
      <w:r>
        <w:rPr>
          <w:sz w:val="20"/>
          <w:szCs w:val="20"/>
        </w:rPr>
        <w:t>Distribución de puntajes en los doce países con mediana más alta, entre los que superan las 500 reseñas.</w:t>
      </w:r>
    </w:p>
    <w:p w14:paraId="2EE4B300" w14:textId="77777777" w:rsidR="00E73300" w:rsidRDefault="00A3128C">
      <w:pPr>
        <w:ind w:firstLine="720"/>
        <w:jc w:val="both"/>
      </w:pPr>
      <w:r>
        <w:t>Se exige un mínimo de reseñas por país para que la comparación resulte sostenible: la mediana de un país con veinte reseñas no es comparable con la de uno que reúne cincuenta mil, y omitir ese filtro situaría en los primeros puestos a países marginales por efecto del ruido muestral.</w:t>
      </w:r>
    </w:p>
    <w:p w14:paraId="2EE4B301" w14:textId="77777777" w:rsidR="00E73300" w:rsidRDefault="00A3128C">
      <w:pPr>
        <w:ind w:firstLine="720"/>
        <w:jc w:val="both"/>
      </w:pPr>
      <w:r>
        <w:t>Austria y Alemania encabezan el ordenamiento con mediana de 90 puntos, mientras que Argentina y Chile se sitúan en 86. Estados Unidos, pese a aportar el 42% de las reseñas, obtiene una mediana de 88.</w:t>
      </w:r>
    </w:p>
    <w:p w14:paraId="2EE4B302" w14:textId="77777777" w:rsidR="00E73300" w:rsidRDefault="00A3128C">
      <w:pPr>
        <w:ind w:firstLine="720"/>
        <w:jc w:val="both"/>
      </w:pPr>
      <w:r>
        <w:t>Estas diferencias no deben interpretarse como una medida de la calidad vitivinícola de cada país. Los países difieren también en qué variedades producen, en qué segmentos de precio exportan y en qué catador cubre su región, de modo que la comparación directa confunde el efecto del origen con el de esas otras variables. La sección siguiente documenta un caso en el que ese tipo de confusión invierte por completo la conclusión.</w:t>
      </w:r>
    </w:p>
    <w:p w14:paraId="2EE4B303" w14:textId="77777777" w:rsidR="00E73300" w:rsidRDefault="00A3128C">
      <w:pPr>
        <w:ind w:firstLine="720"/>
        <w:jc w:val="both"/>
      </w:pPr>
      <w:r>
        <w:t xml:space="preserve">Se emplearon diagramas de caja en lugar de diagramas de violín porque estos últimos estiman la densidad mediante núcleos, un método que presupone variable continua. Como </w:t>
      </w:r>
      <w:r>
        <w:lastRenderedPageBreak/>
        <w:t>points toma sólo 21 valores enteros, el suavizado genera ondulaciones que son artefactos del método y no estructura de los datos.</w:t>
      </w:r>
    </w:p>
    <w:p w14:paraId="2EE4B304" w14:textId="77777777" w:rsidR="00E73300" w:rsidRDefault="00A3128C">
      <w:pPr>
        <w:pStyle w:val="Heading2"/>
      </w:pPr>
      <w:bookmarkStart w:id="27" w:name="_Toc240984902"/>
      <w:r>
        <w:t>7.3. El año de cosecha como variable derivada</w:t>
      </w:r>
      <w:bookmarkEnd w:id="27"/>
    </w:p>
    <w:p w14:paraId="2EE4B305" w14:textId="77777777" w:rsidR="00E73300" w:rsidRDefault="00A3128C">
      <w:pPr>
        <w:ind w:firstLine="720"/>
        <w:jc w:val="both"/>
      </w:pPr>
      <w:r>
        <w:t>El año de cosecha no figura como columna, pero puede derivarse del título, que sigue el formato «bodega, año, nombre del vino, región».</w:t>
      </w:r>
    </w:p>
    <w:p w14:paraId="2EE4B306" w14:textId="77777777" w:rsidR="00E73300" w:rsidRDefault="00A3128C">
      <w:pPr>
        <w:ind w:firstLine="720"/>
        <w:jc w:val="both"/>
      </w:pPr>
      <w:r>
        <w:t xml:space="preserve">La extracción directa mediante una expresión regular sobre el título completo produce un error sistemático: numerosas bodegas incorporan un año a su propia denominación. El patrón devuelve 1852 para «Hazlitt 1852 Vineyards 2005 Cabernet Sauvignon», cuando la cosecha es 2005. El defecto afecta a unos 150 vinos y, dado que concentra años espurios en el siglo XIX, bastaría para invalidar cualquier análisis temporal. La solución aprovecha que </w:t>
      </w:r>
      <w:r>
        <w:rPr>
          <w:i/>
          <w:iCs/>
        </w:rPr>
        <w:t>winery</w:t>
      </w:r>
      <w:r>
        <w:t xml:space="preserve"> existe como columna independiente y que el 100% de los títulos comienza con ella: se recorta ese prefijo y recién entonces se busca el año.</w:t>
      </w:r>
    </w:p>
    <w:p w14:paraId="2EE4B307" w14:textId="77777777" w:rsidR="00E73300" w:rsidRDefault="00A3128C">
      <w:pPr>
        <w:ind w:firstLine="720"/>
        <w:jc w:val="both"/>
      </w:pPr>
      <w:r>
        <w:t>El 3,6% de las reseñas queda sin año. Corresponden a vinos espumantes rotulados «NV», mezclas de varias cosechas que legítimamente carecen de uno. Se conservan como nulos, ya que asignarles un año fabricaría un dato inexistente.</w:t>
      </w:r>
    </w:p>
    <w:p w14:paraId="2EE4B308" w14:textId="77777777" w:rsidR="00E73300" w:rsidRDefault="00A3128C">
      <w:pPr>
        <w:keepNext/>
        <w:spacing w:before="240" w:after="80"/>
        <w:jc w:val="center"/>
      </w:pPr>
      <w:r>
        <w:rPr>
          <w:noProof/>
        </w:rPr>
        <w:drawing>
          <wp:inline distT="0" distB="0" distL="0" distR="0" wp14:anchorId="2EE4B374" wp14:editId="2EE4B375">
            <wp:extent cx="5715000" cy="2009775"/>
            <wp:effectExtent l="0" t="0" r="0" b="0"/>
            <wp:docPr id="1742555482" name="Picture 174255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009775"/>
                    </a:xfrm>
                    <a:prstGeom prst="rect">
                      <a:avLst/>
                    </a:prstGeom>
                  </pic:spPr>
                </pic:pic>
              </a:graphicData>
            </a:graphic>
          </wp:inline>
        </w:drawing>
      </w:r>
    </w:p>
    <w:p w14:paraId="2EE4B309" w14:textId="77777777" w:rsidR="00E73300" w:rsidRDefault="00A3128C">
      <w:pPr>
        <w:spacing w:after="240"/>
        <w:jc w:val="center"/>
      </w:pPr>
      <w:r>
        <w:rPr>
          <w:b/>
          <w:bCs/>
          <w:sz w:val="20"/>
          <w:szCs w:val="20"/>
        </w:rPr>
        <w:t xml:space="preserve">Figura 8. </w:t>
      </w:r>
      <w:r>
        <w:rPr>
          <w:sz w:val="20"/>
          <w:szCs w:val="20"/>
        </w:rPr>
        <w:t>Izquierda: puntaje medio por cosecha con el tamaño de muestra. Derecha: efecto del catador antes y después de controlar por país y variedad.</w:t>
      </w:r>
    </w:p>
    <w:p w14:paraId="2EE4B30A" w14:textId="77777777" w:rsidR="00E73300" w:rsidRDefault="00A3128C">
      <w:pPr>
        <w:ind w:firstLine="720"/>
        <w:jc w:val="both"/>
      </w:pPr>
      <w:r>
        <w:t>El panel izquierdo debe leerse con cautela. Las cosechas anteriores a 2003 presentan medias volátiles que se corresponden con muestras reducidas, y operan bajo un sesgo de supervivencia severo: de 1998 sólo continúan reseñándose los pocos vinos excepcionales que aún se comercializan, mientras que de 2014 se reseña la producción corriente. Comparar esas medias sin advertirlo conduciría a concluir que los vinos antiguos son mejores, cuando lo que cambió es el criterio por el cual ingresaron a la muestra.</w:t>
      </w:r>
    </w:p>
    <w:p w14:paraId="2EE4B30B" w14:textId="77777777" w:rsidR="00E73300" w:rsidRDefault="00A3128C">
      <w:pPr>
        <w:pStyle w:val="Heading2"/>
      </w:pPr>
      <w:bookmarkStart w:id="28" w:name="_Toc240984903"/>
      <w:r>
        <w:lastRenderedPageBreak/>
        <w:t>7.4. Efecto del catador y confusión por variable omitida</w:t>
      </w:r>
      <w:bookmarkEnd w:id="28"/>
    </w:p>
    <w:p w14:paraId="2EE4B30C" w14:textId="77777777" w:rsidR="00E73300" w:rsidRDefault="00A3128C">
      <w:pPr>
        <w:ind w:firstLine="720"/>
        <w:jc w:val="both"/>
      </w:pPr>
      <w:r>
        <w:t>La comparación de las medias crudas por catador sugiere diferencias notables de criterio: 86,86 puntos para el más bajo frente a 90,63 para la más alta, una brecha de 3,77 puntos superior al desvío estándar de la variable completa.</w:t>
      </w:r>
    </w:p>
    <w:p w14:paraId="2EE4B30D" w14:textId="77777777" w:rsidR="00E73300" w:rsidRDefault="00A3128C">
      <w:pPr>
        <w:ind w:firstLine="720"/>
        <w:jc w:val="both"/>
      </w:pPr>
      <w:r>
        <w:t>Sin embargo, los catadores no reciben los vinos al azar: cada uno cubre las regiones de su especialidad. El catador de media más baja reseña 43% de vinos españoles y 29% de chilenos; la catadora de media más alta, 60% austríacos y 38% franceses. La diferencia de puntajes podría por lo tanto atribuirse a los vinos y no a quien los evalúa.</w:t>
      </w:r>
    </w:p>
    <w:p w14:paraId="2EE4B30E" w14:textId="77777777" w:rsidR="00E73300" w:rsidRDefault="00A3128C">
      <w:pPr>
        <w:ind w:firstLine="720"/>
        <w:jc w:val="both"/>
      </w:pPr>
      <w:r>
        <w:t>Para separar ambos efectos se midió, para cada reseña, cuánto se aparta del promedio de su propio grupo de país y variedad. Ese desvío responde la pregunta pertinente: ante el mismo tipo de vino, ¿este catador puntúa por encima o por debajo de lo habitual?</w:t>
      </w:r>
    </w:p>
    <w:p w14:paraId="2EE4B30F" w14:textId="77777777" w:rsidR="00E73300" w:rsidRDefault="00A3128C">
      <w:pPr>
        <w:keepNext/>
        <w:spacing w:before="240" w:after="80"/>
        <w:jc w:val="center"/>
      </w:pPr>
      <w:r>
        <w:rPr>
          <w:b/>
          <w:bCs/>
          <w:sz w:val="20"/>
          <w:szCs w:val="20"/>
        </w:rPr>
        <w:t xml:space="preserve">Tabla 9. </w:t>
      </w:r>
      <w:r>
        <w:rPr>
          <w:sz w:val="20"/>
          <w:szCs w:val="20"/>
        </w:rPr>
        <w:t>Puntaje medio por catador antes y después de controlar por país y variedad.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5"/>
        <w:gridCol w:w="1632"/>
        <w:gridCol w:w="1995"/>
        <w:gridCol w:w="2358"/>
      </w:tblGrid>
      <w:tr w:rsidR="00E73300" w14:paraId="2EE4B314" w14:textId="77777777">
        <w:tblPrEx>
          <w:tblCellMar>
            <w:top w:w="0" w:type="dxa"/>
            <w:bottom w:w="0" w:type="dxa"/>
          </w:tblCellMar>
        </w:tblPrEx>
        <w:trPr>
          <w:cantSplit/>
          <w:tblHeader/>
        </w:trPr>
        <w:tc>
          <w:tcPr>
            <w:tcW w:w="3085" w:type="dxa"/>
            <w:shd w:val="clear" w:color="auto" w:fill="EDE3E6"/>
            <w:tcMar>
              <w:top w:w="60" w:type="dxa"/>
              <w:left w:w="100" w:type="dxa"/>
              <w:bottom w:w="60" w:type="dxa"/>
              <w:right w:w="100" w:type="dxa"/>
            </w:tcMar>
            <w:vAlign w:val="center"/>
          </w:tcPr>
          <w:p w14:paraId="2EE4B310" w14:textId="77777777" w:rsidR="00E73300" w:rsidRDefault="00A3128C">
            <w:r>
              <w:rPr>
                <w:b/>
                <w:bCs/>
                <w:sz w:val="20"/>
                <w:szCs w:val="20"/>
              </w:rPr>
              <w:t>Catador</w:t>
            </w:r>
          </w:p>
        </w:tc>
        <w:tc>
          <w:tcPr>
            <w:tcW w:w="1632" w:type="dxa"/>
            <w:shd w:val="clear" w:color="auto" w:fill="EDE3E6"/>
            <w:tcMar>
              <w:top w:w="60" w:type="dxa"/>
              <w:left w:w="100" w:type="dxa"/>
              <w:bottom w:w="60" w:type="dxa"/>
              <w:right w:w="100" w:type="dxa"/>
            </w:tcMar>
            <w:vAlign w:val="center"/>
          </w:tcPr>
          <w:p w14:paraId="2EE4B311" w14:textId="77777777" w:rsidR="00E73300" w:rsidRDefault="00A3128C">
            <w:pPr>
              <w:jc w:val="right"/>
            </w:pPr>
            <w:r>
              <w:rPr>
                <w:b/>
                <w:bCs/>
                <w:sz w:val="20"/>
                <w:szCs w:val="20"/>
              </w:rPr>
              <w:t>Reseñas</w:t>
            </w:r>
          </w:p>
        </w:tc>
        <w:tc>
          <w:tcPr>
            <w:tcW w:w="1995" w:type="dxa"/>
            <w:shd w:val="clear" w:color="auto" w:fill="EDE3E6"/>
            <w:tcMar>
              <w:top w:w="60" w:type="dxa"/>
              <w:left w:w="100" w:type="dxa"/>
              <w:bottom w:w="60" w:type="dxa"/>
              <w:right w:w="100" w:type="dxa"/>
            </w:tcMar>
            <w:vAlign w:val="center"/>
          </w:tcPr>
          <w:p w14:paraId="2EE4B312" w14:textId="77777777" w:rsidR="00E73300" w:rsidRDefault="00A3128C">
            <w:pPr>
              <w:jc w:val="right"/>
            </w:pPr>
            <w:r>
              <w:rPr>
                <w:b/>
                <w:bCs/>
                <w:sz w:val="20"/>
                <w:szCs w:val="20"/>
              </w:rPr>
              <w:t>Media cruda</w:t>
            </w:r>
          </w:p>
        </w:tc>
        <w:tc>
          <w:tcPr>
            <w:tcW w:w="2358" w:type="dxa"/>
            <w:shd w:val="clear" w:color="auto" w:fill="EDE3E6"/>
            <w:tcMar>
              <w:top w:w="60" w:type="dxa"/>
              <w:left w:w="100" w:type="dxa"/>
              <w:bottom w:w="60" w:type="dxa"/>
              <w:right w:w="100" w:type="dxa"/>
            </w:tcMar>
            <w:vAlign w:val="center"/>
          </w:tcPr>
          <w:p w14:paraId="2EE4B313" w14:textId="77777777" w:rsidR="00E73300" w:rsidRDefault="00A3128C">
            <w:pPr>
              <w:jc w:val="right"/>
            </w:pPr>
            <w:r>
              <w:rPr>
                <w:b/>
                <w:bCs/>
                <w:sz w:val="20"/>
                <w:szCs w:val="20"/>
              </w:rPr>
              <w:t>Desvío controlado</w:t>
            </w:r>
          </w:p>
        </w:tc>
      </w:tr>
      <w:tr w:rsidR="00E73300" w14:paraId="2EE4B319"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315" w14:textId="77777777" w:rsidR="00E73300" w:rsidRDefault="00A3128C">
            <w:r>
              <w:rPr>
                <w:sz w:val="20"/>
                <w:szCs w:val="20"/>
              </w:rPr>
              <w:t>Anne Krebiehl MW</w:t>
            </w:r>
          </w:p>
        </w:tc>
        <w:tc>
          <w:tcPr>
            <w:tcW w:w="1632" w:type="dxa"/>
            <w:tcMar>
              <w:top w:w="60" w:type="dxa"/>
              <w:left w:w="100" w:type="dxa"/>
              <w:bottom w:w="60" w:type="dxa"/>
              <w:right w:w="100" w:type="dxa"/>
            </w:tcMar>
            <w:vAlign w:val="center"/>
          </w:tcPr>
          <w:p w14:paraId="2EE4B316" w14:textId="77777777" w:rsidR="00E73300" w:rsidRDefault="00A3128C">
            <w:pPr>
              <w:jc w:val="right"/>
            </w:pPr>
            <w:r>
              <w:rPr>
                <w:sz w:val="20"/>
                <w:szCs w:val="20"/>
              </w:rPr>
              <w:t>3.290</w:t>
            </w:r>
          </w:p>
        </w:tc>
        <w:tc>
          <w:tcPr>
            <w:tcW w:w="1995" w:type="dxa"/>
            <w:tcMar>
              <w:top w:w="60" w:type="dxa"/>
              <w:left w:w="100" w:type="dxa"/>
              <w:bottom w:w="60" w:type="dxa"/>
              <w:right w:w="100" w:type="dxa"/>
            </w:tcMar>
            <w:vAlign w:val="center"/>
          </w:tcPr>
          <w:p w14:paraId="2EE4B317" w14:textId="77777777" w:rsidR="00E73300" w:rsidRDefault="00A3128C">
            <w:pPr>
              <w:jc w:val="right"/>
            </w:pPr>
            <w:r>
              <w:rPr>
                <w:sz w:val="20"/>
                <w:szCs w:val="20"/>
              </w:rPr>
              <w:t>90,63</w:t>
            </w:r>
          </w:p>
        </w:tc>
        <w:tc>
          <w:tcPr>
            <w:tcW w:w="2358" w:type="dxa"/>
            <w:tcMar>
              <w:top w:w="60" w:type="dxa"/>
              <w:left w:w="100" w:type="dxa"/>
              <w:bottom w:w="60" w:type="dxa"/>
              <w:right w:w="100" w:type="dxa"/>
            </w:tcMar>
            <w:vAlign w:val="center"/>
          </w:tcPr>
          <w:p w14:paraId="2EE4B318" w14:textId="77777777" w:rsidR="00E73300" w:rsidRDefault="00A3128C">
            <w:pPr>
              <w:jc w:val="right"/>
            </w:pPr>
            <w:r>
              <w:rPr>
                <w:sz w:val="20"/>
                <w:szCs w:val="20"/>
              </w:rPr>
              <w:t>+0,76</w:t>
            </w:r>
          </w:p>
        </w:tc>
      </w:tr>
      <w:tr w:rsidR="00E73300" w14:paraId="2EE4B31E"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31A" w14:textId="77777777" w:rsidR="00E73300" w:rsidRDefault="00A3128C">
            <w:r>
              <w:rPr>
                <w:sz w:val="20"/>
                <w:szCs w:val="20"/>
              </w:rPr>
              <w:t>Matt Kettmann</w:t>
            </w:r>
          </w:p>
        </w:tc>
        <w:tc>
          <w:tcPr>
            <w:tcW w:w="1632" w:type="dxa"/>
            <w:tcMar>
              <w:top w:w="60" w:type="dxa"/>
              <w:left w:w="100" w:type="dxa"/>
              <w:bottom w:w="60" w:type="dxa"/>
              <w:right w:w="100" w:type="dxa"/>
            </w:tcMar>
            <w:vAlign w:val="center"/>
          </w:tcPr>
          <w:p w14:paraId="2EE4B31B" w14:textId="77777777" w:rsidR="00E73300" w:rsidRDefault="00A3128C">
            <w:pPr>
              <w:jc w:val="right"/>
            </w:pPr>
            <w:r>
              <w:rPr>
                <w:sz w:val="20"/>
                <w:szCs w:val="20"/>
              </w:rPr>
              <w:t>5.730</w:t>
            </w:r>
          </w:p>
        </w:tc>
        <w:tc>
          <w:tcPr>
            <w:tcW w:w="1995" w:type="dxa"/>
            <w:tcMar>
              <w:top w:w="60" w:type="dxa"/>
              <w:left w:w="100" w:type="dxa"/>
              <w:bottom w:w="60" w:type="dxa"/>
              <w:right w:w="100" w:type="dxa"/>
            </w:tcMar>
            <w:vAlign w:val="center"/>
          </w:tcPr>
          <w:p w14:paraId="2EE4B31C" w14:textId="77777777" w:rsidR="00E73300" w:rsidRDefault="00A3128C">
            <w:pPr>
              <w:jc w:val="right"/>
            </w:pPr>
            <w:r>
              <w:rPr>
                <w:sz w:val="20"/>
                <w:szCs w:val="20"/>
              </w:rPr>
              <w:t>90,06</w:t>
            </w:r>
          </w:p>
        </w:tc>
        <w:tc>
          <w:tcPr>
            <w:tcW w:w="2358" w:type="dxa"/>
            <w:tcMar>
              <w:top w:w="60" w:type="dxa"/>
              <w:left w:w="100" w:type="dxa"/>
              <w:bottom w:w="60" w:type="dxa"/>
              <w:right w:w="100" w:type="dxa"/>
            </w:tcMar>
            <w:vAlign w:val="center"/>
          </w:tcPr>
          <w:p w14:paraId="2EE4B31D" w14:textId="77777777" w:rsidR="00E73300" w:rsidRDefault="00A3128C">
            <w:pPr>
              <w:jc w:val="right"/>
            </w:pPr>
            <w:r>
              <w:rPr>
                <w:sz w:val="20"/>
                <w:szCs w:val="20"/>
              </w:rPr>
              <w:t>+0,85</w:t>
            </w:r>
          </w:p>
        </w:tc>
      </w:tr>
      <w:tr w:rsidR="00E73300" w14:paraId="2EE4B323"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31F" w14:textId="77777777" w:rsidR="00E73300" w:rsidRDefault="00A3128C">
            <w:r>
              <w:rPr>
                <w:sz w:val="20"/>
                <w:szCs w:val="20"/>
              </w:rPr>
              <w:t>Virginie Boone</w:t>
            </w:r>
          </w:p>
        </w:tc>
        <w:tc>
          <w:tcPr>
            <w:tcW w:w="1632" w:type="dxa"/>
            <w:tcMar>
              <w:top w:w="60" w:type="dxa"/>
              <w:left w:w="100" w:type="dxa"/>
              <w:bottom w:w="60" w:type="dxa"/>
              <w:right w:w="100" w:type="dxa"/>
            </w:tcMar>
            <w:vAlign w:val="center"/>
          </w:tcPr>
          <w:p w14:paraId="2EE4B320" w14:textId="77777777" w:rsidR="00E73300" w:rsidRDefault="00A3128C">
            <w:pPr>
              <w:jc w:val="right"/>
            </w:pPr>
            <w:r>
              <w:rPr>
                <w:sz w:val="20"/>
                <w:szCs w:val="20"/>
              </w:rPr>
              <w:t>8.708</w:t>
            </w:r>
          </w:p>
        </w:tc>
        <w:tc>
          <w:tcPr>
            <w:tcW w:w="1995" w:type="dxa"/>
            <w:tcMar>
              <w:top w:w="60" w:type="dxa"/>
              <w:left w:w="100" w:type="dxa"/>
              <w:bottom w:w="60" w:type="dxa"/>
              <w:right w:w="100" w:type="dxa"/>
            </w:tcMar>
            <w:vAlign w:val="center"/>
          </w:tcPr>
          <w:p w14:paraId="2EE4B321" w14:textId="77777777" w:rsidR="00E73300" w:rsidRDefault="00A3128C">
            <w:pPr>
              <w:jc w:val="right"/>
            </w:pPr>
            <w:r>
              <w:rPr>
                <w:sz w:val="20"/>
                <w:szCs w:val="20"/>
              </w:rPr>
              <w:t>89,22</w:t>
            </w:r>
          </w:p>
        </w:tc>
        <w:tc>
          <w:tcPr>
            <w:tcW w:w="2358" w:type="dxa"/>
            <w:tcMar>
              <w:top w:w="60" w:type="dxa"/>
              <w:left w:w="100" w:type="dxa"/>
              <w:bottom w:w="60" w:type="dxa"/>
              <w:right w:w="100" w:type="dxa"/>
            </w:tcMar>
            <w:vAlign w:val="center"/>
          </w:tcPr>
          <w:p w14:paraId="2EE4B322" w14:textId="77777777" w:rsidR="00E73300" w:rsidRDefault="00A3128C">
            <w:pPr>
              <w:jc w:val="right"/>
            </w:pPr>
            <w:r>
              <w:rPr>
                <w:sz w:val="20"/>
                <w:szCs w:val="20"/>
              </w:rPr>
              <w:t>+0,20</w:t>
            </w:r>
          </w:p>
        </w:tc>
      </w:tr>
      <w:tr w:rsidR="00E73300" w14:paraId="2EE4B328"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324" w14:textId="77777777" w:rsidR="00E73300" w:rsidRDefault="00A3128C">
            <w:r>
              <w:rPr>
                <w:sz w:val="20"/>
                <w:szCs w:val="20"/>
              </w:rPr>
              <w:t>Paul Gregutt</w:t>
            </w:r>
          </w:p>
        </w:tc>
        <w:tc>
          <w:tcPr>
            <w:tcW w:w="1632" w:type="dxa"/>
            <w:tcMar>
              <w:top w:w="60" w:type="dxa"/>
              <w:left w:w="100" w:type="dxa"/>
              <w:bottom w:w="60" w:type="dxa"/>
              <w:right w:w="100" w:type="dxa"/>
            </w:tcMar>
            <w:vAlign w:val="center"/>
          </w:tcPr>
          <w:p w14:paraId="2EE4B325" w14:textId="77777777" w:rsidR="00E73300" w:rsidRDefault="00A3128C">
            <w:pPr>
              <w:jc w:val="right"/>
            </w:pPr>
            <w:r>
              <w:rPr>
                <w:sz w:val="20"/>
                <w:szCs w:val="20"/>
              </w:rPr>
              <w:t>8.868</w:t>
            </w:r>
          </w:p>
        </w:tc>
        <w:tc>
          <w:tcPr>
            <w:tcW w:w="1995" w:type="dxa"/>
            <w:tcMar>
              <w:top w:w="60" w:type="dxa"/>
              <w:left w:w="100" w:type="dxa"/>
              <w:bottom w:w="60" w:type="dxa"/>
              <w:right w:w="100" w:type="dxa"/>
            </w:tcMar>
            <w:vAlign w:val="center"/>
          </w:tcPr>
          <w:p w14:paraId="2EE4B326" w14:textId="77777777" w:rsidR="00E73300" w:rsidRDefault="00A3128C">
            <w:pPr>
              <w:jc w:val="right"/>
            </w:pPr>
            <w:r>
              <w:rPr>
                <w:sz w:val="20"/>
                <w:szCs w:val="20"/>
              </w:rPr>
              <w:t>89,09</w:t>
            </w:r>
          </w:p>
        </w:tc>
        <w:tc>
          <w:tcPr>
            <w:tcW w:w="2358" w:type="dxa"/>
            <w:tcMar>
              <w:top w:w="60" w:type="dxa"/>
              <w:left w:w="100" w:type="dxa"/>
              <w:bottom w:w="60" w:type="dxa"/>
              <w:right w:w="100" w:type="dxa"/>
            </w:tcMar>
            <w:vAlign w:val="center"/>
          </w:tcPr>
          <w:p w14:paraId="2EE4B327" w14:textId="77777777" w:rsidR="00E73300" w:rsidRDefault="00A3128C">
            <w:pPr>
              <w:jc w:val="right"/>
            </w:pPr>
            <w:r>
              <w:rPr>
                <w:sz w:val="20"/>
                <w:szCs w:val="20"/>
              </w:rPr>
              <w:t>-0,00</w:t>
            </w:r>
          </w:p>
        </w:tc>
      </w:tr>
      <w:tr w:rsidR="00E73300" w14:paraId="2EE4B32D"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329" w14:textId="77777777" w:rsidR="00E73300" w:rsidRDefault="00A3128C">
            <w:r>
              <w:rPr>
                <w:sz w:val="20"/>
                <w:szCs w:val="20"/>
              </w:rPr>
              <w:t>Kerin O'Keefe</w:t>
            </w:r>
          </w:p>
        </w:tc>
        <w:tc>
          <w:tcPr>
            <w:tcW w:w="1632" w:type="dxa"/>
            <w:tcMar>
              <w:top w:w="60" w:type="dxa"/>
              <w:left w:w="100" w:type="dxa"/>
              <w:bottom w:w="60" w:type="dxa"/>
              <w:right w:w="100" w:type="dxa"/>
            </w:tcMar>
            <w:vAlign w:val="center"/>
          </w:tcPr>
          <w:p w14:paraId="2EE4B32A" w14:textId="77777777" w:rsidR="00E73300" w:rsidRDefault="00A3128C">
            <w:pPr>
              <w:jc w:val="right"/>
            </w:pPr>
            <w:r>
              <w:rPr>
                <w:sz w:val="20"/>
                <w:szCs w:val="20"/>
              </w:rPr>
              <w:t>9.697</w:t>
            </w:r>
          </w:p>
        </w:tc>
        <w:tc>
          <w:tcPr>
            <w:tcW w:w="1995" w:type="dxa"/>
            <w:tcMar>
              <w:top w:w="60" w:type="dxa"/>
              <w:left w:w="100" w:type="dxa"/>
              <w:bottom w:w="60" w:type="dxa"/>
              <w:right w:w="100" w:type="dxa"/>
            </w:tcMar>
            <w:vAlign w:val="center"/>
          </w:tcPr>
          <w:p w14:paraId="2EE4B32B" w14:textId="77777777" w:rsidR="00E73300" w:rsidRDefault="00A3128C">
            <w:pPr>
              <w:jc w:val="right"/>
            </w:pPr>
            <w:r>
              <w:rPr>
                <w:sz w:val="20"/>
                <w:szCs w:val="20"/>
              </w:rPr>
              <w:t>88,90</w:t>
            </w:r>
          </w:p>
        </w:tc>
        <w:tc>
          <w:tcPr>
            <w:tcW w:w="2358" w:type="dxa"/>
            <w:tcMar>
              <w:top w:w="60" w:type="dxa"/>
              <w:left w:w="100" w:type="dxa"/>
              <w:bottom w:w="60" w:type="dxa"/>
              <w:right w:w="100" w:type="dxa"/>
            </w:tcMar>
            <w:vAlign w:val="center"/>
          </w:tcPr>
          <w:p w14:paraId="2EE4B32C" w14:textId="77777777" w:rsidR="00E73300" w:rsidRDefault="00A3128C">
            <w:pPr>
              <w:jc w:val="right"/>
            </w:pPr>
            <w:r>
              <w:rPr>
                <w:sz w:val="20"/>
                <w:szCs w:val="20"/>
              </w:rPr>
              <w:t>+0,01</w:t>
            </w:r>
          </w:p>
        </w:tc>
      </w:tr>
      <w:tr w:rsidR="00E73300" w14:paraId="2EE4B332"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32E" w14:textId="77777777" w:rsidR="00E73300" w:rsidRDefault="00A3128C">
            <w:r>
              <w:rPr>
                <w:sz w:val="20"/>
                <w:szCs w:val="20"/>
              </w:rPr>
              <w:t>Roger Voss</w:t>
            </w:r>
          </w:p>
        </w:tc>
        <w:tc>
          <w:tcPr>
            <w:tcW w:w="1632" w:type="dxa"/>
            <w:tcMar>
              <w:top w:w="60" w:type="dxa"/>
              <w:left w:w="100" w:type="dxa"/>
              <w:bottom w:w="60" w:type="dxa"/>
              <w:right w:w="100" w:type="dxa"/>
            </w:tcMar>
            <w:vAlign w:val="center"/>
          </w:tcPr>
          <w:p w14:paraId="2EE4B32F" w14:textId="77777777" w:rsidR="00E73300" w:rsidRDefault="00A3128C">
            <w:pPr>
              <w:jc w:val="right"/>
            </w:pPr>
            <w:r>
              <w:rPr>
                <w:sz w:val="20"/>
                <w:szCs w:val="20"/>
              </w:rPr>
              <w:t>23.560</w:t>
            </w:r>
          </w:p>
        </w:tc>
        <w:tc>
          <w:tcPr>
            <w:tcW w:w="1995" w:type="dxa"/>
            <w:tcMar>
              <w:top w:w="60" w:type="dxa"/>
              <w:left w:w="100" w:type="dxa"/>
              <w:bottom w:w="60" w:type="dxa"/>
              <w:right w:w="100" w:type="dxa"/>
            </w:tcMar>
            <w:vAlign w:val="center"/>
          </w:tcPr>
          <w:p w14:paraId="2EE4B330" w14:textId="77777777" w:rsidR="00E73300" w:rsidRDefault="00A3128C">
            <w:pPr>
              <w:jc w:val="right"/>
            </w:pPr>
            <w:r>
              <w:rPr>
                <w:sz w:val="20"/>
                <w:szCs w:val="20"/>
              </w:rPr>
              <w:t>88,73</w:t>
            </w:r>
          </w:p>
        </w:tc>
        <w:tc>
          <w:tcPr>
            <w:tcW w:w="2358" w:type="dxa"/>
            <w:tcMar>
              <w:top w:w="60" w:type="dxa"/>
              <w:left w:w="100" w:type="dxa"/>
              <w:bottom w:w="60" w:type="dxa"/>
              <w:right w:w="100" w:type="dxa"/>
            </w:tcMar>
            <w:vAlign w:val="center"/>
          </w:tcPr>
          <w:p w14:paraId="2EE4B331" w14:textId="77777777" w:rsidR="00E73300" w:rsidRDefault="00A3128C">
            <w:pPr>
              <w:jc w:val="right"/>
            </w:pPr>
            <w:r>
              <w:rPr>
                <w:sz w:val="20"/>
                <w:szCs w:val="20"/>
              </w:rPr>
              <w:t>-0,04</w:t>
            </w:r>
          </w:p>
        </w:tc>
      </w:tr>
      <w:tr w:rsidR="00E73300" w14:paraId="2EE4B337"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333" w14:textId="77777777" w:rsidR="00E73300" w:rsidRDefault="00A3128C">
            <w:r>
              <w:rPr>
                <w:sz w:val="20"/>
                <w:szCs w:val="20"/>
              </w:rPr>
              <w:t>Anna Lee C. Iijima</w:t>
            </w:r>
          </w:p>
        </w:tc>
        <w:tc>
          <w:tcPr>
            <w:tcW w:w="1632" w:type="dxa"/>
            <w:tcMar>
              <w:top w:w="60" w:type="dxa"/>
              <w:left w:w="100" w:type="dxa"/>
              <w:bottom w:w="60" w:type="dxa"/>
              <w:right w:w="100" w:type="dxa"/>
            </w:tcMar>
            <w:vAlign w:val="center"/>
          </w:tcPr>
          <w:p w14:paraId="2EE4B334" w14:textId="77777777" w:rsidR="00E73300" w:rsidRDefault="00A3128C">
            <w:pPr>
              <w:jc w:val="right"/>
            </w:pPr>
            <w:r>
              <w:rPr>
                <w:sz w:val="20"/>
                <w:szCs w:val="20"/>
              </w:rPr>
              <w:t>4.017</w:t>
            </w:r>
          </w:p>
        </w:tc>
        <w:tc>
          <w:tcPr>
            <w:tcW w:w="1995" w:type="dxa"/>
            <w:tcMar>
              <w:top w:w="60" w:type="dxa"/>
              <w:left w:w="100" w:type="dxa"/>
              <w:bottom w:w="60" w:type="dxa"/>
              <w:right w:w="100" w:type="dxa"/>
            </w:tcMar>
            <w:vAlign w:val="center"/>
          </w:tcPr>
          <w:p w14:paraId="2EE4B335" w14:textId="77777777" w:rsidR="00E73300" w:rsidRDefault="00A3128C">
            <w:pPr>
              <w:jc w:val="right"/>
            </w:pPr>
            <w:r>
              <w:rPr>
                <w:sz w:val="20"/>
                <w:szCs w:val="20"/>
              </w:rPr>
              <w:t>88,42</w:t>
            </w:r>
          </w:p>
        </w:tc>
        <w:tc>
          <w:tcPr>
            <w:tcW w:w="2358" w:type="dxa"/>
            <w:tcMar>
              <w:top w:w="60" w:type="dxa"/>
              <w:left w:w="100" w:type="dxa"/>
              <w:bottom w:w="60" w:type="dxa"/>
              <w:right w:w="100" w:type="dxa"/>
            </w:tcMar>
            <w:vAlign w:val="center"/>
          </w:tcPr>
          <w:p w14:paraId="2EE4B336" w14:textId="77777777" w:rsidR="00E73300" w:rsidRDefault="00A3128C">
            <w:pPr>
              <w:jc w:val="right"/>
            </w:pPr>
            <w:r>
              <w:rPr>
                <w:sz w:val="20"/>
                <w:szCs w:val="20"/>
              </w:rPr>
              <w:t>-0,55</w:t>
            </w:r>
          </w:p>
        </w:tc>
      </w:tr>
      <w:tr w:rsidR="00E73300" w14:paraId="2EE4B33C"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2EE4B338" w14:textId="77777777" w:rsidR="00E73300" w:rsidRDefault="00A3128C">
            <w:r>
              <w:rPr>
                <w:sz w:val="20"/>
                <w:szCs w:val="20"/>
              </w:rPr>
              <w:t>Michael Schachner</w:t>
            </w:r>
          </w:p>
        </w:tc>
        <w:tc>
          <w:tcPr>
            <w:tcW w:w="1632" w:type="dxa"/>
            <w:tcMar>
              <w:top w:w="60" w:type="dxa"/>
              <w:left w:w="100" w:type="dxa"/>
              <w:bottom w:w="60" w:type="dxa"/>
              <w:right w:w="100" w:type="dxa"/>
            </w:tcMar>
            <w:vAlign w:val="center"/>
          </w:tcPr>
          <w:p w14:paraId="2EE4B339" w14:textId="77777777" w:rsidR="00E73300" w:rsidRDefault="00A3128C">
            <w:pPr>
              <w:jc w:val="right"/>
            </w:pPr>
            <w:r>
              <w:rPr>
                <w:sz w:val="20"/>
                <w:szCs w:val="20"/>
              </w:rPr>
              <w:t>14.046</w:t>
            </w:r>
          </w:p>
        </w:tc>
        <w:tc>
          <w:tcPr>
            <w:tcW w:w="1995" w:type="dxa"/>
            <w:tcMar>
              <w:top w:w="60" w:type="dxa"/>
              <w:left w:w="100" w:type="dxa"/>
              <w:bottom w:w="60" w:type="dxa"/>
              <w:right w:w="100" w:type="dxa"/>
            </w:tcMar>
            <w:vAlign w:val="center"/>
          </w:tcPr>
          <w:p w14:paraId="2EE4B33A" w14:textId="77777777" w:rsidR="00E73300" w:rsidRDefault="00A3128C">
            <w:pPr>
              <w:jc w:val="right"/>
            </w:pPr>
            <w:r>
              <w:rPr>
                <w:sz w:val="20"/>
                <w:szCs w:val="20"/>
              </w:rPr>
              <w:t>86,86</w:t>
            </w:r>
          </w:p>
        </w:tc>
        <w:tc>
          <w:tcPr>
            <w:tcW w:w="2358" w:type="dxa"/>
            <w:tcMar>
              <w:top w:w="60" w:type="dxa"/>
              <w:left w:w="100" w:type="dxa"/>
              <w:bottom w:w="60" w:type="dxa"/>
              <w:right w:w="100" w:type="dxa"/>
            </w:tcMar>
            <w:vAlign w:val="center"/>
          </w:tcPr>
          <w:p w14:paraId="2EE4B33B" w14:textId="77777777" w:rsidR="00E73300" w:rsidRDefault="00A3128C">
            <w:pPr>
              <w:jc w:val="right"/>
            </w:pPr>
            <w:r>
              <w:rPr>
                <w:sz w:val="20"/>
                <w:szCs w:val="20"/>
              </w:rPr>
              <w:t>-0,02</w:t>
            </w:r>
          </w:p>
        </w:tc>
      </w:tr>
    </w:tbl>
    <w:p w14:paraId="2EE4B33D" w14:textId="77777777" w:rsidR="00E73300" w:rsidRDefault="00E73300">
      <w:pPr>
        <w:spacing w:after="240"/>
      </w:pPr>
    </w:p>
    <w:p w14:paraId="2EE4B33E" w14:textId="77777777" w:rsidR="00E73300" w:rsidRDefault="00A3128C">
      <w:pPr>
        <w:ind w:firstLine="720"/>
        <w:jc w:val="both"/>
      </w:pPr>
      <w:r>
        <w:t xml:space="preserve">El resultado es concluyente: la brecha de 3,77 puntos se reduce a 0,78, y el catador que aparentaba ser el más severo puntúa en el promedio exacto de los vinos que evalúa (-0,02). Prácticamente toda la diferencia aparente era </w:t>
      </w:r>
      <w:r>
        <w:rPr>
          <w:b/>
          <w:bCs/>
        </w:rPr>
        <w:t>asignación de vinos y no criterio de evaluación</w:t>
      </w:r>
      <w:r>
        <w:t>. Se trata de un caso de confusión por variable omitida, y comparar las medias crudas habría conducido a una conclusión equivocada sobre el desempeño profesional de personas concretas.</w:t>
      </w:r>
    </w:p>
    <w:p w14:paraId="2EE4B33F" w14:textId="77777777" w:rsidR="00E73300" w:rsidRDefault="00A3128C">
      <w:pPr>
        <w:pStyle w:val="Heading1"/>
      </w:pPr>
      <w:bookmarkStart w:id="29" w:name="_Toc240984904"/>
      <w:r>
        <w:lastRenderedPageBreak/>
        <w:t>8. Conclusiones</w:t>
      </w:r>
      <w:bookmarkEnd w:id="29"/>
    </w:p>
    <w:p w14:paraId="2EE4B340" w14:textId="77777777" w:rsidR="00E73300" w:rsidRDefault="00A3128C">
      <w:pPr>
        <w:ind w:firstLine="720"/>
        <w:jc w:val="both"/>
      </w:pPr>
      <w:r>
        <w:t>El análisis permite extraer conclusiones sobre el conjunto de datos y sobre el método empleado para analizarlo.</w:t>
      </w:r>
    </w:p>
    <w:p w14:paraId="2EE4B341" w14:textId="77777777" w:rsidR="00E73300" w:rsidRDefault="00A3128C">
      <w:pPr>
        <w:ind w:firstLine="720"/>
        <w:jc w:val="both"/>
      </w:pPr>
      <w:r>
        <w:t>Respecto del conjunto de datos, se verificó que llegó al analista con tres formas independientes de corrupción que ninguna carga convencional señala mediante un error, y que el enunciado que lo acompaña describe incorrectamente tanto el número de columnas como el de reseñas. El 7,7% de las filas estaba duplicado. La variable de precio se comporta como log-normal y presenta ausencias condicionadas por el origen geográfico; la de puntaje está censurada en origen por el umbral editorial de publicación.</w:t>
      </w:r>
    </w:p>
    <w:p w14:paraId="2EE4B342" w14:textId="77777777" w:rsidR="00E73300" w:rsidRDefault="00A3128C">
      <w:pPr>
        <w:ind w:firstLine="720"/>
        <w:jc w:val="both"/>
      </w:pPr>
      <w:r>
        <w:t>Respecto de los hallazgos sustantivos, el precio crece de forma aproximadamente exponencial con el puntaje, con una correlación de rangos de 0,612 que indica asociación sólida pero no determinista. Las diferencias de puntaje entre países y entre catadores se reducen de manera drástica al controlar por las variables que efectivamente determinan qué vino evalúa cada quién.</w:t>
      </w:r>
    </w:p>
    <w:p w14:paraId="2EE4B343" w14:textId="77777777" w:rsidR="00E73300" w:rsidRDefault="00A3128C">
      <w:pPr>
        <w:ind w:firstLine="720"/>
        <w:jc w:val="both"/>
      </w:pPr>
      <w:r>
        <w:t>Respecto del método, tres decisiones concentran el valor del trabajo. La primera es haber definido criterios de verificación antes de cargar los datos, lo que permitió detectar una corrupción silenciosa. La segunda es haber elegido la estrategia de imputación mediante validación medida sobre datos ocultados deliberadamente, en lugar de aplicar una convención. La tercera es haber distinguido el valor extremo correcto del error de registro mediante comparación contextual, en lugar de descartar la cola de la d</w:t>
      </w:r>
      <w:r>
        <w:t>istribución por criterio puramente estadístico.</w:t>
      </w:r>
    </w:p>
    <w:p w14:paraId="2EE4B344" w14:textId="77777777" w:rsidR="00E73300" w:rsidRDefault="00A3128C">
      <w:pPr>
        <w:ind w:firstLine="720"/>
        <w:jc w:val="both"/>
      </w:pPr>
      <w:r>
        <w:t>Las limitaciones del análisis derivan en su mayoría del conjunto de datos y no del procedimiento. La censura en 80 puntos impide describir la distribución real de calidad. La concentración del 42% de las reseñas en un único país restringe la generalización de cualquier conclusión global. Y la columna de descripción, que el enunciado señala como la más relevante, contiene texto que este informe no explota: su análisis mediante procesamiento de lenguaje natural constituye la continuación natural del trabajo.</w:t>
      </w:r>
    </w:p>
    <w:p w14:paraId="2EE4B345" w14:textId="77777777" w:rsidR="00E73300" w:rsidRDefault="00A3128C">
      <w:pPr>
        <w:pStyle w:val="Heading1"/>
      </w:pPr>
      <w:bookmarkStart w:id="30" w:name="_Toc240984905"/>
      <w:r>
        <w:t>9. Referencias</w:t>
      </w:r>
      <w:bookmarkEnd w:id="30"/>
    </w:p>
    <w:p w14:paraId="2EE4B346" w14:textId="77777777" w:rsidR="00E73300" w:rsidRDefault="00A3128C">
      <w:pPr>
        <w:ind w:left="720" w:hanging="720"/>
        <w:jc w:val="both"/>
      </w:pPr>
      <w:r>
        <w:t>McKinney, W. (2022). Python for Data Analysis: Data Wrangling with pandas, NumPy, and Jupyter (3.ª ed.). O'Reilly Media.</w:t>
      </w:r>
    </w:p>
    <w:p w14:paraId="2EE4B347" w14:textId="77777777" w:rsidR="00E73300" w:rsidRDefault="00A3128C">
      <w:pPr>
        <w:ind w:left="720" w:hanging="720"/>
        <w:jc w:val="both"/>
      </w:pPr>
      <w:r>
        <w:lastRenderedPageBreak/>
        <w:t>Little, R. J. A. y Rubin, D. B. (2019). Statistical Analysis with Missing Data (3.ª ed.). Wiley.</w:t>
      </w:r>
    </w:p>
    <w:p w14:paraId="2EE4B348" w14:textId="77777777" w:rsidR="00E73300" w:rsidRDefault="00A3128C">
      <w:pPr>
        <w:ind w:left="720" w:hanging="720"/>
        <w:jc w:val="both"/>
      </w:pPr>
      <w:r>
        <w:t>Iglewicz, B. y Hoaglin, D. C. (1993). How to Detect and Handle Outliers. ASQC Quality Press.</w:t>
      </w:r>
    </w:p>
    <w:p w14:paraId="2EE4B349" w14:textId="77777777" w:rsidR="00E73300" w:rsidRDefault="00A3128C">
      <w:pPr>
        <w:ind w:left="720" w:hanging="720"/>
        <w:jc w:val="both"/>
      </w:pPr>
      <w:r>
        <w:t>Tukey, J. W. (1977). Exploratory Data Analysis. Addison-Wesley.</w:t>
      </w:r>
    </w:p>
    <w:p w14:paraId="2EE4B34A" w14:textId="77777777" w:rsidR="00E73300" w:rsidRDefault="00A3128C">
      <w:pPr>
        <w:ind w:left="720" w:hanging="720"/>
        <w:jc w:val="both"/>
      </w:pPr>
      <w:r>
        <w:t>WineEnthusiast. Conjunto de datos winemag-data-130k-v2, provisto con el enunciado de la actividad.</w:t>
      </w:r>
    </w:p>
    <w:p w14:paraId="2EE4B34B" w14:textId="77777777" w:rsidR="00E73300" w:rsidRDefault="00A3128C">
      <w:r>
        <w:br w:type="page"/>
      </w:r>
    </w:p>
    <w:p w14:paraId="2EE4B34C" w14:textId="77777777" w:rsidR="00E73300" w:rsidRDefault="00A3128C">
      <w:pPr>
        <w:pStyle w:val="Heading1"/>
      </w:pPr>
      <w:bookmarkStart w:id="31" w:name="_Toc240984906"/>
      <w:r>
        <w:lastRenderedPageBreak/>
        <w:t>Anexo. Estructura del script</w:t>
      </w:r>
      <w:bookmarkEnd w:id="31"/>
    </w:p>
    <w:p w14:paraId="2EE4B34D" w14:textId="77777777" w:rsidR="00E73300" w:rsidRDefault="00A3128C">
      <w:pPr>
        <w:ind w:firstLine="720"/>
        <w:jc w:val="both"/>
      </w:pPr>
      <w:r>
        <w:t>El código se entrega en el archivo script.py, organizado en seis secciones que se corresponden con las de este informe. Se ejecuta con «python script.py» y requiere pandas, numpy, matplotlib, scipy y openpyxl. La ejecución completa demora unos catorce segundos y genera las ocho figuras en el directorio graficos/.</w:t>
      </w:r>
    </w:p>
    <w:p w14:paraId="2EE4B34E" w14:textId="77777777" w:rsidR="00E73300" w:rsidRDefault="00A3128C">
      <w:pPr>
        <w:keepNext/>
        <w:spacing w:before="240" w:after="80"/>
        <w:jc w:val="center"/>
      </w:pPr>
      <w:r>
        <w:rPr>
          <w:b/>
          <w:bCs/>
          <w:sz w:val="20"/>
          <w:szCs w:val="20"/>
        </w:rPr>
        <w:t xml:space="preserve">Tabla 10. </w:t>
      </w:r>
      <w:r>
        <w:rPr>
          <w:sz w:val="20"/>
          <w:szCs w:val="20"/>
        </w:rPr>
        <w:t>Correspondencia entre las secciones del script y las de este informe.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9"/>
        <w:gridCol w:w="6711"/>
      </w:tblGrid>
      <w:tr w:rsidR="00E73300" w14:paraId="2EE4B351" w14:textId="77777777">
        <w:tblPrEx>
          <w:tblCellMar>
            <w:top w:w="0" w:type="dxa"/>
            <w:bottom w:w="0" w:type="dxa"/>
          </w:tblCellMar>
        </w:tblPrEx>
        <w:trPr>
          <w:cantSplit/>
          <w:tblHeader/>
        </w:trPr>
        <w:tc>
          <w:tcPr>
            <w:tcW w:w="2359" w:type="dxa"/>
            <w:shd w:val="clear" w:color="auto" w:fill="EDE3E6"/>
            <w:tcMar>
              <w:top w:w="60" w:type="dxa"/>
              <w:left w:w="100" w:type="dxa"/>
              <w:bottom w:w="60" w:type="dxa"/>
              <w:right w:w="100" w:type="dxa"/>
            </w:tcMar>
            <w:vAlign w:val="center"/>
          </w:tcPr>
          <w:p w14:paraId="2EE4B34F" w14:textId="77777777" w:rsidR="00E73300" w:rsidRDefault="00A3128C">
            <w:r>
              <w:rPr>
                <w:b/>
                <w:bCs/>
                <w:sz w:val="20"/>
                <w:szCs w:val="20"/>
              </w:rPr>
              <w:t>Sección</w:t>
            </w:r>
          </w:p>
        </w:tc>
        <w:tc>
          <w:tcPr>
            <w:tcW w:w="6711" w:type="dxa"/>
            <w:shd w:val="clear" w:color="auto" w:fill="EDE3E6"/>
            <w:tcMar>
              <w:top w:w="60" w:type="dxa"/>
              <w:left w:w="100" w:type="dxa"/>
              <w:bottom w:w="60" w:type="dxa"/>
              <w:right w:w="100" w:type="dxa"/>
            </w:tcMar>
            <w:vAlign w:val="center"/>
          </w:tcPr>
          <w:p w14:paraId="2EE4B350" w14:textId="77777777" w:rsidR="00E73300" w:rsidRDefault="00A3128C">
            <w:r>
              <w:rPr>
                <w:b/>
                <w:bCs/>
                <w:sz w:val="20"/>
                <w:szCs w:val="20"/>
              </w:rPr>
              <w:t>Funciones principales</w:t>
            </w:r>
          </w:p>
        </w:tc>
      </w:tr>
      <w:tr w:rsidR="00E73300" w14:paraId="2EE4B354"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2EE4B352" w14:textId="77777777" w:rsidR="00E73300" w:rsidRDefault="00A3128C">
            <w:r>
              <w:rPr>
                <w:sz w:val="20"/>
                <w:szCs w:val="20"/>
              </w:rPr>
              <w:t>1. Carga de datos</w:t>
            </w:r>
          </w:p>
        </w:tc>
        <w:tc>
          <w:tcPr>
            <w:tcW w:w="6711" w:type="dxa"/>
            <w:tcMar>
              <w:top w:w="60" w:type="dxa"/>
              <w:left w:w="100" w:type="dxa"/>
              <w:bottom w:w="60" w:type="dxa"/>
              <w:right w:w="100" w:type="dxa"/>
            </w:tcMar>
            <w:vAlign w:val="center"/>
          </w:tcPr>
          <w:p w14:paraId="2EE4B353" w14:textId="77777777" w:rsidR="00E73300" w:rsidRDefault="00A3128C">
            <w:r>
              <w:rPr>
                <w:sz w:val="20"/>
                <w:szCs w:val="20"/>
              </w:rPr>
              <w:t>cargar_datos, _reconstruir_lineas, _reparar_codificacion</w:t>
            </w:r>
          </w:p>
        </w:tc>
      </w:tr>
      <w:tr w:rsidR="00E73300" w14:paraId="2EE4B357"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2EE4B355" w14:textId="77777777" w:rsidR="00E73300" w:rsidRDefault="00A3128C">
            <w:r>
              <w:rPr>
                <w:sz w:val="20"/>
                <w:szCs w:val="20"/>
              </w:rPr>
              <w:t>2. Perfilado y depuración</w:t>
            </w:r>
          </w:p>
        </w:tc>
        <w:tc>
          <w:tcPr>
            <w:tcW w:w="6711" w:type="dxa"/>
            <w:tcMar>
              <w:top w:w="60" w:type="dxa"/>
              <w:left w:w="100" w:type="dxa"/>
              <w:bottom w:w="60" w:type="dxa"/>
              <w:right w:w="100" w:type="dxa"/>
            </w:tcMar>
            <w:vAlign w:val="center"/>
          </w:tcPr>
          <w:p w14:paraId="2EE4B356" w14:textId="77777777" w:rsidR="00E73300" w:rsidRDefault="00A3128C">
            <w:r>
              <w:rPr>
                <w:sz w:val="20"/>
                <w:szCs w:val="20"/>
              </w:rPr>
              <w:t>perfil_columnas, quitar_duplicados</w:t>
            </w:r>
          </w:p>
        </w:tc>
      </w:tr>
      <w:tr w:rsidR="00E73300" w14:paraId="2EE4B35A"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2EE4B358" w14:textId="77777777" w:rsidR="00E73300" w:rsidRDefault="00A3128C">
            <w:r>
              <w:rPr>
                <w:sz w:val="20"/>
                <w:szCs w:val="20"/>
              </w:rPr>
              <w:t>3. Visualización</w:t>
            </w:r>
          </w:p>
        </w:tc>
        <w:tc>
          <w:tcPr>
            <w:tcW w:w="6711" w:type="dxa"/>
            <w:tcMar>
              <w:top w:w="60" w:type="dxa"/>
              <w:left w:w="100" w:type="dxa"/>
              <w:bottom w:w="60" w:type="dxa"/>
              <w:right w:w="100" w:type="dxa"/>
            </w:tcMar>
            <w:vAlign w:val="center"/>
          </w:tcPr>
          <w:p w14:paraId="2EE4B359" w14:textId="77777777" w:rsidR="00E73300" w:rsidRDefault="00A3128C">
            <w:r>
              <w:rPr>
                <w:sz w:val="20"/>
                <w:szCs w:val="20"/>
              </w:rPr>
              <w:t>grafico_puntajes, grafico_precios, grafico_categoricas, grafico_precio_vs_puntaje, grafico_puntaje_por_pais</w:t>
            </w:r>
          </w:p>
        </w:tc>
      </w:tr>
      <w:tr w:rsidR="00E73300" w14:paraId="2EE4B35D"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2EE4B35B" w14:textId="77777777" w:rsidR="00E73300" w:rsidRDefault="00A3128C">
            <w:r>
              <w:rPr>
                <w:sz w:val="20"/>
                <w:szCs w:val="20"/>
              </w:rPr>
              <w:t>4. Datos faltantes</w:t>
            </w:r>
          </w:p>
        </w:tc>
        <w:tc>
          <w:tcPr>
            <w:tcW w:w="6711" w:type="dxa"/>
            <w:tcMar>
              <w:top w:w="60" w:type="dxa"/>
              <w:left w:w="100" w:type="dxa"/>
              <w:bottom w:w="60" w:type="dxa"/>
              <w:right w:w="100" w:type="dxa"/>
            </w:tcMar>
            <w:vAlign w:val="center"/>
          </w:tcPr>
          <w:p w14:paraId="2EE4B35C" w14:textId="77777777" w:rsidR="00E73300" w:rsidRDefault="00A3128C">
            <w:r>
              <w:rPr>
                <w:sz w:val="20"/>
                <w:szCs w:val="20"/>
              </w:rPr>
              <w:t>diagnostico_faltantes, validar_imputacion_precio, imputar_precio, tratar_faltantes, grafico_faltantes</w:t>
            </w:r>
          </w:p>
        </w:tc>
      </w:tr>
      <w:tr w:rsidR="00E73300" w14:paraId="2EE4B360"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2EE4B35E" w14:textId="77777777" w:rsidR="00E73300" w:rsidRDefault="00A3128C">
            <w:r>
              <w:rPr>
                <w:sz w:val="20"/>
                <w:szCs w:val="20"/>
              </w:rPr>
              <w:t>5. Datos atípicos</w:t>
            </w:r>
          </w:p>
        </w:tc>
        <w:tc>
          <w:tcPr>
            <w:tcW w:w="6711" w:type="dxa"/>
            <w:tcMar>
              <w:top w:w="60" w:type="dxa"/>
              <w:left w:w="100" w:type="dxa"/>
              <w:bottom w:w="60" w:type="dxa"/>
              <w:right w:w="100" w:type="dxa"/>
            </w:tcMar>
            <w:vAlign w:val="center"/>
          </w:tcPr>
          <w:p w14:paraId="2EE4B35F" w14:textId="77777777" w:rsidR="00E73300" w:rsidRDefault="00A3128C">
            <w:r>
              <w:rPr>
                <w:sz w:val="20"/>
                <w:szCs w:val="20"/>
              </w:rPr>
              <w:t>detectar_atipicos, atipicos_contextuales, impacto_atipicos, grafico_atipicos</w:t>
            </w:r>
          </w:p>
        </w:tc>
      </w:tr>
      <w:tr w:rsidR="00E73300" w14:paraId="2EE4B363" w14:textId="77777777">
        <w:tblPrEx>
          <w:tblCellMar>
            <w:top w:w="0" w:type="dxa"/>
            <w:bottom w:w="0" w:type="dxa"/>
          </w:tblCellMar>
        </w:tblPrEx>
        <w:trPr>
          <w:cantSplit/>
        </w:trPr>
        <w:tc>
          <w:tcPr>
            <w:tcW w:w="2359" w:type="dxa"/>
            <w:tcMar>
              <w:top w:w="60" w:type="dxa"/>
              <w:left w:w="100" w:type="dxa"/>
              <w:bottom w:w="60" w:type="dxa"/>
              <w:right w:w="100" w:type="dxa"/>
            </w:tcMar>
            <w:vAlign w:val="center"/>
          </w:tcPr>
          <w:p w14:paraId="2EE4B361" w14:textId="77777777" w:rsidR="00E73300" w:rsidRDefault="00A3128C">
            <w:r>
              <w:rPr>
                <w:sz w:val="20"/>
                <w:szCs w:val="20"/>
              </w:rPr>
              <w:t>6. Análisis comparativo</w:t>
            </w:r>
          </w:p>
        </w:tc>
        <w:tc>
          <w:tcPr>
            <w:tcW w:w="6711" w:type="dxa"/>
            <w:tcMar>
              <w:top w:w="60" w:type="dxa"/>
              <w:left w:w="100" w:type="dxa"/>
              <w:bottom w:w="60" w:type="dxa"/>
              <w:right w:w="100" w:type="dxa"/>
            </w:tcMar>
            <w:vAlign w:val="center"/>
          </w:tcPr>
          <w:p w14:paraId="2EE4B362" w14:textId="77777777" w:rsidR="00E73300" w:rsidRDefault="00A3128C">
            <w:r>
              <w:rPr>
                <w:sz w:val="20"/>
                <w:szCs w:val="20"/>
              </w:rPr>
              <w:t>extraer_anio, analisis_temporal, efecto_catador, mejor_relacion_calidad_precio, grafico_comparativo</w:t>
            </w:r>
          </w:p>
        </w:tc>
      </w:tr>
    </w:tbl>
    <w:p w14:paraId="2EE4B364" w14:textId="77777777" w:rsidR="00E73300" w:rsidRDefault="00E73300">
      <w:pPr>
        <w:spacing w:after="240"/>
      </w:pPr>
    </w:p>
    <w:p w14:paraId="2EE4B365" w14:textId="77777777" w:rsidR="00E73300" w:rsidRDefault="00A3128C">
      <w:pPr>
        <w:ind w:firstLine="720"/>
        <w:jc w:val="both"/>
      </w:pPr>
      <w:r>
        <w:t>La función de carga incorpora aserciones que verifican la forma del conjunto y el tipo de las variables numéricas, de modo que el script falle de manera visible si el archivo de origen cambia, en lugar de continuar sobre datos distintos de los analizados.</w:t>
      </w:r>
    </w:p>
    <w:sectPr w:rsidR="00E73300">
      <w:headerReference w:type="default" r:id="rId15"/>
      <w:footerReference w:type="default" r:id="rId16"/>
      <w:pgSz w:w="11906" w:h="16838"/>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21BCF" w14:textId="77777777" w:rsidR="00A3128C" w:rsidRDefault="00A3128C">
      <w:pPr>
        <w:spacing w:after="0" w:line="240" w:lineRule="auto"/>
      </w:pPr>
      <w:r>
        <w:separator/>
      </w:r>
    </w:p>
  </w:endnote>
  <w:endnote w:type="continuationSeparator" w:id="0">
    <w:p w14:paraId="30CEC18B" w14:textId="77777777" w:rsidR="00A3128C" w:rsidRDefault="00A312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4B377" w14:textId="0B077DA1" w:rsidR="00E73300" w:rsidRDefault="00A3128C">
    <w:pPr>
      <w:pBdr>
        <w:top w:val="single" w:sz="4" w:space="6" w:color="999999"/>
      </w:pBdr>
      <w:jc w:val="center"/>
    </w:pPr>
    <w:r>
      <w:rPr>
        <w:color w:val="555555"/>
        <w:sz w:val="18"/>
        <w:szCs w:val="18"/>
      </w:rPr>
      <w:t xml:space="preserve">Lucas Llano  |  Página </w:t>
    </w:r>
    <w:r>
      <w:rPr>
        <w:color w:val="555555"/>
        <w:sz w:val="18"/>
        <w:szCs w:val="18"/>
      </w:rPr>
      <w:fldChar w:fldCharType="begin"/>
    </w:r>
    <w:r>
      <w:rPr>
        <w:color w:val="555555"/>
        <w:sz w:val="18"/>
        <w:szCs w:val="18"/>
      </w:rPr>
      <w:instrText>PAGE</w:instrText>
    </w:r>
    <w:r>
      <w:rPr>
        <w:color w:val="555555"/>
        <w:sz w:val="18"/>
        <w:szCs w:val="18"/>
      </w:rPr>
      <w:fldChar w:fldCharType="separate"/>
    </w:r>
    <w:r w:rsidR="00D543FF">
      <w:rPr>
        <w:noProof/>
        <w:color w:val="555555"/>
        <w:sz w:val="18"/>
        <w:szCs w:val="18"/>
      </w:rPr>
      <w:t>1</w:t>
    </w:r>
    <w:r>
      <w:rPr>
        <w:color w:val="555555"/>
        <w:sz w:val="18"/>
        <w:szCs w:val="18"/>
      </w:rPr>
      <w:fldChar w:fldCharType="end"/>
    </w:r>
    <w:r>
      <w:rPr>
        <w:color w:val="555555"/>
        <w:sz w:val="18"/>
        <w:szCs w:val="18"/>
      </w:rPr>
      <w:t xml:space="preserve"> de </w:t>
    </w:r>
    <w:r>
      <w:rPr>
        <w:color w:val="555555"/>
        <w:sz w:val="18"/>
        <w:szCs w:val="18"/>
      </w:rPr>
      <w:fldChar w:fldCharType="begin"/>
    </w:r>
    <w:r>
      <w:rPr>
        <w:color w:val="555555"/>
        <w:sz w:val="18"/>
        <w:szCs w:val="18"/>
      </w:rPr>
      <w:instrText>NUMPAGES</w:instrText>
    </w:r>
    <w:r>
      <w:rPr>
        <w:color w:val="555555"/>
        <w:sz w:val="18"/>
        <w:szCs w:val="18"/>
      </w:rPr>
      <w:fldChar w:fldCharType="separate"/>
    </w:r>
    <w:r w:rsidR="00D543FF">
      <w:rPr>
        <w:noProof/>
        <w:color w:val="555555"/>
        <w:sz w:val="18"/>
        <w:szCs w:val="18"/>
      </w:rPr>
      <w:t>3</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D50D4" w14:textId="77777777" w:rsidR="00A3128C" w:rsidRDefault="00A3128C">
      <w:pPr>
        <w:spacing w:after="0" w:line="240" w:lineRule="auto"/>
      </w:pPr>
      <w:r>
        <w:separator/>
      </w:r>
    </w:p>
  </w:footnote>
  <w:footnote w:type="continuationSeparator" w:id="0">
    <w:p w14:paraId="2EE7EEF5" w14:textId="77777777" w:rsidR="00A3128C" w:rsidRDefault="00A312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4B376" w14:textId="77777777" w:rsidR="00E73300" w:rsidRDefault="00A3128C">
    <w:pPr>
      <w:pBdr>
        <w:bottom w:val="single" w:sz="4" w:space="6" w:color="999999"/>
      </w:pBdr>
      <w:jc w:val="right"/>
    </w:pPr>
    <w:r>
      <w:rPr>
        <w:i/>
        <w:iCs/>
        <w:color w:val="555555"/>
        <w:sz w:val="18"/>
        <w:szCs w:val="18"/>
      </w:rPr>
      <w:t>Análisis exploratorio de datos de reseñas de vinos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3768E"/>
    <w:multiLevelType w:val="hybridMultilevel"/>
    <w:tmpl w:val="2B942C40"/>
    <w:lvl w:ilvl="0" w:tplc="1584ACA6">
      <w:start w:val="1"/>
      <w:numFmt w:val="bullet"/>
      <w:lvlText w:val="●"/>
      <w:lvlJc w:val="left"/>
      <w:pPr>
        <w:ind w:left="720" w:hanging="360"/>
      </w:pPr>
    </w:lvl>
    <w:lvl w:ilvl="1" w:tplc="0B8412A8">
      <w:start w:val="1"/>
      <w:numFmt w:val="bullet"/>
      <w:lvlText w:val="○"/>
      <w:lvlJc w:val="left"/>
      <w:pPr>
        <w:ind w:left="1440" w:hanging="360"/>
      </w:pPr>
    </w:lvl>
    <w:lvl w:ilvl="2" w:tplc="134CBA6A">
      <w:start w:val="1"/>
      <w:numFmt w:val="bullet"/>
      <w:lvlText w:val="■"/>
      <w:lvlJc w:val="left"/>
      <w:pPr>
        <w:ind w:left="2160" w:hanging="360"/>
      </w:pPr>
    </w:lvl>
    <w:lvl w:ilvl="3" w:tplc="1076C7C6">
      <w:start w:val="1"/>
      <w:numFmt w:val="bullet"/>
      <w:lvlText w:val="●"/>
      <w:lvlJc w:val="left"/>
      <w:pPr>
        <w:ind w:left="2880" w:hanging="360"/>
      </w:pPr>
    </w:lvl>
    <w:lvl w:ilvl="4" w:tplc="AAC01910">
      <w:start w:val="1"/>
      <w:numFmt w:val="bullet"/>
      <w:lvlText w:val="○"/>
      <w:lvlJc w:val="left"/>
      <w:pPr>
        <w:ind w:left="3600" w:hanging="360"/>
      </w:pPr>
    </w:lvl>
    <w:lvl w:ilvl="5" w:tplc="F1AE5F4A">
      <w:start w:val="1"/>
      <w:numFmt w:val="bullet"/>
      <w:lvlText w:val="■"/>
      <w:lvlJc w:val="left"/>
      <w:pPr>
        <w:ind w:left="4320" w:hanging="360"/>
      </w:pPr>
    </w:lvl>
    <w:lvl w:ilvl="6" w:tplc="0BD8CE48">
      <w:start w:val="1"/>
      <w:numFmt w:val="bullet"/>
      <w:lvlText w:val="●"/>
      <w:lvlJc w:val="left"/>
      <w:pPr>
        <w:ind w:left="5040" w:hanging="360"/>
      </w:pPr>
    </w:lvl>
    <w:lvl w:ilvl="7" w:tplc="338AA76C">
      <w:start w:val="1"/>
      <w:numFmt w:val="bullet"/>
      <w:lvlText w:val="●"/>
      <w:lvlJc w:val="left"/>
      <w:pPr>
        <w:ind w:left="5760" w:hanging="360"/>
      </w:pPr>
    </w:lvl>
    <w:lvl w:ilvl="8" w:tplc="66A062F4">
      <w:start w:val="1"/>
      <w:numFmt w:val="bullet"/>
      <w:lvlText w:val="●"/>
      <w:lvlJc w:val="left"/>
      <w:pPr>
        <w:ind w:left="6480" w:hanging="360"/>
      </w:pPr>
    </w:lvl>
  </w:abstractNum>
  <w:abstractNum w:abstractNumId="1" w15:restartNumberingAfterBreak="0">
    <w:nsid w:val="4A381BCB"/>
    <w:multiLevelType w:val="hybridMultilevel"/>
    <w:tmpl w:val="C94873BA"/>
    <w:lvl w:ilvl="0" w:tplc="0A5CE582">
      <w:start w:val="1"/>
      <w:numFmt w:val="bullet"/>
      <w:lvlText w:val="•"/>
      <w:lvlJc w:val="left"/>
      <w:pPr>
        <w:ind w:left="720" w:hanging="360"/>
      </w:pPr>
    </w:lvl>
    <w:lvl w:ilvl="1" w:tplc="528C4F82">
      <w:numFmt w:val="decimal"/>
      <w:lvlText w:val=""/>
      <w:lvlJc w:val="left"/>
    </w:lvl>
    <w:lvl w:ilvl="2" w:tplc="C554A738">
      <w:numFmt w:val="decimal"/>
      <w:lvlText w:val=""/>
      <w:lvlJc w:val="left"/>
    </w:lvl>
    <w:lvl w:ilvl="3" w:tplc="88828C94">
      <w:numFmt w:val="decimal"/>
      <w:lvlText w:val=""/>
      <w:lvlJc w:val="left"/>
    </w:lvl>
    <w:lvl w:ilvl="4" w:tplc="75ACDEF8">
      <w:numFmt w:val="decimal"/>
      <w:lvlText w:val=""/>
      <w:lvlJc w:val="left"/>
    </w:lvl>
    <w:lvl w:ilvl="5" w:tplc="9572D4BE">
      <w:numFmt w:val="decimal"/>
      <w:lvlText w:val=""/>
      <w:lvlJc w:val="left"/>
    </w:lvl>
    <w:lvl w:ilvl="6" w:tplc="298C3820">
      <w:numFmt w:val="decimal"/>
      <w:lvlText w:val=""/>
      <w:lvlJc w:val="left"/>
    </w:lvl>
    <w:lvl w:ilvl="7" w:tplc="9992044C">
      <w:numFmt w:val="decimal"/>
      <w:lvlText w:val=""/>
      <w:lvlJc w:val="left"/>
    </w:lvl>
    <w:lvl w:ilvl="8" w:tplc="1AD4A1C8">
      <w:numFmt w:val="decimal"/>
      <w:lvlText w:val=""/>
      <w:lvlJc w:val="left"/>
    </w:lvl>
  </w:abstractNum>
  <w:num w:numId="1" w16cid:durableId="30494729">
    <w:abstractNumId w:val="0"/>
    <w:lvlOverride w:ilvl="0">
      <w:startOverride w:val="1"/>
    </w:lvlOverride>
  </w:num>
  <w:num w:numId="2" w16cid:durableId="9744805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300"/>
    <w:rsid w:val="006E690E"/>
    <w:rsid w:val="00A3128C"/>
    <w:rsid w:val="00D543FF"/>
    <w:rsid w:val="00E73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E4B155"/>
  <w15:docId w15:val="{A7ABABB3-035F-4A81-A8C1-B93305CDB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28"/>
      <w:szCs w:val="28"/>
    </w:rPr>
  </w:style>
  <w:style w:type="paragraph" w:styleId="Heading2">
    <w:name w:val="heading 2"/>
    <w:uiPriority w:val="9"/>
    <w:unhideWhenUsed/>
    <w:qFormat/>
    <w:pPr>
      <w:spacing w:before="280" w:after="140"/>
      <w:outlineLvl w:val="1"/>
    </w:pPr>
    <w:rPr>
      <w:b/>
      <w:bCs/>
      <w:i/>
      <w:i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543FF"/>
    <w:pPr>
      <w:spacing w:after="100"/>
    </w:pPr>
  </w:style>
  <w:style w:type="paragraph" w:styleId="TOC2">
    <w:name w:val="toc 2"/>
    <w:basedOn w:val="Normal"/>
    <w:next w:val="Normal"/>
    <w:autoRedefine/>
    <w:uiPriority w:val="39"/>
    <w:unhideWhenUsed/>
    <w:rsid w:val="00D543F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5343</Words>
  <Characters>28896</Characters>
  <Application>Microsoft Office Word</Application>
  <DocSecurity>0</DocSecurity>
  <Lines>733</Lines>
  <Paragraphs>454</Paragraphs>
  <ScaleCrop>false</ScaleCrop>
  <Company/>
  <LinksUpToDate>false</LinksUpToDate>
  <CharactersWithSpaces>33789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de datos de reseñas de vinos</dc:title>
  <dc:creator>Lucas Llano</dc:creator>
  <dc:description>Trabajo Práctico 2 — Análisis exploratorio de datos de reseñas de vinos</dc:description>
  <cp:lastModifiedBy>Lucas Llano</cp:lastModifiedBy>
  <cp:revision>2</cp:revision>
  <dcterms:created xsi:type="dcterms:W3CDTF">2026-09-22T18:53:00Z</dcterms:created>
  <dcterms:modified xsi:type="dcterms:W3CDTF">2026-09-22T18:53:00Z</dcterms:modified>
</cp:coreProperties>
</file>