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D8F90">
      <w:pPr>
        <w:pStyle w:val="31"/>
      </w:pPr>
      <w:r>
        <w:rPr>
          <w:rFonts w:ascii="微软雅黑" w:hAnsi="微软雅黑" w:eastAsia="微软雅黑"/>
        </w:rPr>
        <w:t>面向光子芯片智能设计的三方向技术调研</w:t>
      </w:r>
    </w:p>
    <w:p w14:paraId="6FFBFADF">
      <w:pPr>
        <w:pStyle w:val="26"/>
      </w:pPr>
      <w:r>
        <w:rPr>
          <w:rFonts w:ascii="微软雅黑" w:hAnsi="微软雅黑" w:eastAsia="微软雅黑"/>
        </w:rPr>
        <w:t>DAS 光电混合集成、光子人工智能计算与 Agentic PIC Design</w:t>
      </w:r>
    </w:p>
    <w:p w14:paraId="08469432">
      <w:pPr>
        <w:spacing w:after="60"/>
      </w:pPr>
      <w:r>
        <w:rPr>
          <w:rFonts w:ascii="微软雅黑" w:hAnsi="微软雅黑" w:eastAsia="微软雅黑"/>
          <w:b/>
          <w:sz w:val="19"/>
        </w:rPr>
        <w:t>项目</w:t>
      </w:r>
      <w:r>
        <w:rPr>
          <w:rFonts w:ascii="微软雅黑" w:hAnsi="微软雅黑" w:eastAsia="微软雅黑"/>
          <w:sz w:val="19"/>
        </w:rPr>
        <w:t>：PIC_Harness_Research</w:t>
      </w:r>
    </w:p>
    <w:p w14:paraId="4A88131F">
      <w:pPr>
        <w:spacing w:after="60"/>
      </w:pPr>
      <w:r>
        <w:rPr>
          <w:rFonts w:ascii="微软雅黑" w:hAnsi="微软雅黑" w:eastAsia="微软雅黑"/>
          <w:b/>
          <w:sz w:val="19"/>
        </w:rPr>
        <w:t>任务</w:t>
      </w:r>
      <w:r>
        <w:rPr>
          <w:rFonts w:ascii="微软雅黑" w:hAnsi="微软雅黑" w:eastAsia="微软雅黑"/>
          <w:sz w:val="19"/>
        </w:rPr>
        <w:t>：TASK-007｜正式调研报告与组会汇报</w:t>
      </w:r>
    </w:p>
    <w:p w14:paraId="11B4FC9C">
      <w:pPr>
        <w:spacing w:after="60"/>
        <w:rPr>
          <w:rFonts w:hint="eastAsia" w:eastAsia="微软雅黑"/>
          <w:lang w:eastAsia="zh-CN"/>
        </w:rPr>
      </w:pPr>
      <w:r>
        <w:rPr>
          <w:rFonts w:ascii="微软雅黑" w:hAnsi="微软雅黑" w:eastAsia="微软雅黑"/>
          <w:b/>
          <w:sz w:val="19"/>
        </w:rPr>
        <w:t>证据截止</w:t>
      </w:r>
      <w:r>
        <w:rPr>
          <w:rFonts w:ascii="微软雅黑" w:hAnsi="微软雅黑" w:eastAsia="微软雅黑"/>
          <w:sz w:val="19"/>
        </w:rPr>
        <w:t>：2026-09-2</w:t>
      </w:r>
      <w:r>
        <w:rPr>
          <w:rFonts w:hint="eastAsia"/>
          <w:sz w:val="19"/>
          <w:lang w:val="en-US" w:eastAsia="zh-CN"/>
        </w:rPr>
        <w:t>9</w:t>
      </w:r>
      <w:bookmarkStart w:id="0" w:name="_GoBack"/>
      <w:bookmarkEnd w:id="0"/>
    </w:p>
    <w:p w14:paraId="2583A647">
      <w:pPr>
        <w:pStyle w:val="4"/>
      </w:pPr>
      <w:r>
        <w:rPr>
          <w:rFonts w:ascii="微软雅黑" w:hAnsi="微软雅黑" w:eastAsia="微软雅黑"/>
        </w:rPr>
        <w:t>摘要</w:t>
      </w:r>
    </w:p>
    <w:p w14:paraId="6E29F983">
      <w:r>
        <w:rPr>
          <w:rFonts w:ascii="微软雅黑" w:hAnsi="微软雅黑" w:eastAsia="微软雅黑"/>
        </w:rPr>
        <w:t>本报告围绕三个层次递进、但不能相互替代的课题目标展开：第一，人工智能辅助设计一款分布式声学传感（Distributed Acoustic Sensing，DAS）光电混合集成芯片并贯通设计流程；第二，将人工智能推理计算映射到光子硬件；第三，建立能够调用设计、仿真、优化和验证工具的光子芯片设计 Agent Harness。报告综合 TASK-004 至 TASK-006 的已验收成果，并对影响路线判断的代表论文、公开代码和官方资料进行了定向全文核证。</w:t>
      </w:r>
    </w:p>
    <w:p w14:paraId="574DC9DE">
      <w:r>
        <w:rPr>
          <w:rFonts w:ascii="微软雅黑" w:hAnsi="微软雅黑" w:eastAsia="微软雅黑"/>
        </w:rPr>
        <w:t>调研显示，DAS 方向已经有硅光集成收发前端、高消光比调制器、微梳并行传感和 InP–SOI 混合集成窄线宽激光模块进入真实系统实验，但激光、放大、环行、电子采集、数字信号处理、封装与长期稳定性仍常以片外或未充分报告的形式存在。当前未发现公开证据证明人工智能 Agent 已端到端设计并物理验证一款 DAS 光电混合集成芯片。光子人工智能计算已经从核心算子演示发展到真实模型或任务的芯片/系统实验，涵盖干涉网格、微环/波分/微梳和衍射架构；然而，器件误差、校准、激光、光电转换、控制、存储和数据移动的边界并不统一，核心 TOPS/W 不能直接等同完整系统优势。Agentic PIC Design 则已出现自然语言到结构化电路、脚本生成、真实仿真在环、自动评价和工具适配等局部闭环，但没有一套公开、可复现的系统同时覆盖可靠需求表示、确定性工具调用、器件/电路仿真、版图、DRC/LVS、PDK 合规、失败恢复和 foundry signoff。</w:t>
      </w:r>
    </w:p>
    <w:p w14:paraId="5FEEB878">
      <w:r>
        <w:rPr>
          <w:rFonts w:ascii="微软雅黑" w:hAnsi="微软雅黑" w:eastAsia="微软雅黑"/>
        </w:rPr>
        <w:t>因此，本报告不预设最终方向，而提出三条供进一步讨论的候选路线：证据优先的 Agentic PIC Harness 方法研究；DAS 系统需求到光电混合集成约束的可追溯传播；光子 AI 的器件误差—任务精度—系统成本联合证据链。三者的共同核心不是“让 LLM 多生成代码”，而是建立明确的系统边界、确定性工具证据、分层验证和诚实的结论强度。</w:t>
      </w:r>
    </w:p>
    <w:p w14:paraId="669189DD">
      <w:r>
        <w:rPr>
          <w:rFonts w:ascii="微软雅黑" w:hAnsi="微软雅黑" w:eastAsia="微软雅黑"/>
          <w:b/>
        </w:rPr>
        <w:t>关键词</w:t>
      </w:r>
      <w:r>
        <w:rPr>
          <w:rFonts w:ascii="微软雅黑" w:hAnsi="微软雅黑" w:eastAsia="微软雅黑"/>
        </w:rPr>
        <w:t>：光子集成电路；分布式声学传感；光电混合集成；光子人工智能；Agent Harness；仿真在环；设计验证；证据追溯</w:t>
      </w:r>
    </w:p>
    <w:p w14:paraId="10973301">
      <w:pPr>
        <w:pStyle w:val="3"/>
      </w:pPr>
      <w:r>
        <w:rPr>
          <w:rFonts w:ascii="微软雅黑" w:hAnsi="微软雅黑" w:eastAsia="微软雅黑"/>
        </w:rPr>
        <w:t>第一章 研究背景、问题范围与方法</w:t>
      </w:r>
    </w:p>
    <w:p w14:paraId="217C3372">
      <w:pPr>
        <w:pStyle w:val="4"/>
      </w:pPr>
      <w:r>
        <w:rPr>
          <w:rFonts w:ascii="微软雅黑" w:hAnsi="微软雅黑" w:eastAsia="微软雅黑"/>
        </w:rPr>
        <w:t>1.1 三层课题目标</w:t>
      </w:r>
    </w:p>
    <w:p w14:paraId="1D34DAAD">
      <w:r>
        <w:rPr>
          <w:rFonts w:ascii="微软雅黑" w:hAnsi="微软雅黑" w:eastAsia="微软雅黑"/>
        </w:rPr>
        <w:t>程教授提出的三个目标对应不同的研究对象和成功含义。</w:t>
      </w:r>
    </w:p>
    <w:tbl>
      <w:tblPr>
        <w:tblStyle w:val="32"/>
        <w:tblW w:w="0" w:type="auto"/>
        <w:tblInd w:w="0" w:type="dxa"/>
        <w:tblLayout w:type="fixed"/>
        <w:tblCellMar>
          <w:top w:w="0" w:type="dxa"/>
          <w:left w:w="108" w:type="dxa"/>
          <w:bottom w:w="0" w:type="dxa"/>
          <w:right w:w="108" w:type="dxa"/>
        </w:tblCellMar>
      </w:tblPr>
      <w:tblGrid>
        <w:gridCol w:w="2469"/>
        <w:gridCol w:w="2469"/>
        <w:gridCol w:w="2469"/>
        <w:gridCol w:w="2469"/>
      </w:tblGrid>
      <w:tr w14:paraId="5FCCFC25">
        <w:tblPrEx>
          <w:tblCellMar>
            <w:top w:w="0" w:type="dxa"/>
            <w:left w:w="108" w:type="dxa"/>
            <w:bottom w:w="0" w:type="dxa"/>
            <w:right w:w="108" w:type="dxa"/>
          </w:tblCellMar>
        </w:tblPrEx>
        <w:trPr>
          <w:cantSplit/>
          <w:tblHeader/>
        </w:trPr>
        <w:tc>
          <w:tcPr>
            <w:tcW w:w="1579"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4389A48C">
            <w:pPr>
              <w:spacing w:after="0" w:line="278" w:lineRule="auto"/>
            </w:pPr>
            <w:r>
              <w:rPr>
                <w:rFonts w:ascii="微软雅黑" w:hAnsi="微软雅黑" w:eastAsia="微软雅黑"/>
                <w:b/>
                <w:color w:val="FFFFFF"/>
                <w:sz w:val="17"/>
              </w:rPr>
              <w:t>层级</w:t>
            </w:r>
          </w:p>
        </w:tc>
        <w:tc>
          <w:tcPr>
            <w:tcW w:w="2407"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64A4270C">
            <w:pPr>
              <w:spacing w:after="0" w:line="278" w:lineRule="auto"/>
            </w:pPr>
            <w:r>
              <w:rPr>
                <w:rFonts w:ascii="微软雅黑" w:hAnsi="微软雅黑" w:eastAsia="微软雅黑"/>
                <w:b/>
                <w:color w:val="FFFFFF"/>
                <w:sz w:val="17"/>
              </w:rPr>
              <w:t>目标</w:t>
            </w:r>
          </w:p>
        </w:tc>
        <w:tc>
          <w:tcPr>
            <w:tcW w:w="3004"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2EAD5001">
            <w:pPr>
              <w:spacing w:after="0" w:line="278" w:lineRule="auto"/>
            </w:pPr>
            <w:r>
              <w:rPr>
                <w:rFonts w:ascii="微软雅黑" w:hAnsi="微软雅黑" w:eastAsia="微软雅黑"/>
                <w:b/>
                <w:color w:val="FFFFFF"/>
                <w:sz w:val="17"/>
              </w:rPr>
              <w:t>核心对象</w:t>
            </w:r>
          </w:p>
        </w:tc>
        <w:tc>
          <w:tcPr>
            <w:tcW w:w="2888"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17D4BD36">
            <w:pPr>
              <w:spacing w:after="0" w:line="278" w:lineRule="auto"/>
            </w:pPr>
            <w:r>
              <w:rPr>
                <w:rFonts w:ascii="微软雅黑" w:hAnsi="微软雅黑" w:eastAsia="微软雅黑"/>
                <w:b/>
                <w:color w:val="FFFFFF"/>
                <w:sz w:val="17"/>
              </w:rPr>
              <w:t>当前报告回答的问题</w:t>
            </w:r>
          </w:p>
        </w:tc>
      </w:tr>
      <w:tr w14:paraId="3834890A">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02FCC18">
            <w:pPr>
              <w:spacing w:after="0" w:line="278" w:lineRule="auto"/>
            </w:pPr>
            <w:r>
              <w:rPr>
                <w:rFonts w:ascii="微软雅黑" w:hAnsi="微软雅黑" w:eastAsia="微软雅黑"/>
                <w:sz w:val="17"/>
              </w:rPr>
              <w:t>保底目标</w:t>
            </w:r>
          </w:p>
        </w:tc>
        <w:tc>
          <w:tcPr>
            <w:tcW w:w="240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47CA071">
            <w:pPr>
              <w:spacing w:after="0" w:line="278" w:lineRule="auto"/>
            </w:pPr>
            <w:r>
              <w:rPr>
                <w:rFonts w:ascii="微软雅黑" w:hAnsi="微软雅黑" w:eastAsia="微软雅黑"/>
                <w:sz w:val="17"/>
              </w:rPr>
              <w:t>AI 设计 DAS 光电混合集成芯片并跑通流程</w:t>
            </w:r>
          </w:p>
        </w:tc>
        <w:tc>
          <w:tcPr>
            <w:tcW w:w="300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2B0329B9">
            <w:pPr>
              <w:spacing w:after="0" w:line="278" w:lineRule="auto"/>
            </w:pPr>
            <w:r>
              <w:rPr>
                <w:rFonts w:ascii="微软雅黑" w:hAnsi="微软雅黑" w:eastAsia="微软雅黑"/>
                <w:sz w:val="17"/>
              </w:rPr>
              <w:t>传感系统、PIC、电子、封装、设计工具</w:t>
            </w:r>
          </w:p>
        </w:tc>
        <w:tc>
          <w:tcPr>
            <w:tcW w:w="288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FBAD219">
            <w:pPr>
              <w:spacing w:after="0" w:line="278" w:lineRule="auto"/>
            </w:pPr>
            <w:r>
              <w:rPr>
                <w:rFonts w:ascii="微软雅黑" w:hAnsi="微软雅黑" w:eastAsia="微软雅黑"/>
                <w:sz w:val="17"/>
              </w:rPr>
              <w:t>哪些物理子系统已有实验基础，需求到设计之间还缺什么？</w:t>
            </w:r>
          </w:p>
        </w:tc>
      </w:tr>
      <w:tr w14:paraId="248A4AA5">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1A0B3472">
            <w:pPr>
              <w:spacing w:after="0" w:line="278" w:lineRule="auto"/>
            </w:pPr>
            <w:r>
              <w:rPr>
                <w:rFonts w:ascii="微软雅黑" w:hAnsi="微软雅黑" w:eastAsia="微软雅黑"/>
                <w:sz w:val="17"/>
              </w:rPr>
              <w:t>中等目标</w:t>
            </w:r>
          </w:p>
        </w:tc>
        <w:tc>
          <w:tcPr>
            <w:tcW w:w="240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7CBFB61E">
            <w:pPr>
              <w:spacing w:after="0" w:line="278" w:lineRule="auto"/>
            </w:pPr>
            <w:r>
              <w:rPr>
                <w:rFonts w:ascii="微软雅黑" w:hAnsi="微软雅黑" w:eastAsia="微软雅黑"/>
                <w:sz w:val="17"/>
              </w:rPr>
              <w:t>将 AI 推理计算集成到光芯片</w:t>
            </w:r>
          </w:p>
        </w:tc>
        <w:tc>
          <w:tcPr>
            <w:tcW w:w="3004"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68257F73">
            <w:pPr>
              <w:spacing w:after="0" w:line="278" w:lineRule="auto"/>
            </w:pPr>
            <w:r>
              <w:rPr>
                <w:rFonts w:ascii="微软雅黑" w:hAnsi="微软雅黑" w:eastAsia="微软雅黑"/>
                <w:sz w:val="17"/>
              </w:rPr>
              <w:t>光学线性核、非线性、存储、控制、光电转换</w:t>
            </w:r>
          </w:p>
        </w:tc>
        <w:tc>
          <w:tcPr>
            <w:tcW w:w="288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487F8CE7">
            <w:pPr>
              <w:spacing w:after="0" w:line="278" w:lineRule="auto"/>
            </w:pPr>
            <w:r>
              <w:rPr>
                <w:rFonts w:ascii="微软雅黑" w:hAnsi="微软雅黑" w:eastAsia="微软雅黑"/>
                <w:sz w:val="17"/>
              </w:rPr>
              <w:t>哪些架构已到芯片/系统级，性能数字的边界是什么？</w:t>
            </w:r>
          </w:p>
        </w:tc>
      </w:tr>
      <w:tr w14:paraId="4EA9230F">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291AE99">
            <w:pPr>
              <w:spacing w:after="0" w:line="278" w:lineRule="auto"/>
            </w:pPr>
            <w:r>
              <w:rPr>
                <w:rFonts w:ascii="微软雅黑" w:hAnsi="微软雅黑" w:eastAsia="微软雅黑"/>
                <w:sz w:val="17"/>
              </w:rPr>
              <w:t>最高目标</w:t>
            </w:r>
          </w:p>
        </w:tc>
        <w:tc>
          <w:tcPr>
            <w:tcW w:w="240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CD03435">
            <w:pPr>
              <w:spacing w:after="0" w:line="278" w:lineRule="auto"/>
            </w:pPr>
            <w:r>
              <w:rPr>
                <w:rFonts w:ascii="微软雅黑" w:hAnsi="微软雅黑" w:eastAsia="微软雅黑"/>
                <w:sz w:val="17"/>
              </w:rPr>
              <w:t>建立通用光芯片设计 Agent Harness</w:t>
            </w:r>
          </w:p>
        </w:tc>
        <w:tc>
          <w:tcPr>
            <w:tcW w:w="300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3732237A">
            <w:pPr>
              <w:spacing w:after="0" w:line="278" w:lineRule="auto"/>
            </w:pPr>
            <w:r>
              <w:rPr>
                <w:rFonts w:ascii="微软雅黑" w:hAnsi="微软雅黑" w:eastAsia="微软雅黑"/>
                <w:sz w:val="17"/>
              </w:rPr>
              <w:t>LLM、状态、知识、工具、求解器、评价器、证据与恢复</w:t>
            </w:r>
          </w:p>
        </w:tc>
        <w:tc>
          <w:tcPr>
            <w:tcW w:w="288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9E82B6D">
            <w:pPr>
              <w:spacing w:after="0" w:line="278" w:lineRule="auto"/>
            </w:pPr>
            <w:r>
              <w:rPr>
                <w:rFonts w:ascii="微软雅黑" w:hAnsi="微软雅黑" w:eastAsia="微软雅黑"/>
                <w:sz w:val="17"/>
              </w:rPr>
              <w:t>哪些闭环能力已经出现，哪些仍未解决或不可复现？</w:t>
            </w:r>
          </w:p>
        </w:tc>
      </w:tr>
    </w:tbl>
    <w:p w14:paraId="6130057A">
      <w:r>
        <w:rPr>
          <w:rFonts w:ascii="微软雅黑" w:hAnsi="微软雅黑" w:eastAsia="微软雅黑"/>
        </w:rPr>
        <w:t>三个目标存在技术联系，但不能用其中一个替代另一个：DAS 芯片是具体物理系统，不因有 Agent 就自动可设计；光子 AI 芯片是在光学域执行计算，不等于“用 AI 设计光芯片”；Agent Harness 是设计方法和执行框架，不是某一光子器件的性能结果。</w:t>
      </w:r>
    </w:p>
    <w:p w14:paraId="208B9449">
      <w:pPr>
        <w:pStyle w:val="4"/>
      </w:pPr>
      <w:r>
        <w:rPr>
          <w:rFonts w:ascii="微软雅黑" w:hAnsi="微软雅黑" w:eastAsia="微软雅黑"/>
        </w:rPr>
        <w:t>1.2 研究问题</w:t>
      </w:r>
    </w:p>
    <w:p w14:paraId="1878CA9F">
      <w:r>
        <w:rPr>
          <w:rFonts w:ascii="微软雅黑" w:hAnsi="微软雅黑" w:eastAsia="微软雅黑"/>
        </w:rPr>
        <w:t>本报告集中回答四组问题：</w:t>
      </w:r>
    </w:p>
    <w:p w14:paraId="625FD9A6">
      <w:pPr>
        <w:spacing w:after="80"/>
        <w:ind w:left="360" w:hanging="360"/>
      </w:pPr>
      <w:r>
        <w:rPr>
          <w:rFonts w:ascii="微软雅黑" w:hAnsi="微软雅黑" w:eastAsia="微软雅黑"/>
        </w:rPr>
        <w:t>1. 三个领域各自有哪些主要技术路线，代表工作实际达到了器件、芯片、模块还是系统层？</w:t>
      </w:r>
    </w:p>
    <w:p w14:paraId="553A69F1">
      <w:pPr>
        <w:spacing w:after="80"/>
        <w:ind w:left="360" w:hanging="360"/>
      </w:pPr>
      <w:r>
        <w:rPr>
          <w:rFonts w:ascii="微软雅黑" w:hAnsi="微软雅黑" w:eastAsia="微软雅黑"/>
        </w:rPr>
        <w:t>2. 哪些结论由论文/代码直接支持，哪些只是作者主张或本项目推论？</w:t>
      </w:r>
    </w:p>
    <w:p w14:paraId="22F07BFA">
      <w:pPr>
        <w:spacing w:after="80"/>
        <w:ind w:left="360" w:hanging="360"/>
      </w:pPr>
      <w:r>
        <w:rPr>
          <w:rFonts w:ascii="微软雅黑" w:hAnsi="微软雅黑" w:eastAsia="微软雅黑"/>
        </w:rPr>
        <w:t>3. 当前关键缺口位于器件性能、跨域约束、工具闭环、验证证据还是系统边界？</w:t>
      </w:r>
    </w:p>
    <w:p w14:paraId="532DA60C">
      <w:pPr>
        <w:spacing w:after="80"/>
        <w:ind w:left="360" w:hanging="360"/>
      </w:pPr>
      <w:r>
        <w:rPr>
          <w:rFonts w:ascii="微软雅黑" w:hAnsi="微软雅黑" w:eastAsia="微软雅黑"/>
        </w:rPr>
        <w:t>4. 在不预设最终方向的前提下，哪些研究问题值得继续讨论？</w:t>
      </w:r>
    </w:p>
    <w:p w14:paraId="6A3B4AE2">
      <w:pPr>
        <w:pStyle w:val="4"/>
      </w:pPr>
      <w:r>
        <w:rPr>
          <w:rFonts w:ascii="微软雅黑" w:hAnsi="微软雅黑" w:eastAsia="微软雅黑"/>
        </w:rPr>
        <w:t>1.3 方法与证据规则</w:t>
      </w:r>
    </w:p>
    <w:p w14:paraId="01064C62">
      <w:r>
        <w:rPr>
          <w:rFonts w:ascii="微软雅黑" w:hAnsi="微软雅黑" w:eastAsia="微软雅黑"/>
        </w:rPr>
        <w:t>本轮采用定向范围综述：以 TASK-004 至 TASK-006 候选池为基础，对会改变路线判断的对象补充全文核读和一手来源核验。检索式、筛选规则和停止规则见</w:t>
      </w:r>
      <w:r>
        <w:fldChar w:fldCharType="begin"/>
      </w:r>
      <w:r>
        <w:instrText xml:space="preserve"> HYPERLINK "https://github.com/LlewynDavis/PIC_Harness_Research/blob/3ed876f5fce34d38a47907d6c68c476f6a51d090/references/task-007/search-and-screening-log.md" \h </w:instrText>
      </w:r>
      <w:r>
        <w:fldChar w:fldCharType="separate"/>
      </w:r>
      <w:r>
        <w:rPr>
          <w:rFonts w:ascii="微软雅黑" w:hAnsi="微软雅黑" w:eastAsia="微软雅黑"/>
          <w:color w:val="205493"/>
        </w:rPr>
        <w:t>检索与筛选记录</w:t>
      </w:r>
      <w:r>
        <w:rPr>
          <w:rFonts w:ascii="微软雅黑" w:hAnsi="微软雅黑" w:eastAsia="微软雅黑"/>
          <w:color w:val="205493"/>
        </w:rPr>
        <w:fldChar w:fldCharType="end"/>
      </w:r>
      <w:r>
        <w:rPr>
          <w:rFonts w:ascii="微软雅黑" w:hAnsi="微软雅黑" w:eastAsia="微软雅黑"/>
        </w:rPr>
        <w:t>，关键正文核证见</w:t>
      </w:r>
      <w:r>
        <w:fldChar w:fldCharType="begin"/>
      </w:r>
      <w:r>
        <w:instrText xml:space="preserve"> HYPERLINK "https://github.com/LlewynDavis/PIC_Harness_Research/blob/3ed876f5fce34d38a47907d6c68c476f6a51d090/references/task-007/full-text-evidence-audit.md" \h </w:instrText>
      </w:r>
      <w:r>
        <w:fldChar w:fldCharType="separate"/>
      </w:r>
      <w:r>
        <w:rPr>
          <w:rFonts w:ascii="微软雅黑" w:hAnsi="微软雅黑" w:eastAsia="微软雅黑"/>
          <w:color w:val="205493"/>
        </w:rPr>
        <w:t>全文证据审计</w:t>
      </w:r>
      <w:r>
        <w:rPr>
          <w:rFonts w:ascii="微软雅黑" w:hAnsi="微软雅黑" w:eastAsia="微软雅黑"/>
          <w:color w:val="205493"/>
        </w:rPr>
        <w:fldChar w:fldCharType="end"/>
      </w:r>
      <w:r>
        <w:rPr>
          <w:rFonts w:ascii="微软雅黑" w:hAnsi="微软雅黑" w:eastAsia="微软雅黑"/>
        </w:rPr>
        <w:t>，统一术语见</w:t>
      </w:r>
      <w:r>
        <w:fldChar w:fldCharType="begin"/>
      </w:r>
      <w:r>
        <w:instrText xml:space="preserve"> HYPERLINK "https://github.com/LlewynDavis/PIC_Harness_Research/blob/3ed876f5fce34d38a47907d6c68c476f6a51d090/references/task-007/terminology-ledger.md" \h </w:instrText>
      </w:r>
      <w:r>
        <w:fldChar w:fldCharType="separate"/>
      </w:r>
      <w:r>
        <w:rPr>
          <w:rFonts w:ascii="微软雅黑" w:hAnsi="微软雅黑" w:eastAsia="微软雅黑"/>
          <w:color w:val="205493"/>
        </w:rPr>
        <w:t>术语表</w:t>
      </w:r>
      <w:r>
        <w:rPr>
          <w:rFonts w:ascii="微软雅黑" w:hAnsi="微软雅黑" w:eastAsia="微软雅黑"/>
          <w:color w:val="205493"/>
        </w:rPr>
        <w:fldChar w:fldCharType="end"/>
      </w:r>
      <w:r>
        <w:rPr>
          <w:rFonts w:ascii="微软雅黑" w:hAnsi="微软雅黑" w:eastAsia="微软雅黑"/>
        </w:rPr>
        <w:t>。本报告不是穷尽式系统综述，不宣称覆盖所有论文。</w:t>
      </w:r>
    </w:p>
    <w:p w14:paraId="26D5F45F">
      <w:r>
        <w:rPr>
          <w:rFonts w:ascii="微软雅黑" w:hAnsi="微软雅黑" w:eastAsia="微软雅黑"/>
        </w:rPr>
        <w:t>材料规模包括 TASK-004 的 20 个 Agentic PIC/Harness 候选、TASK-005 的 6 个核心架构对象，以及 TASK-006 按 DAS 8、光子 AI 12、Agentic PIC/方法 12 形成的 32 篇论文索引。由于这些集合的研究问题和对象类型不同，本报告不把它们伪装为一条 PRISMA 筛选漏斗。</w:t>
      </w:r>
    </w:p>
    <w:p w14:paraId="393F0975">
      <w:r>
        <w:rPr>
          <w:rFonts w:ascii="微软雅黑" w:hAnsi="微软雅黑" w:eastAsia="微软雅黑"/>
        </w:rPr>
        <w:t>全文使用五类标签：</w:t>
      </w:r>
      <w:r>
        <w:rPr>
          <w:rFonts w:ascii="微软雅黑" w:hAnsi="微软雅黑" w:eastAsia="微软雅黑"/>
          <w:color w:val="44546A"/>
        </w:rPr>
        <w:t>FACT</w:t>
      </w:r>
      <w:r>
        <w:rPr>
          <w:rFonts w:ascii="微软雅黑" w:hAnsi="微软雅黑" w:eastAsia="微软雅黑"/>
        </w:rPr>
        <w:t>、</w:t>
      </w:r>
      <w:r>
        <w:rPr>
          <w:rFonts w:ascii="微软雅黑" w:hAnsi="微软雅黑" w:eastAsia="微软雅黑"/>
          <w:color w:val="44546A"/>
        </w:rPr>
        <w:t>AUTHOR CLAIM</w:t>
      </w:r>
      <w:r>
        <w:rPr>
          <w:rFonts w:ascii="微软雅黑" w:hAnsi="微软雅黑" w:eastAsia="微软雅黑"/>
        </w:rPr>
        <w:t>、</w:t>
      </w:r>
      <w:r>
        <w:rPr>
          <w:rFonts w:ascii="微软雅黑" w:hAnsi="微软雅黑" w:eastAsia="微软雅黑"/>
          <w:color w:val="44546A"/>
        </w:rPr>
        <w:t>CODE VERIFIED</w:t>
      </w:r>
      <w:r>
        <w:rPr>
          <w:rFonts w:ascii="微软雅黑" w:hAnsi="微软雅黑" w:eastAsia="微软雅黑"/>
        </w:rPr>
        <w:t>、</w:t>
      </w:r>
      <w:r>
        <w:rPr>
          <w:rFonts w:ascii="微软雅黑" w:hAnsi="微软雅黑" w:eastAsia="微软雅黑"/>
          <w:color w:val="44546A"/>
        </w:rPr>
        <w:t>INFERENCE</w:t>
      </w:r>
      <w:r>
        <w:rPr>
          <w:rFonts w:ascii="微软雅黑" w:hAnsi="微软雅黑" w:eastAsia="微软雅黑"/>
        </w:rPr>
        <w:t xml:space="preserve"> 和 </w:t>
      </w:r>
      <w:r>
        <w:rPr>
          <w:rFonts w:ascii="微软雅黑" w:hAnsi="微软雅黑" w:eastAsia="微软雅黑"/>
          <w:color w:val="44546A"/>
        </w:rPr>
        <w:t>UNKNOWN</w:t>
      </w:r>
      <w:r>
        <w:rPr>
          <w:rFonts w:ascii="微软雅黑" w:hAnsi="微软雅黑" w:eastAsia="微软雅黑"/>
        </w:rPr>
        <w:t>。论文中的指标均属于作者报告，除非另有说明，本项目没有复算、运行或物理复现。对抗性审查主要采用三条原则：寻找最强反例；检查隐藏系统边界；把“工具运行”“物理正确”和“制造签核”分层。</w:t>
      </w:r>
    </w:p>
    <w:p w14:paraId="3182B9B8">
      <w:pPr>
        <w:pStyle w:val="4"/>
      </w:pPr>
      <w:r>
        <w:rPr>
          <w:rFonts w:ascii="微软雅黑" w:hAnsi="微软雅黑" w:eastAsia="微软雅黑"/>
        </w:rPr>
        <w:t>1.4 共同验证层级</w:t>
      </w:r>
    </w:p>
    <w:p w14:paraId="12846D55">
      <w:pPr>
        <w:spacing w:after="180"/>
        <w:ind w:left="432"/>
      </w:pPr>
      <w:r>
        <w:rPr>
          <w:rFonts w:ascii="微软雅黑" w:hAnsi="微软雅黑" w:eastAsia="微软雅黑"/>
          <w:color w:val="34495E"/>
          <w:sz w:val="19"/>
        </w:rPr>
        <w:t>语法有效</w:t>
      </w:r>
      <w:r>
        <w:br w:type="textWrapping"/>
      </w:r>
      <w:r>
        <w:rPr>
          <w:rFonts w:ascii="微软雅黑" w:hAnsi="微软雅黑" w:eastAsia="微软雅黑"/>
          <w:color w:val="34495E"/>
          <w:sz w:val="19"/>
        </w:rPr>
        <w:t>↓</w:t>
      </w:r>
      <w:r>
        <w:br w:type="textWrapping"/>
      </w:r>
      <w:r>
        <w:rPr>
          <w:rFonts w:ascii="微软雅黑" w:hAnsi="微软雅黑" w:eastAsia="微软雅黑"/>
          <w:color w:val="34495E"/>
          <w:sz w:val="19"/>
        </w:rPr>
        <w:t>几何有效</w:t>
      </w:r>
      <w:r>
        <w:br w:type="textWrapping"/>
      </w:r>
      <w:r>
        <w:rPr>
          <w:rFonts w:ascii="微软雅黑" w:hAnsi="微软雅黑" w:eastAsia="微软雅黑"/>
          <w:color w:val="34495E"/>
          <w:sz w:val="19"/>
        </w:rPr>
        <w:t>↓</w:t>
      </w:r>
      <w:r>
        <w:br w:type="textWrapping"/>
      </w:r>
      <w:r>
        <w:rPr>
          <w:rFonts w:ascii="微软雅黑" w:hAnsi="微软雅黑" w:eastAsia="微软雅黑"/>
          <w:color w:val="34495E"/>
          <w:sz w:val="19"/>
        </w:rPr>
        <w:t>DRC</w:t>
      </w:r>
      <w:r>
        <w:br w:type="textWrapping"/>
      </w:r>
      <w:r>
        <w:rPr>
          <w:rFonts w:ascii="微软雅黑" w:hAnsi="微软雅黑" w:eastAsia="微软雅黑"/>
          <w:color w:val="34495E"/>
          <w:sz w:val="19"/>
        </w:rPr>
        <w:t>↓</w:t>
      </w:r>
      <w:r>
        <w:br w:type="textWrapping"/>
      </w:r>
      <w:r>
        <w:rPr>
          <w:rFonts w:ascii="微软雅黑" w:hAnsi="微软雅黑" w:eastAsia="微软雅黑"/>
          <w:color w:val="34495E"/>
          <w:sz w:val="19"/>
        </w:rPr>
        <w:t>电路级仿真</w:t>
      </w:r>
      <w:r>
        <w:br w:type="textWrapping"/>
      </w:r>
      <w:r>
        <w:rPr>
          <w:rFonts w:ascii="微软雅黑" w:hAnsi="微软雅黑" w:eastAsia="微软雅黑"/>
          <w:color w:val="34495E"/>
          <w:sz w:val="19"/>
        </w:rPr>
        <w:t>↓</w:t>
      </w:r>
      <w:r>
        <w:br w:type="textWrapping"/>
      </w:r>
      <w:r>
        <w:rPr>
          <w:rFonts w:ascii="微软雅黑" w:hAnsi="微软雅黑" w:eastAsia="微软雅黑"/>
          <w:color w:val="34495E"/>
          <w:sz w:val="19"/>
        </w:rPr>
        <w:t>全波仿真</w:t>
      </w:r>
      <w:r>
        <w:br w:type="textWrapping"/>
      </w:r>
      <w:r>
        <w:rPr>
          <w:rFonts w:ascii="微软雅黑" w:hAnsi="微软雅黑" w:eastAsia="微软雅黑"/>
          <w:color w:val="34495E"/>
          <w:sz w:val="19"/>
        </w:rPr>
        <w:t>↓</w:t>
      </w:r>
      <w:r>
        <w:br w:type="textWrapping"/>
      </w:r>
      <w:r>
        <w:rPr>
          <w:rFonts w:ascii="微软雅黑" w:hAnsi="微软雅黑" w:eastAsia="微软雅黑"/>
          <w:color w:val="34495E"/>
          <w:sz w:val="19"/>
        </w:rPr>
        <w:t>LVS / 连接一致性</w:t>
      </w:r>
      <w:r>
        <w:br w:type="textWrapping"/>
      </w:r>
      <w:r>
        <w:rPr>
          <w:rFonts w:ascii="微软雅黑" w:hAnsi="微软雅黑" w:eastAsia="微软雅黑"/>
          <w:color w:val="34495E"/>
          <w:sz w:val="19"/>
        </w:rPr>
        <w:t>↓</w:t>
      </w:r>
      <w:r>
        <w:br w:type="textWrapping"/>
      </w:r>
      <w:r>
        <w:rPr>
          <w:rFonts w:ascii="微软雅黑" w:hAnsi="微软雅黑" w:eastAsia="微软雅黑"/>
          <w:color w:val="34495E"/>
          <w:sz w:val="19"/>
        </w:rPr>
        <w:t>PDK 合规</w:t>
      </w:r>
      <w:r>
        <w:br w:type="textWrapping"/>
      </w:r>
      <w:r>
        <w:rPr>
          <w:rFonts w:ascii="微软雅黑" w:hAnsi="微软雅黑" w:eastAsia="微软雅黑"/>
          <w:color w:val="34495E"/>
          <w:sz w:val="19"/>
        </w:rPr>
        <w:t>↓</w:t>
      </w:r>
      <w:r>
        <w:br w:type="textWrapping"/>
      </w:r>
      <w:r>
        <w:rPr>
          <w:rFonts w:ascii="微软雅黑" w:hAnsi="微软雅黑" w:eastAsia="微软雅黑"/>
          <w:color w:val="34495E"/>
          <w:sz w:val="19"/>
        </w:rPr>
        <w:t>工艺角 / 鲁棒性</w:t>
      </w:r>
      <w:r>
        <w:br w:type="textWrapping"/>
      </w:r>
      <w:r>
        <w:rPr>
          <w:rFonts w:ascii="微软雅黑" w:hAnsi="微软雅黑" w:eastAsia="微软雅黑"/>
          <w:color w:val="34495E"/>
          <w:sz w:val="19"/>
        </w:rPr>
        <w:t>↓</w:t>
      </w:r>
      <w:r>
        <w:br w:type="textWrapping"/>
      </w:r>
      <w:r>
        <w:rPr>
          <w:rFonts w:ascii="微软雅黑" w:hAnsi="微软雅黑" w:eastAsia="微软雅黑"/>
          <w:color w:val="34495E"/>
          <w:sz w:val="19"/>
        </w:rPr>
        <w:t>Foundry Signoff</w:t>
      </w:r>
      <w:r>
        <w:br w:type="textWrapping"/>
      </w:r>
      <w:r>
        <w:rPr>
          <w:rFonts w:ascii="微软雅黑" w:hAnsi="微软雅黑" w:eastAsia="微软雅黑"/>
          <w:color w:val="34495E"/>
          <w:sz w:val="19"/>
        </w:rPr>
        <w:t>↓</w:t>
      </w:r>
      <w:r>
        <w:br w:type="textWrapping"/>
      </w:r>
      <w:r>
        <w:rPr>
          <w:rFonts w:ascii="微软雅黑" w:hAnsi="微软雅黑" w:eastAsia="微软雅黑"/>
          <w:color w:val="34495E"/>
          <w:sz w:val="19"/>
        </w:rPr>
        <w:t>流片与系统实验</w:t>
      </w:r>
    </w:p>
    <w:p w14:paraId="54567C62">
      <w:r>
        <w:rPr>
          <w:rFonts w:ascii="微软雅黑" w:hAnsi="微软雅黑" w:eastAsia="微软雅黑"/>
        </w:rPr>
        <w:t>这些层级不可互换。生成 GDS 只证明有版图文件；DRC clean 只证明在给定规则下通过几何检查；调用 FDTD 只证明求解器执行；foundry signoff 和实物系统性能需要更强、不同类型的证据。</w:t>
      </w:r>
    </w:p>
    <w:p w14:paraId="78156756">
      <w:pPr>
        <w:pStyle w:val="3"/>
      </w:pPr>
      <w:r>
        <w:rPr>
          <w:rFonts w:ascii="微软雅黑" w:hAnsi="微软雅黑" w:eastAsia="微软雅黑"/>
        </w:rPr>
        <w:t>第二章 DAS 光电混合集成芯片研究现状</w:t>
      </w:r>
    </w:p>
    <w:p w14:paraId="07A7FA87">
      <w:pPr>
        <w:pStyle w:val="4"/>
      </w:pPr>
      <w:r>
        <w:rPr>
          <w:rFonts w:ascii="微软雅黑" w:hAnsi="微软雅黑" w:eastAsia="微软雅黑"/>
        </w:rPr>
        <w:t>2.1 DAS 原理与系统链路</w:t>
      </w:r>
    </w:p>
    <w:p w14:paraId="0098F7D9">
      <w:r>
        <w:rPr>
          <w:rFonts w:ascii="微软雅黑" w:hAnsi="微软雅黑" w:eastAsia="微软雅黑"/>
        </w:rPr>
        <w:t>DAS 通常把相干光注入传感光纤，利用沿线瑞利后向散射的相位变化恢复位置相关的动态应变或振动。系统性能不是单一器件决定，而是以下链路共同作用：</w:t>
      </w:r>
    </w:p>
    <w:p w14:paraId="6889DA59">
      <w:pPr>
        <w:spacing w:after="180"/>
        <w:ind w:left="432"/>
      </w:pPr>
      <w:r>
        <w:rPr>
          <w:rFonts w:ascii="微软雅黑" w:hAnsi="微软雅黑" w:eastAsia="微软雅黑"/>
          <w:color w:val="34495E"/>
          <w:sz w:val="19"/>
        </w:rPr>
        <w:t>窄线宽光源</w:t>
      </w:r>
      <w:r>
        <w:br w:type="textWrapping"/>
      </w:r>
      <w:r>
        <w:rPr>
          <w:rFonts w:ascii="微软雅黑" w:hAnsi="微软雅黑" w:eastAsia="微软雅黑"/>
          <w:color w:val="34495E"/>
          <w:sz w:val="19"/>
        </w:rPr>
        <w:t>→ 脉冲/扫频调制与放大</w:t>
      </w:r>
      <w:r>
        <w:br w:type="textWrapping"/>
      </w:r>
      <w:r>
        <w:rPr>
          <w:rFonts w:ascii="微软雅黑" w:hAnsi="微软雅黑" w:eastAsia="微软雅黑"/>
          <w:color w:val="34495E"/>
          <w:sz w:val="19"/>
        </w:rPr>
        <w:t>→ 环行/耦合进入传感光纤</w:t>
      </w:r>
      <w:r>
        <w:br w:type="textWrapping"/>
      </w:r>
      <w:r>
        <w:rPr>
          <w:rFonts w:ascii="微软雅黑" w:hAnsi="微软雅黑" w:eastAsia="微软雅黑"/>
          <w:color w:val="34495E"/>
          <w:sz w:val="19"/>
        </w:rPr>
        <w:t>→ 后向散射与本振光</w:t>
      </w:r>
      <w:r>
        <w:br w:type="textWrapping"/>
      </w:r>
      <w:r>
        <w:rPr>
          <w:rFonts w:ascii="微软雅黑" w:hAnsi="微软雅黑" w:eastAsia="微软雅黑"/>
          <w:color w:val="34495E"/>
          <w:sz w:val="19"/>
        </w:rPr>
        <w:t>→ 偏振处理与相干接收</w:t>
      </w:r>
      <w:r>
        <w:br w:type="textWrapping"/>
      </w:r>
      <w:r>
        <w:rPr>
          <w:rFonts w:ascii="微软雅黑" w:hAnsi="微软雅黑" w:eastAsia="微软雅黑"/>
          <w:color w:val="34495E"/>
          <w:sz w:val="19"/>
        </w:rPr>
        <w:t>→ 光电探测、TIA、ADC</w:t>
      </w:r>
      <w:r>
        <w:br w:type="textWrapping"/>
      </w:r>
      <w:r>
        <w:rPr>
          <w:rFonts w:ascii="微软雅黑" w:hAnsi="微软雅黑" w:eastAsia="微软雅黑"/>
          <w:color w:val="34495E"/>
          <w:sz w:val="19"/>
        </w:rPr>
        <w:t>→ 数字解调、滤波与事件分析</w:t>
      </w:r>
    </w:p>
    <w:p w14:paraId="24369916">
      <w:r>
        <w:rPr>
          <w:rFonts w:ascii="微软雅黑" w:hAnsi="微软雅黑" w:eastAsia="微软雅黑"/>
        </w:rPr>
        <w:t>距离受相干性、光纤损耗、放大与接收噪声影响；空间分辨率与脉冲宽度或扫频带宽相关；应变灵敏度受相位噪声、相对强度噪声、接收动态范围、标距、带宽与统计定义共同影响。因而，将不同论文的“最佳距离”“最佳灵敏度”和“最佳分辨率”拼成同一设计目标并不严谨。</w:t>
      </w:r>
    </w:p>
    <w:p w14:paraId="10914C81">
      <w:pPr>
        <w:pStyle w:val="4"/>
      </w:pPr>
      <w:r>
        <w:rPr>
          <w:rFonts w:ascii="微软雅黑" w:hAnsi="微软雅黑" w:eastAsia="微软雅黑"/>
        </w:rPr>
        <w:t>2.2 集成层级必须分开</w:t>
      </w:r>
    </w:p>
    <w:tbl>
      <w:tblPr>
        <w:tblStyle w:val="32"/>
        <w:tblW w:w="0" w:type="auto"/>
        <w:tblInd w:w="0" w:type="dxa"/>
        <w:tblLayout w:type="fixed"/>
        <w:tblCellMar>
          <w:top w:w="0" w:type="dxa"/>
          <w:left w:w="108" w:type="dxa"/>
          <w:bottom w:w="0" w:type="dxa"/>
          <w:right w:w="108" w:type="dxa"/>
        </w:tblCellMar>
      </w:tblPr>
      <w:tblGrid>
        <w:gridCol w:w="2469"/>
        <w:gridCol w:w="2469"/>
        <w:gridCol w:w="2469"/>
        <w:gridCol w:w="2469"/>
      </w:tblGrid>
      <w:tr w14:paraId="34AD3A82">
        <w:tblPrEx>
          <w:tblCellMar>
            <w:top w:w="0" w:type="dxa"/>
            <w:left w:w="108" w:type="dxa"/>
            <w:bottom w:w="0" w:type="dxa"/>
            <w:right w:w="108" w:type="dxa"/>
          </w:tblCellMar>
        </w:tblPrEx>
        <w:trPr>
          <w:cantSplit/>
          <w:tblHeader/>
        </w:trPr>
        <w:tc>
          <w:tcPr>
            <w:tcW w:w="1579"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092E7D70">
            <w:pPr>
              <w:spacing w:after="0" w:line="278" w:lineRule="auto"/>
            </w:pPr>
            <w:r>
              <w:rPr>
                <w:rFonts w:ascii="微软雅黑" w:hAnsi="微软雅黑" w:eastAsia="微软雅黑"/>
                <w:b/>
                <w:color w:val="FFFFFF"/>
                <w:sz w:val="17"/>
              </w:rPr>
              <w:t>集成层级</w:t>
            </w:r>
          </w:p>
        </w:tc>
        <w:tc>
          <w:tcPr>
            <w:tcW w:w="2407"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1F3A0B89">
            <w:pPr>
              <w:spacing w:after="0" w:line="278" w:lineRule="auto"/>
            </w:pPr>
            <w:r>
              <w:rPr>
                <w:rFonts w:ascii="微软雅黑" w:hAnsi="微软雅黑" w:eastAsia="微软雅黑"/>
                <w:b/>
                <w:color w:val="FFFFFF"/>
                <w:sz w:val="17"/>
              </w:rPr>
              <w:t>典型内容</w:t>
            </w:r>
          </w:p>
        </w:tc>
        <w:tc>
          <w:tcPr>
            <w:tcW w:w="3004"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188D4036">
            <w:pPr>
              <w:spacing w:after="0" w:line="278" w:lineRule="auto"/>
            </w:pPr>
            <w:r>
              <w:rPr>
                <w:rFonts w:ascii="微软雅黑" w:hAnsi="微软雅黑" w:eastAsia="微软雅黑"/>
                <w:b/>
                <w:color w:val="FFFFFF"/>
                <w:sz w:val="17"/>
              </w:rPr>
              <w:t>能证明什么</w:t>
            </w:r>
          </w:p>
        </w:tc>
        <w:tc>
          <w:tcPr>
            <w:tcW w:w="2888"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739A5EC1">
            <w:pPr>
              <w:spacing w:after="0" w:line="278" w:lineRule="auto"/>
            </w:pPr>
            <w:r>
              <w:rPr>
                <w:rFonts w:ascii="微软雅黑" w:hAnsi="微软雅黑" w:eastAsia="微软雅黑"/>
                <w:b/>
                <w:color w:val="FFFFFF"/>
                <w:sz w:val="17"/>
              </w:rPr>
              <w:t>不能证明什么</w:t>
            </w:r>
          </w:p>
        </w:tc>
      </w:tr>
      <w:tr w14:paraId="07852850">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288F432D">
            <w:pPr>
              <w:spacing w:after="0" w:line="278" w:lineRule="auto"/>
            </w:pPr>
            <w:r>
              <w:rPr>
                <w:rFonts w:ascii="微软雅黑" w:hAnsi="微软雅黑" w:eastAsia="微软雅黑"/>
                <w:sz w:val="17"/>
              </w:rPr>
              <w:t>单器件</w:t>
            </w:r>
          </w:p>
        </w:tc>
        <w:tc>
          <w:tcPr>
            <w:tcW w:w="240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04A2AC9">
            <w:pPr>
              <w:spacing w:after="0" w:line="278" w:lineRule="auto"/>
            </w:pPr>
            <w:r>
              <w:rPr>
                <w:rFonts w:ascii="微软雅黑" w:hAnsi="微软雅黑" w:eastAsia="微软雅黑"/>
                <w:sz w:val="17"/>
              </w:rPr>
              <w:t>调制器、探测器、激光、微环</w:t>
            </w:r>
          </w:p>
        </w:tc>
        <w:tc>
          <w:tcPr>
            <w:tcW w:w="300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5024C7D">
            <w:pPr>
              <w:spacing w:after="0" w:line="278" w:lineRule="auto"/>
            </w:pPr>
            <w:r>
              <w:rPr>
                <w:rFonts w:ascii="微软雅黑" w:hAnsi="微软雅黑" w:eastAsia="微软雅黑"/>
                <w:sz w:val="17"/>
              </w:rPr>
              <w:t>某器件在给定条件下的性能</w:t>
            </w:r>
          </w:p>
        </w:tc>
        <w:tc>
          <w:tcPr>
            <w:tcW w:w="288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C53D41F">
            <w:pPr>
              <w:spacing w:after="0" w:line="278" w:lineRule="auto"/>
            </w:pPr>
            <w:r>
              <w:rPr>
                <w:rFonts w:ascii="微软雅黑" w:hAnsi="微软雅黑" w:eastAsia="微软雅黑"/>
                <w:sz w:val="17"/>
              </w:rPr>
              <w:t>完整收发或 DAS 系统已集成</w:t>
            </w:r>
          </w:p>
        </w:tc>
      </w:tr>
      <w:tr w14:paraId="087A25E9">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1A3601B5">
            <w:pPr>
              <w:spacing w:after="0" w:line="278" w:lineRule="auto"/>
            </w:pPr>
            <w:r>
              <w:rPr>
                <w:rFonts w:ascii="微软雅黑" w:hAnsi="微软雅黑" w:eastAsia="微软雅黑"/>
                <w:sz w:val="17"/>
              </w:rPr>
              <w:t>PIC</w:t>
            </w:r>
          </w:p>
        </w:tc>
        <w:tc>
          <w:tcPr>
            <w:tcW w:w="240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0B41FB26">
            <w:pPr>
              <w:spacing w:after="0" w:line="278" w:lineRule="auto"/>
            </w:pPr>
            <w:r>
              <w:rPr>
                <w:rFonts w:ascii="微软雅黑" w:hAnsi="微软雅黑" w:eastAsia="微软雅黑"/>
                <w:sz w:val="17"/>
              </w:rPr>
              <w:t>调制、分光、偏振、混频、探测与波导互连</w:t>
            </w:r>
          </w:p>
        </w:tc>
        <w:tc>
          <w:tcPr>
            <w:tcW w:w="3004"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D9F8A40">
            <w:pPr>
              <w:spacing w:after="0" w:line="278" w:lineRule="auto"/>
            </w:pPr>
            <w:r>
              <w:rPr>
                <w:rFonts w:ascii="微软雅黑" w:hAnsi="微软雅黑" w:eastAsia="微软雅黑"/>
                <w:sz w:val="17"/>
              </w:rPr>
              <w:t>光学前端可在芯片上协同工作</w:t>
            </w:r>
          </w:p>
        </w:tc>
        <w:tc>
          <w:tcPr>
            <w:tcW w:w="288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8052C61">
            <w:pPr>
              <w:spacing w:after="0" w:line="278" w:lineRule="auto"/>
            </w:pPr>
            <w:r>
              <w:rPr>
                <w:rFonts w:ascii="微软雅黑" w:hAnsi="微软雅黑" w:eastAsia="微软雅黑"/>
                <w:sz w:val="17"/>
              </w:rPr>
              <w:t>光源、驱动、ADC、DSP 和封装都已闭合</w:t>
            </w:r>
          </w:p>
        </w:tc>
      </w:tr>
      <w:tr w14:paraId="75810405">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1C827F83">
            <w:pPr>
              <w:spacing w:after="0" w:line="278" w:lineRule="auto"/>
            </w:pPr>
            <w:r>
              <w:rPr>
                <w:rFonts w:ascii="微软雅黑" w:hAnsi="微软雅黑" w:eastAsia="微软雅黑"/>
                <w:sz w:val="17"/>
              </w:rPr>
              <w:t>光电混合模块</w:t>
            </w:r>
          </w:p>
        </w:tc>
        <w:tc>
          <w:tcPr>
            <w:tcW w:w="240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4AB1937">
            <w:pPr>
              <w:spacing w:after="0" w:line="278" w:lineRule="auto"/>
            </w:pPr>
            <w:r>
              <w:rPr>
                <w:rFonts w:ascii="微软雅黑" w:hAnsi="微软雅黑" w:eastAsia="微软雅黑"/>
                <w:sz w:val="17"/>
              </w:rPr>
              <w:t>PIC + 激光/电子/微光学/TEC/封装</w:t>
            </w:r>
          </w:p>
        </w:tc>
        <w:tc>
          <w:tcPr>
            <w:tcW w:w="300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3C1FCE2">
            <w:pPr>
              <w:spacing w:after="0" w:line="278" w:lineRule="auto"/>
            </w:pPr>
            <w:r>
              <w:rPr>
                <w:rFonts w:ascii="微软雅黑" w:hAnsi="微软雅黑" w:eastAsia="微软雅黑"/>
                <w:sz w:val="17"/>
              </w:rPr>
              <w:t>模块级接口与部分系统功能</w:t>
            </w:r>
          </w:p>
        </w:tc>
        <w:tc>
          <w:tcPr>
            <w:tcW w:w="288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CA09E07">
            <w:pPr>
              <w:spacing w:after="0" w:line="278" w:lineRule="auto"/>
            </w:pPr>
            <w:r>
              <w:rPr>
                <w:rFonts w:ascii="微软雅黑" w:hAnsi="微软雅黑" w:eastAsia="微软雅黑"/>
                <w:sz w:val="17"/>
              </w:rPr>
              <w:t>外部放大、环行、数据采集和长期现场可靠性已解决</w:t>
            </w:r>
          </w:p>
        </w:tc>
      </w:tr>
      <w:tr w14:paraId="349AB04A">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72ADAC57">
            <w:pPr>
              <w:spacing w:after="0" w:line="278" w:lineRule="auto"/>
            </w:pPr>
            <w:r>
              <w:rPr>
                <w:rFonts w:ascii="微软雅黑" w:hAnsi="微软雅黑" w:eastAsia="微软雅黑"/>
                <w:sz w:val="17"/>
              </w:rPr>
              <w:t>完整 DAS 系统</w:t>
            </w:r>
          </w:p>
        </w:tc>
        <w:tc>
          <w:tcPr>
            <w:tcW w:w="240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EDF23FE">
            <w:pPr>
              <w:spacing w:after="0" w:line="278" w:lineRule="auto"/>
            </w:pPr>
            <w:r>
              <w:rPr>
                <w:rFonts w:ascii="微软雅黑" w:hAnsi="微软雅黑" w:eastAsia="微软雅黑"/>
                <w:sz w:val="17"/>
              </w:rPr>
              <w:t>光源到解调输出的真实光纤实验</w:t>
            </w:r>
          </w:p>
        </w:tc>
        <w:tc>
          <w:tcPr>
            <w:tcW w:w="3004"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F25797B">
            <w:pPr>
              <w:spacing w:after="0" w:line="278" w:lineRule="auto"/>
            </w:pPr>
            <w:r>
              <w:rPr>
                <w:rFonts w:ascii="微软雅黑" w:hAnsi="微软雅黑" w:eastAsia="微软雅黑"/>
                <w:sz w:val="17"/>
              </w:rPr>
              <w:t>在给定实验条件下的系统性能</w:t>
            </w:r>
          </w:p>
        </w:tc>
        <w:tc>
          <w:tcPr>
            <w:tcW w:w="288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42D44ABF">
            <w:pPr>
              <w:spacing w:after="0" w:line="278" w:lineRule="auto"/>
            </w:pPr>
            <w:r>
              <w:rPr>
                <w:rFonts w:ascii="微软雅黑" w:hAnsi="微软雅黑" w:eastAsia="微软雅黑"/>
                <w:sz w:val="17"/>
              </w:rPr>
              <w:t>未测试工况、量产良率或不同工艺下的普遍性能</w:t>
            </w:r>
          </w:p>
        </w:tc>
      </w:tr>
    </w:tbl>
    <w:p w14:paraId="47C0E954">
      <w:pPr>
        <w:pStyle w:val="4"/>
      </w:pPr>
      <w:r>
        <w:rPr>
          <w:rFonts w:ascii="微软雅黑" w:hAnsi="微软雅黑" w:eastAsia="微软雅黑"/>
        </w:rPr>
        <w:t>2.3 主要技术路线与代表进展</w:t>
      </w:r>
    </w:p>
    <w:p w14:paraId="7C40CAA8">
      <w:pPr>
        <w:pStyle w:val="5"/>
      </w:pPr>
      <w:r>
        <w:rPr>
          <w:rFonts w:ascii="微软雅黑" w:hAnsi="微软雅黑" w:eastAsia="微软雅黑"/>
        </w:rPr>
        <w:t>2.3.1 SOI 集成相干收发前端</w:t>
      </w:r>
    </w:p>
    <w:p w14:paraId="15AA49D3">
      <w:r>
        <w:fldChar w:fldCharType="begin"/>
      </w:r>
      <w:r>
        <w:instrText xml:space="preserve"> HYPERLINK "https://doi.org/10.1364/PRJ.512298" \h </w:instrText>
      </w:r>
      <w:r>
        <w:fldChar w:fldCharType="separate"/>
      </w:r>
      <w:r>
        <w:rPr>
          <w:rFonts w:ascii="微软雅黑" w:hAnsi="微软雅黑" w:eastAsia="微软雅黑"/>
          <w:color w:val="205493"/>
        </w:rPr>
        <w:t>Jin 等 2024</w:t>
      </w:r>
      <w:r>
        <w:rPr>
          <w:rFonts w:ascii="微软雅黑" w:hAnsi="微软雅黑" w:eastAsia="微软雅黑"/>
          <w:color w:val="205493"/>
        </w:rPr>
        <w:fldChar w:fldCharType="end"/>
      </w:r>
      <w:r>
        <w:rPr>
          <w:rFonts w:ascii="微软雅黑" w:hAnsi="微软雅黑" w:eastAsia="微软雅黑"/>
        </w:rPr>
        <w:t xml:space="preserve"> 将马赫–曾德尔调制、偏振旋转分束、两组 90° 光学混合和多路平衡探测集成于 SOI 芯片，并进入 12.1 km 与 49 km DAS 实验。</w:t>
      </w:r>
      <w:r>
        <w:rPr>
          <w:rFonts w:ascii="微软雅黑" w:hAnsi="微软雅黑" w:eastAsia="微软雅黑"/>
          <w:color w:val="44546A"/>
        </w:rPr>
        <w:t>FACT</w:t>
      </w:r>
      <w:r>
        <w:rPr>
          <w:rFonts w:ascii="微软雅黑" w:hAnsi="微软雅黑" w:eastAsia="微软雅黑"/>
        </w:rPr>
        <w:t>：PIC 已经进入端到端传感链路。</w:t>
      </w:r>
      <w:r>
        <w:rPr>
          <w:rFonts w:ascii="微软雅黑" w:hAnsi="微软雅黑" w:eastAsia="微软雅黑"/>
          <w:color w:val="44546A"/>
        </w:rPr>
        <w:t>AUTHOR CLAIM</w:t>
      </w:r>
      <w:r>
        <w:rPr>
          <w:rFonts w:ascii="微软雅黑" w:hAnsi="微软雅黑" w:eastAsia="微软雅黑"/>
        </w:rPr>
        <w:t>：具体距离、分辨率和灵敏度来自论文。其边界同样明确：窄线宽激光、放大、环行、采集与 DSP 仍在片外。因此更准确的表述是“集成 DAS 光学收发前端”，不是“完整 DAS 系统片上化”。</w:t>
      </w:r>
    </w:p>
    <w:p>
      <w:pPr>
        <w:pStyle w:val="6"/>
        <w:keepNext/>
      </w:pPr>
      <w:r>
        <w:rPr>
          <w:rFonts w:ascii="Microsoft YaHei" w:hAnsi="Microsoft YaHei" w:eastAsia="Microsoft YaHei"/>
          <w:b/>
          <w:i w:val="0"/>
          <w:color w:val="000000"/>
          <w:sz w:val="20"/>
        </w:rPr>
        <w:t>证据增强｜Jin 2024 系统功能与外部依赖</w:t>
      </w:r>
    </w:p>
    <w:p>
      <w:pPr>
        <w:spacing w:after="120" w:line="278" w:lineRule="auto"/>
      </w:pPr>
      <w:r>
        <w:rPr>
          <w:rFonts w:ascii="Microsoft YaHei" w:hAnsi="Microsoft YaHei" w:eastAsia="Microsoft YaHei"/>
          <w:sz w:val="19"/>
        </w:rPr>
        <w:t>原图定位：Jin et al., 2024, Silicon photonic integrated interrogator for fiber-optic distributed acoustic sensing, Fig. 1(b)/3/5/6, DOI: 10.1364/PRJ.512298。Fig. 1(b) 显示片上 MZM、PC/BS、PBRS、90° hybrid 与四个平衡探测器；Fig. 3 另列片外窄线宽激光、EDFA、环行器、AWG、TIA、DAQ 和 DSP。原图再分发许可未核实，本 DOCX 不复制。</w:t>
      </w:r>
    </w:p>
    <w:tbl>
      <w:tblPr>
        <w:tblW w:type="auto" w:w="0"/>
        <w:tblLayout w:type="fixed"/>
        <w:tblLook w:firstColumn="1" w:firstRow="1" w:lastColumn="0" w:lastRow="0" w:noHBand="0" w:noVBand="1" w:val="04A0"/>
      </w:tblPr>
      <w:tblGrid>
        <w:gridCol w:w="3293"/>
        <w:gridCol w:w="3293"/>
        <w:gridCol w:w="3293"/>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系统结果</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测试条件与原文定位</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证据边界</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12.1 km；1.14 m；59 pε/√Hz</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100 Hz PZT；5 kHz 重复率；gauge length 0.819 m；300 traces。Fig. 5、§4.B，PDF p.5–6。</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AUTHOR CLAIM；光源、放大、采集和处理仍在片外。</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49.0 km；3.78 m；81 pε/√Hz</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100 Hz PZT；1.5 kHz 重复率；gauge length 4.01 m；120 traces。Fig. 6、§4.B，PDF p.6–7。</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AUTHOR CLAIM；条件不同，不能只按两个噪声数字排序。</w:t>
            </w:r>
          </w:p>
        </w:tc>
      </w:tr>
    </w:tbl>
    <w:p w14:paraId="38BA0226">
      <w:pPr>
        <w:pStyle w:val="5"/>
      </w:pPr>
      <w:r>
        <w:rPr>
          <w:rFonts w:ascii="微软雅黑" w:hAnsi="微软雅黑" w:eastAsia="微软雅黑"/>
        </w:rPr>
        <w:t>2.3.2 InP–SOI 混合集成光源与收发 PIC</w:t>
      </w:r>
    </w:p>
    <w:p w14:paraId="5811DD3C">
      <w:r>
        <w:fldChar w:fldCharType="begin"/>
      </w:r>
      <w:r>
        <w:instrText xml:space="preserve"> HYPERLINK "https://doi.org/10.1364/OFC.2026.W4D.2" \h </w:instrText>
      </w:r>
      <w:r>
        <w:fldChar w:fldCharType="separate"/>
      </w:r>
      <w:r>
        <w:rPr>
          <w:rFonts w:ascii="微软雅黑" w:hAnsi="微软雅黑" w:eastAsia="微软雅黑"/>
          <w:color w:val="205493"/>
        </w:rPr>
        <w:t>Jin 等 OFC 2026</w:t>
      </w:r>
      <w:r>
        <w:rPr>
          <w:rFonts w:ascii="微软雅黑" w:hAnsi="微软雅黑" w:eastAsia="微软雅黑"/>
          <w:color w:val="205493"/>
        </w:rPr>
        <w:fldChar w:fldCharType="end"/>
      </w:r>
      <w:r>
        <w:rPr>
          <w:rFonts w:ascii="微软雅黑" w:hAnsi="微软雅黑" w:eastAsia="微软雅黑"/>
        </w:rPr>
        <w:t xml:space="preserve"> 进一步把线宽低于 3 kHz 的 InP 外腔激光经两枚微透镜和微型隔离器连接至 SOI 收发 PIC，模块约 40 mm × 40 mm × 10 mm，并带 TEC。作者在 10 km G.652.D 光纤上报告约 4 m 空间分辨率和 73.27 pε/√Hz 的特定统计口径应变分辨率。该结果证明混合集成模块进入真实 DAS 演示，但三页会议短文未提供制造良率、完整功耗/成本、长期漂移、重复样本或开放原始数据；EDFA、环行器、AWG、TIA、DAQ 与离线 DSP 仍外置。它不能与 2024 工作在不同距离、分辨率和统计定义下直接用单一数字比较优劣。</w:t>
      </w:r>
    </w:p>
    <w:p w14:paraId="6E55C60D">
      <w:pPr>
        <w:pStyle w:val="5"/>
      </w:pPr>
      <w:r>
        <w:rPr>
          <w:rFonts w:ascii="微软雅黑" w:hAnsi="微软雅黑" w:eastAsia="微软雅黑"/>
        </w:rPr>
        <w:t>2.3.3 高消光比片上调制</w:t>
      </w:r>
    </w:p>
    <w:p w14:paraId="6C6E2C75">
      <w:r>
        <w:fldChar w:fldCharType="begin"/>
      </w:r>
      <w:r>
        <w:instrText xml:space="preserve"> HYPERLINK "https://doi.org/10.1038/s41467-023-43244-9" \h </w:instrText>
      </w:r>
      <w:r>
        <w:fldChar w:fldCharType="separate"/>
      </w:r>
      <w:r>
        <w:rPr>
          <w:rFonts w:ascii="微软雅黑" w:hAnsi="微软雅黑" w:eastAsia="微软雅黑"/>
          <w:color w:val="205493"/>
        </w:rPr>
        <w:t>Cheng 等 2023</w:t>
      </w:r>
      <w:r>
        <w:rPr>
          <w:rFonts w:ascii="微软雅黑" w:hAnsi="微软雅黑" w:eastAsia="微软雅黑"/>
          <w:color w:val="205493"/>
        </w:rPr>
        <w:fldChar w:fldCharType="end"/>
      </w:r>
      <w:r>
        <w:rPr>
          <w:rFonts w:ascii="微软雅黑" w:hAnsi="微软雅黑" w:eastAsia="微软雅黑"/>
        </w:rPr>
        <w:t xml:space="preserve"> 采用多微环耦合结构实现高消光比硅基电光调制器。论文正文报告静态 71 dB、self-heterodyne 动态 68 dB，多个通道超过 65 dB，并将器件放入 2 km DAS 台架对照。其贡献位于发射调制子模块；谐振器的温度/工艺敏感性、插损、驱动和频移能力仍需纳入系统设计。不能从“高 ER 器件进入 DAS”外推“完整解调器或系统已集成”。</w:t>
      </w:r>
    </w:p>
    <w:p>
      <w:pPr>
        <w:pStyle w:val="6"/>
        <w:keepNext/>
      </w:pPr>
      <w:r>
        <w:rPr>
          <w:rFonts w:ascii="Microsoft YaHei" w:hAnsi="Microsoft YaHei" w:eastAsia="Microsoft YaHei"/>
          <w:b/>
          <w:i w:val="0"/>
          <w:color w:val="000000"/>
          <w:sz w:val="20"/>
        </w:rPr>
        <w:t>证据增强｜Cheng 2023 四微环调制器</w:t>
      </w:r>
    </w:p>
    <w:p>
      <w:pPr>
        <w:spacing w:after="120" w:line="278" w:lineRule="auto"/>
      </w:pPr>
      <w:r>
        <w:rPr>
          <w:rFonts w:ascii="Microsoft YaHei" w:hAnsi="Microsoft YaHei" w:eastAsia="Microsoft YaHei"/>
          <w:sz w:val="19"/>
        </w:rPr>
        <w:t>核心判断：四个半径 10 µm 的耦合微环针对 DAS 发射脉冲设计；器件消光比和 2 km Φ-OTDR 演示分属不同验证层级。</w:t>
      </w:r>
    </w:p>
    <w:p>
      <w:pPr>
        <w:keepNext/>
        <w:spacing w:before="100" w:after="20"/>
        <w:jc w:val="center"/>
      </w:pPr>
      <w:r>
        <w:drawing>
          <wp:inline xmlns:a="http://schemas.openxmlformats.org/drawingml/2006/main" xmlns:pic="http://schemas.openxmlformats.org/drawingml/2006/picture">
            <wp:extent cx="5486400" cy="3188043"/>
            <wp:docPr id="3" name="Picture 3"/>
            <wp:cNvGraphicFramePr>
              <a:graphicFrameLocks noChangeAspect="1"/>
            </wp:cNvGraphicFramePr>
            <a:graphic>
              <a:graphicData uri="http://schemas.openxmlformats.org/drawingml/2006/picture">
                <pic:pic>
                  <pic:nvPicPr>
                    <pic:cNvPr id="0" name="cheng-fig1-device-spectrum.png"/>
                    <pic:cNvPicPr/>
                  </pic:nvPicPr>
                  <pic:blipFill>
                    <a:blip r:embed="rId11"/>
                    <a:stretch>
                      <a:fillRect/>
                    </a:stretch>
                  </pic:blipFill>
                  <pic:spPr>
                    <a:xfrm>
                      <a:off x="0" y="0"/>
                      <a:ext cx="5486400" cy="3188043"/>
                    </a:xfrm>
                    <a:prstGeom prst="rect"/>
                  </pic:spPr>
                </pic:pic>
              </a:graphicData>
            </a:graphic>
          </wp:inline>
        </w:drawing>
      </w:r>
    </w:p>
    <w:p>
      <w:pPr>
        <w:spacing w:after="80" w:line="278" w:lineRule="auto"/>
      </w:pPr>
      <w:r>
        <w:rPr>
          <w:rFonts w:ascii="Microsoft YaHei" w:hAnsi="Microsoft YaHei" w:eastAsia="Microsoft YaHei"/>
          <w:sz w:val="16"/>
        </w:rPr>
        <w:t>Source: Cheng et al., 2023, On-chip silicon electro-optical modulator with ultra-high extinction ratio for fiber-optic distributed acoustic sensing, Fig. 1(a–f), DOI: 10.1038/s41467-023-43244-9；PDF p.2；CC BY 4.0；仅裁去无关正文。</w:t>
      </w:r>
    </w:p>
    <w:p>
      <w:pPr>
        <w:keepNext/>
        <w:spacing w:before="100" w:after="20"/>
        <w:jc w:val="center"/>
      </w:pPr>
      <w:r>
        <w:drawing>
          <wp:inline xmlns:a="http://schemas.openxmlformats.org/drawingml/2006/main" xmlns:pic="http://schemas.openxmlformats.org/drawingml/2006/picture">
            <wp:extent cx="5303520" cy="3578108"/>
            <wp:docPr id="4" name="Picture 4"/>
            <wp:cNvGraphicFramePr>
              <a:graphicFrameLocks noChangeAspect="1"/>
            </wp:cNvGraphicFramePr>
            <a:graphic>
              <a:graphicData uri="http://schemas.openxmlformats.org/drawingml/2006/picture">
                <pic:pic>
                  <pic:nvPicPr>
                    <pic:cNvPr id="0" name="cheng-fig2-extinction.png"/>
                    <pic:cNvPicPr/>
                  </pic:nvPicPr>
                  <pic:blipFill>
                    <a:blip r:embed="rId12"/>
                    <a:stretch>
                      <a:fillRect/>
                    </a:stretch>
                  </pic:blipFill>
                  <pic:spPr>
                    <a:xfrm>
                      <a:off x="0" y="0"/>
                      <a:ext cx="5303520" cy="3578108"/>
                    </a:xfrm>
                    <a:prstGeom prst="rect"/>
                  </pic:spPr>
                </pic:pic>
              </a:graphicData>
            </a:graphic>
          </wp:inline>
        </w:drawing>
      </w:r>
    </w:p>
    <w:p>
      <w:pPr>
        <w:spacing w:after="80" w:line="278" w:lineRule="auto"/>
      </w:pPr>
      <w:r>
        <w:rPr>
          <w:rFonts w:ascii="Microsoft YaHei" w:hAnsi="Microsoft YaHei" w:eastAsia="Microsoft YaHei"/>
          <w:sz w:val="16"/>
        </w:rPr>
        <w:t>Source: Cheng et al., 2023, Fig. 2(a–f), DOI: 10.1038/s41467-023-43244-9；PDF p.3；CC BY 4.0；保留坐标轴与图例。</w:t>
      </w:r>
    </w:p>
    <w:tbl>
      <w:tblPr>
        <w:tblW w:type="auto" w:w="0"/>
        <w:tblLayout w:type="fixed"/>
        <w:tblLook w:firstColumn="1" w:firstRow="1" w:lastColumn="0" w:lastRow="0" w:noHBand="0" w:noVBand="1" w:val="04A0"/>
      </w:tblPr>
      <w:tblGrid>
        <w:gridCol w:w="3293"/>
        <w:gridCol w:w="3293"/>
        <w:gridCol w:w="3293"/>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关键结果</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条件与原文定位</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边界</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静态 71 dB；动态 68 dB</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静态 1549.74 nm、约 1.9 V；动态 self-heterodyne。Fig. 2，PDF p.3–4。</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AUTHOR CLAIM；两种 ER 口径不同。</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3.60 mW；上升/下降 6.54/0.40 ns</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高占空比驱动，器件约 0.99 V/3.65 mA；10–90% 边沿。Fig. 1(f)/2(f)，PDF p.3–4。</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AUTHOR CLAIM；功率仅属 EOM。</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2 km DAS；4 pε/√Hz</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500 Hz PZT；与 AOM 对照的 Φ-OTDR 台架。Fig. 4/5，PDF p.5–6。</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AUTHOR CLAIM；未证明完整收发系统片上化。</w:t>
            </w:r>
          </w:p>
        </w:tc>
      </w:tr>
    </w:tbl>
    <w:p w14:paraId="49FC7FAE">
      <w:pPr>
        <w:pStyle w:val="5"/>
      </w:pPr>
      <w:r>
        <w:rPr>
          <w:rFonts w:ascii="微软雅黑" w:hAnsi="微软雅黑" w:eastAsia="微软雅黑"/>
        </w:rPr>
        <w:t>2.3.4 通信相干 PIC 复用</w:t>
      </w:r>
    </w:p>
    <w:p w14:paraId="7F57CD29">
      <w:r>
        <w:fldChar w:fldCharType="begin"/>
      </w:r>
      <w:r>
        <w:instrText xml:space="preserve"> HYPERLINK "https://arxiv.org/abs/2306.04199" \h </w:instrText>
      </w:r>
      <w:r>
        <w:fldChar w:fldCharType="separate"/>
      </w:r>
      <w:r>
        <w:rPr>
          <w:rFonts w:ascii="微软雅黑" w:hAnsi="微软雅黑" w:eastAsia="微软雅黑"/>
          <w:color w:val="205493"/>
        </w:rPr>
        <w:t>Sandmann 等 2023</w:t>
      </w:r>
      <w:r>
        <w:rPr>
          <w:rFonts w:ascii="微软雅黑" w:hAnsi="微软雅黑" w:eastAsia="微软雅黑"/>
          <w:color w:val="205493"/>
        </w:rPr>
        <w:fldChar w:fldCharType="end"/>
      </w:r>
      <w:r>
        <w:rPr>
          <w:rFonts w:ascii="微软雅黑" w:hAnsi="微软雅黑" w:eastAsia="微软雅黑"/>
        </w:rPr>
        <w:t xml:space="preserve"> 探索复用通信相干收发芯片进行声学传感。此路线利用成熟的双偏振 IQ 调制/接收和探测电子，但通信系统的高带宽并不自动满足 DAS 所需的低相位噪声、高动态范围、低漂移和长相干要求。它提示一个重要研究问题：AI 设计不能只做元件拼接，而应识别“可复用参数”和“必须重设计的传感特定约束”。</w:t>
      </w:r>
    </w:p>
    <w:p>
      <w:pPr>
        <w:pStyle w:val="6"/>
        <w:keepNext/>
      </w:pPr>
      <w:r>
        <w:rPr>
          <w:rFonts w:ascii="Microsoft YaHei" w:hAnsi="Microsoft YaHei" w:eastAsia="Microsoft YaHei"/>
          <w:b/>
          <w:i w:val="0"/>
          <w:color w:val="000000"/>
          <w:sz w:val="20"/>
        </w:rPr>
        <w:t>证据增强｜Sandmann 2023 相干收发复用</w:t>
      </w:r>
    </w:p>
    <w:p>
      <w:pPr>
        <w:spacing w:after="120" w:line="278" w:lineRule="auto"/>
      </w:pPr>
      <w:r>
        <w:rPr>
          <w:rFonts w:ascii="Microsoft YaHei" w:hAnsi="Microsoft YaHei" w:eastAsia="Microsoft YaHei"/>
          <w:sz w:val="19"/>
        </w:rPr>
        <w:t>Source: Sandmann et al., 2023, Acoustic Sensing with Correlation and Coherent Detection using an Integrated Coherent Transceiver, Fig. 2/5、§III，PDF p.2–4，DOI: 10.48550/arXiv.2306.04199。Fig. 2 区分 IC-TROSA 与外部激光、EDFA、环行器及离线处理；Fig. 5 在 20 km launch fiber 后记录 200 Hz 扬声器扰动，约 0.9 rad 峰峰相位变化。结果为 AUTHOR CLAIM；会议短文未给出与 Jin 同口径的检测限/空间分辨率。原图版权限制未核实，故不复制。</w:t>
      </w:r>
    </w:p>
    <w:p w14:paraId="2505B88E">
      <w:pPr>
        <w:pStyle w:val="5"/>
      </w:pPr>
      <w:r>
        <w:rPr>
          <w:rFonts w:ascii="微软雅黑" w:hAnsi="微软雅黑" w:eastAsia="微软雅黑"/>
        </w:rPr>
        <w:t>2.3.5 微梳并行与混合集成稳频光源</w:t>
      </w:r>
    </w:p>
    <w:p w14:paraId="388CDC49">
      <w:r>
        <w:fldChar w:fldCharType="begin"/>
      </w:r>
      <w:r>
        <w:instrText xml:space="preserve"> HYPERLINK "https://doi.org/10.1126/sciadv.adf8666" \h </w:instrText>
      </w:r>
      <w:r>
        <w:fldChar w:fldCharType="separate"/>
      </w:r>
      <w:r>
        <w:rPr>
          <w:rFonts w:ascii="微软雅黑" w:hAnsi="微软雅黑" w:eastAsia="微软雅黑"/>
          <w:color w:val="205493"/>
        </w:rPr>
        <w:t>双微梳并行 DAS</w:t>
      </w:r>
      <w:r>
        <w:rPr>
          <w:rFonts w:ascii="微软雅黑" w:hAnsi="微软雅黑" w:eastAsia="微软雅黑"/>
          <w:color w:val="205493"/>
        </w:rPr>
        <w:fldChar w:fldCharType="end"/>
      </w:r>
      <w:r>
        <w:rPr>
          <w:rFonts w:ascii="微软雅黑" w:hAnsi="微软雅黑" w:eastAsia="微软雅黑"/>
        </w:rPr>
        <w:t xml:space="preserve"> 使用两个 SiN 微环形成多波长并行探测，作者在 10 km、5 m 空间分辨率条件下报告 560 fε/√Hz@1 kHz，并讨论不采用分布式放大时的距离扩展。它说明集成微梳可提高通道并行性和相干累加能力，但外腔激光、泵浦、控制、探测与 DSP 仍造成明显系统复杂度。</w:t>
      </w:r>
      <w:r>
        <w:fldChar w:fldCharType="begin"/>
      </w:r>
      <w:r>
        <w:instrText xml:space="preserve"> HYPERLINK "https://doi.org/10.1364/OFC.2025.Tu2K.5" \h </w:instrText>
      </w:r>
      <w:r>
        <w:fldChar w:fldCharType="separate"/>
      </w:r>
      <w:r>
        <w:rPr>
          <w:rFonts w:ascii="微软雅黑" w:hAnsi="微软雅黑" w:eastAsia="微软雅黑"/>
          <w:color w:val="205493"/>
        </w:rPr>
        <w:t>Idjadi 等 2025</w:t>
      </w:r>
      <w:r>
        <w:rPr>
          <w:rFonts w:ascii="微软雅黑" w:hAnsi="微软雅黑" w:eastAsia="微软雅黑"/>
          <w:color w:val="205493"/>
        </w:rPr>
        <w:fldChar w:fldCharType="end"/>
      </w:r>
      <w:r>
        <w:rPr>
          <w:rFonts w:ascii="微软雅黑" w:hAnsi="微软雅黑" w:eastAsia="微软雅黑"/>
        </w:rPr>
        <w:t xml:space="preserve"> 的混合集成双波长激光进入 37 km φ-OFDR，则进一步说明低噪声光源与稳频/封装可成为独立关键路径。</w:t>
      </w:r>
    </w:p>
    <w:p w14:paraId="090C0E66">
      <w:pPr>
        <w:pStyle w:val="4"/>
      </w:pPr>
      <w:r>
        <w:rPr>
          <w:rFonts w:ascii="微软雅黑" w:hAnsi="微软雅黑" w:eastAsia="微软雅黑"/>
        </w:rPr>
        <w:t>2.4 当前难点</w:t>
      </w:r>
    </w:p>
    <w:p w14:paraId="7D5E806D">
      <w:pPr>
        <w:spacing w:after="80"/>
        <w:ind w:left="360" w:hanging="360"/>
      </w:pPr>
      <w:r>
        <w:rPr>
          <w:rFonts w:ascii="微软雅黑" w:hAnsi="微软雅黑" w:eastAsia="微软雅黑"/>
        </w:rPr>
        <w:t xml:space="preserve">1. </w:t>
      </w:r>
      <w:r>
        <w:rPr>
          <w:rFonts w:ascii="微软雅黑" w:hAnsi="微软雅黑" w:eastAsia="微软雅黑"/>
          <w:b/>
        </w:rPr>
        <w:t>跨域约束传播。</w:t>
      </w:r>
      <w:r>
        <w:rPr>
          <w:rFonts w:ascii="微软雅黑" w:hAnsi="微软雅黑" w:eastAsia="微软雅黑"/>
        </w:rPr>
        <w:t xml:space="preserve"> 距离、分辨率和灵敏度必须转化为激光线宽、调制波形、损耗、接收噪声、ADC 有效位数、DSP 和封装稳定性要求。</w:t>
      </w:r>
    </w:p>
    <w:p w14:paraId="4458CEE0">
      <w:pPr>
        <w:spacing w:after="80"/>
        <w:ind w:left="360" w:hanging="360"/>
      </w:pPr>
      <w:r>
        <w:rPr>
          <w:rFonts w:ascii="微软雅黑" w:hAnsi="微软雅黑" w:eastAsia="微软雅黑"/>
        </w:rPr>
        <w:t xml:space="preserve">2. </w:t>
      </w:r>
      <w:r>
        <w:rPr>
          <w:rFonts w:ascii="微软雅黑" w:hAnsi="微软雅黑" w:eastAsia="微软雅黑"/>
          <w:b/>
        </w:rPr>
        <w:t>系统边界。</w:t>
      </w:r>
      <w:r>
        <w:rPr>
          <w:rFonts w:ascii="微软雅黑" w:hAnsi="微软雅黑" w:eastAsia="微软雅黑"/>
        </w:rPr>
        <w:t xml:space="preserve"> 把激光或 PIC 纳入模块并不等于 EDFA、环行、电子和算法全部闭合。</w:t>
      </w:r>
    </w:p>
    <w:p w14:paraId="443FFE52">
      <w:pPr>
        <w:spacing w:after="80"/>
        <w:ind w:left="360" w:hanging="360"/>
      </w:pPr>
      <w:r>
        <w:rPr>
          <w:rFonts w:ascii="微软雅黑" w:hAnsi="微软雅黑" w:eastAsia="微软雅黑"/>
        </w:rPr>
        <w:t xml:space="preserve">3. </w:t>
      </w:r>
      <w:r>
        <w:rPr>
          <w:rFonts w:ascii="微软雅黑" w:hAnsi="微软雅黑" w:eastAsia="微软雅黑"/>
          <w:b/>
        </w:rPr>
        <w:t>指标可比性。</w:t>
      </w:r>
      <w:r>
        <w:rPr>
          <w:rFonts w:ascii="微软雅黑" w:hAnsi="微软雅黑" w:eastAsia="微软雅黑"/>
        </w:rPr>
        <w:t xml:space="preserve"> 距离、标距、频率、带宽、噪声谱密度和统计方法不同，单一数字排名容易失真。</w:t>
      </w:r>
    </w:p>
    <w:p w14:paraId="55DC29FD">
      <w:pPr>
        <w:spacing w:after="80"/>
        <w:ind w:left="360" w:hanging="360"/>
      </w:pPr>
      <w:r>
        <w:rPr>
          <w:rFonts w:ascii="微软雅黑" w:hAnsi="微软雅黑" w:eastAsia="微软雅黑"/>
        </w:rPr>
        <w:t xml:space="preserve">4. </w:t>
      </w:r>
      <w:r>
        <w:rPr>
          <w:rFonts w:ascii="微软雅黑" w:hAnsi="微软雅黑" w:eastAsia="微软雅黑"/>
          <w:b/>
        </w:rPr>
        <w:t>长期稳定性。</w:t>
      </w:r>
      <w:r>
        <w:rPr>
          <w:rFonts w:ascii="微软雅黑" w:hAnsi="微软雅黑" w:eastAsia="微软雅黑"/>
        </w:rPr>
        <w:t xml:space="preserve"> 微环、干涉仪、激光耦合与偏振通道受到温度、工艺和环境漂移影响。</w:t>
      </w:r>
    </w:p>
    <w:p w14:paraId="0DB04C10">
      <w:pPr>
        <w:spacing w:after="80"/>
        <w:ind w:left="360" w:hanging="360"/>
      </w:pPr>
      <w:r>
        <w:rPr>
          <w:rFonts w:ascii="微软雅黑" w:hAnsi="微软雅黑" w:eastAsia="微软雅黑"/>
        </w:rPr>
        <w:t xml:space="preserve">5. </w:t>
      </w:r>
      <w:r>
        <w:rPr>
          <w:rFonts w:ascii="微软雅黑" w:hAnsi="微软雅黑" w:eastAsia="微软雅黑"/>
          <w:b/>
        </w:rPr>
        <w:t>封装与制造。</w:t>
      </w:r>
      <w:r>
        <w:rPr>
          <w:rFonts w:ascii="微软雅黑" w:hAnsi="微软雅黑" w:eastAsia="微软雅黑"/>
        </w:rPr>
        <w:t xml:space="preserve"> 耦合容差、热管理、微光学、电子接口、良率和重复性常比版图生成更接近工程瓶颈。</w:t>
      </w:r>
    </w:p>
    <w:p w14:paraId="333A5ADB">
      <w:pPr>
        <w:pStyle w:val="4"/>
      </w:pPr>
      <w:r>
        <w:rPr>
          <w:rFonts w:ascii="微软雅黑" w:hAnsi="微软雅黑" w:eastAsia="微软雅黑"/>
        </w:rPr>
        <w:t>2.5 AI 设计的覆盖范围与缺口</w:t>
      </w:r>
    </w:p>
    <w:p w14:paraId="74139558">
      <w:r>
        <w:rPr>
          <w:rFonts w:ascii="微软雅黑" w:hAnsi="微软雅黑" w:eastAsia="微软雅黑"/>
          <w:color w:val="44546A"/>
        </w:rPr>
        <w:t>UNKNOWN</w:t>
      </w:r>
      <w:r>
        <w:rPr>
          <w:rFonts w:ascii="微软雅黑" w:hAnsi="微软雅黑" w:eastAsia="微软雅黑"/>
        </w:rPr>
        <w:t>：当前未找到 Agent 端到端设计并物理验证 DAS 光电混合集成芯片的公开证据。已有 Agentic PIC 工作可提供需求结构化、工具调用和证据记录方法，但 DAS 的系统预算、器件/电子/封装接口和真实 PDK 数据仍需独立建立。最重要的研究缺口不是“让模型生成一个 GDS”，而是让每个系统需求能够追溯到器件、电路、封装和验证证据，并在证据不足时明确升级到人工判断。</w:t>
      </w:r>
    </w:p>
    <w:p w14:paraId="055C8DDE">
      <w:pPr>
        <w:pStyle w:val="3"/>
      </w:pPr>
      <w:r>
        <w:rPr>
          <w:rFonts w:ascii="微软雅黑" w:hAnsi="微软雅黑" w:eastAsia="微软雅黑"/>
        </w:rPr>
        <w:t>第三章 Photonic AI Computing 研究现状</w:t>
      </w:r>
    </w:p>
    <w:p w14:paraId="2C321F61">
      <w:pPr>
        <w:pStyle w:val="4"/>
      </w:pPr>
      <w:r>
        <w:rPr>
          <w:rFonts w:ascii="微软雅黑" w:hAnsi="微软雅黑" w:eastAsia="微软雅黑"/>
        </w:rPr>
        <w:t>3.1 基本计算链</w:t>
      </w:r>
    </w:p>
    <w:p w14:paraId="41221419">
      <w:r>
        <w:rPr>
          <w:rFonts w:ascii="微软雅黑" w:hAnsi="微软雅黑" w:eastAsia="微软雅黑"/>
        </w:rPr>
        <w:t>光子计算利用干涉、传播、波分复用和探测执行矩阵—向量乘法、卷积、相关或优化等计算。大多数系统仍是光电混合的：光学域擅长高并行线性运算，电子域负责数据加载、权重配置、非线性、存储、控制和误差校准。</w:t>
      </w:r>
    </w:p>
    <w:p w14:paraId="00AE3A7B">
      <w:pPr>
        <w:spacing w:after="180"/>
        <w:ind w:left="432"/>
      </w:pPr>
      <w:r>
        <w:rPr>
          <w:rFonts w:ascii="微软雅黑" w:hAnsi="微软雅黑" w:eastAsia="微软雅黑"/>
          <w:color w:val="34495E"/>
          <w:sz w:val="19"/>
        </w:rPr>
        <w:t>电子输入 / 编码</w:t>
      </w:r>
      <w:r>
        <w:br w:type="textWrapping"/>
      </w:r>
      <w:r>
        <w:rPr>
          <w:rFonts w:ascii="微软雅黑" w:hAnsi="微软雅黑" w:eastAsia="微软雅黑"/>
          <w:color w:val="34495E"/>
          <w:sz w:val="19"/>
        </w:rPr>
        <w:t>→ 电光调制</w:t>
      </w:r>
      <w:r>
        <w:br w:type="textWrapping"/>
      </w:r>
      <w:r>
        <w:rPr>
          <w:rFonts w:ascii="微软雅黑" w:hAnsi="微软雅黑" w:eastAsia="微软雅黑"/>
          <w:color w:val="34495E"/>
          <w:sz w:val="19"/>
        </w:rPr>
        <w:t>→ 光学线性算子</w:t>
      </w:r>
      <w:r>
        <w:br w:type="textWrapping"/>
      </w:r>
      <w:r>
        <w:rPr>
          <w:rFonts w:ascii="微软雅黑" w:hAnsi="微软雅黑" w:eastAsia="微软雅黑"/>
          <w:color w:val="34495E"/>
          <w:sz w:val="19"/>
        </w:rPr>
        <w:t>→ 光电探测</w:t>
      </w:r>
      <w:r>
        <w:br w:type="textWrapping"/>
      </w:r>
      <w:r>
        <w:rPr>
          <w:rFonts w:ascii="微软雅黑" w:hAnsi="微软雅黑" w:eastAsia="微软雅黑"/>
          <w:color w:val="34495E"/>
          <w:sz w:val="19"/>
        </w:rPr>
        <w:t>→ 电子非线性 / 归一化 / 存储 / 控制</w:t>
      </w:r>
      <w:r>
        <w:br w:type="textWrapping"/>
      </w:r>
      <w:r>
        <w:rPr>
          <w:rFonts w:ascii="微软雅黑" w:hAnsi="微软雅黑" w:eastAsia="微软雅黑"/>
          <w:color w:val="34495E"/>
          <w:sz w:val="19"/>
        </w:rPr>
        <w:t>→ 下一层或任务输出</w:t>
      </w:r>
    </w:p>
    <w:p w14:paraId="7226C673">
      <w:r>
        <w:rPr>
          <w:rFonts w:ascii="微软雅黑" w:hAnsi="微软雅黑" w:eastAsia="微软雅黑"/>
        </w:rPr>
        <w:t>判断“AI 已在光芯片上运行”时，应区分理论映射、数值仿真、芯片核心实验、任务级推理演示和完整系统边界。</w:t>
      </w:r>
    </w:p>
    <w:p w14:paraId="7C66010C">
      <w:pPr>
        <w:pStyle w:val="4"/>
      </w:pPr>
      <w:r>
        <w:rPr>
          <w:rFonts w:ascii="微软雅黑" w:hAnsi="微软雅黑" w:eastAsia="微软雅黑"/>
        </w:rPr>
        <w:t>3.2 干涉型与相干网格</w:t>
      </w:r>
    </w:p>
    <w:p w14:paraId="1E852C8E">
      <w:r>
        <w:rPr>
          <w:rFonts w:ascii="微软雅黑" w:hAnsi="微软雅黑" w:eastAsia="微软雅黑"/>
        </w:rPr>
        <w:t>MZI 网格可分解并实现矩阵变换，优势是相位可编程与通用线性代数表达；代价是相位稳定、插损、校准和控制复杂度随规模上升。</w:t>
      </w:r>
      <w:r>
        <w:fldChar w:fldCharType="begin"/>
      </w:r>
      <w:r>
        <w:instrText xml:space="preserve"> HYPERLINK "https://doi.org/10.1038/s41586-022-04714-0" \h </w:instrText>
      </w:r>
      <w:r>
        <w:fldChar w:fldCharType="separate"/>
      </w:r>
      <w:r>
        <w:rPr>
          <w:rFonts w:ascii="微软雅黑" w:hAnsi="微软雅黑" w:eastAsia="微软雅黑"/>
          <w:color w:val="205493"/>
        </w:rPr>
        <w:t>Ashtiani 等 2022</w:t>
      </w:r>
      <w:r>
        <w:rPr>
          <w:rFonts w:ascii="微软雅黑" w:hAnsi="微软雅黑" w:eastAsia="微软雅黑"/>
          <w:color w:val="205493"/>
        </w:rPr>
        <w:fldChar w:fldCharType="end"/>
      </w:r>
      <w:r>
        <w:rPr>
          <w:rFonts w:ascii="微软雅黑" w:hAnsi="微软雅黑" w:eastAsia="微软雅黑"/>
        </w:rPr>
        <w:t xml:space="preserve"> 展示片上光子深度神经网络及非线性，证明端到端网络不再只停留在线性核；但任务规模、外部控制和整体能耗仍需要与器件级指标分开。</w:t>
      </w:r>
    </w:p>
    <w:p w14:paraId="6BB0788E">
      <w:r>
        <w:fldChar w:fldCharType="begin"/>
      </w:r>
      <w:r>
        <w:instrText xml:space="preserve"> HYPERLINK "https://doi.org/10.1038/s41586-025-08786-6" \h </w:instrText>
      </w:r>
      <w:r>
        <w:fldChar w:fldCharType="separate"/>
      </w:r>
      <w:r>
        <w:rPr>
          <w:rFonts w:ascii="微软雅黑" w:hAnsi="微软雅黑" w:eastAsia="微软雅黑"/>
          <w:color w:val="205493"/>
        </w:rPr>
        <w:t>PACE 2025</w:t>
      </w:r>
      <w:r>
        <w:rPr>
          <w:rFonts w:ascii="微软雅黑" w:hAnsi="微软雅黑" w:eastAsia="微软雅黑"/>
          <w:color w:val="205493"/>
        </w:rPr>
        <w:fldChar w:fldCharType="end"/>
      </w:r>
      <w:r>
        <w:rPr>
          <w:rFonts w:ascii="微软雅黑" w:hAnsi="微软雅黑" w:eastAsia="微软雅黑"/>
        </w:rPr>
        <w:t xml:space="preserve"> 采用 2.5D PIC/EIC 集成，包含 64×64 光学 MAC 和超过 16,000 个光子器件，展示大规模光电混合计算引擎。正文证据显示其使用外部激光并以启发式 Ising 问题为主要应用，不是通用 DNN 推理系统。PACE 的价值在于规模化封装、控制和计算阵列，而不是证明所有 AI 任务都获得同样优势。</w:t>
      </w:r>
    </w:p>
    <w:p w14:paraId="33675CB0">
      <w:r>
        <w:fldChar w:fldCharType="begin"/>
      </w:r>
      <w:r>
        <w:instrText xml:space="preserve"> HYPERLINK "https://doi.org/10.1038/s41586-025-08854-x" \h </w:instrText>
      </w:r>
      <w:r>
        <w:fldChar w:fldCharType="separate"/>
      </w:r>
      <w:r>
        <w:rPr>
          <w:rFonts w:ascii="微软雅黑" w:hAnsi="微软雅黑" w:eastAsia="微软雅黑"/>
          <w:color w:val="205493"/>
        </w:rPr>
        <w:t>通用光子 AI 加速器原型 2025</w:t>
      </w:r>
      <w:r>
        <w:rPr>
          <w:rFonts w:ascii="微软雅黑" w:hAnsi="微软雅黑" w:eastAsia="微软雅黑"/>
          <w:color w:val="205493"/>
        </w:rPr>
        <w:fldChar w:fldCharType="end"/>
      </w:r>
      <w:r>
        <w:rPr>
          <w:rFonts w:ascii="微软雅黑" w:hAnsi="微软雅黑" w:eastAsia="微软雅黑"/>
        </w:rPr>
        <w:t xml:space="preserve"> 展示了多类真实模型与任务，并公开代码/数据，是从光学核心向软硬件系统推进的重要证据。与此同时，不同任务的精度损失并不相同，说明“光子算子可运行”与“模型精度可接受”之间仍有任务相关的误差传播问题。</w:t>
      </w:r>
    </w:p>
    <w:p>
      <w:pPr>
        <w:pStyle w:val="6"/>
        <w:keepNext/>
      </w:pPr>
      <w:r>
        <w:rPr>
          <w:rFonts w:ascii="Microsoft YaHei" w:hAnsi="Microsoft YaHei" w:eastAsia="Microsoft YaHei"/>
          <w:b/>
          <w:i w:val="0"/>
          <w:color w:val="000000"/>
          <w:sz w:val="20"/>
        </w:rPr>
        <w:t>证据增强｜Ahmed 2025 光学核心与完整任务</w:t>
      </w:r>
    </w:p>
    <w:p>
      <w:pPr>
        <w:spacing w:after="120" w:line="278" w:lineRule="auto"/>
      </w:pPr>
      <w:r>
        <w:rPr>
          <w:rFonts w:ascii="Microsoft YaHei" w:hAnsi="Microsoft YaHei" w:eastAsia="Microsoft YaHei"/>
          <w:sz w:val="19"/>
        </w:rPr>
        <w:t>原图定位：Ahmed et al., 2025, Universal photonic artificial intelligence acceleration, Fig. 1/2、Table 1、Methods，PDF p.1–3/6/8，DOI: 10.1038/s41586-025-08854-x。Fig. 2 的 host/PCIe、数字控制接口、数据转换、PTC 和输出流水线说明：光电混合张量核执行矩阵向量运算，电子系统仍承担编译、控制、权重存储、转换、非线性和累加。原图再分发许可不明，本 DOCX 仅列精确定位。</w:t>
      </w:r>
    </w:p>
    <w:tbl>
      <w:tblPr>
        <w:tblW w:type="auto" w:w="0"/>
        <w:tblLayout w:type="fixed"/>
        <w:tblLook w:firstColumn="1" w:firstRow="1" w:lastColumn="0" w:lastRow="0" w:noHBand="0" w:noVBand="1" w:val="04A0"/>
      </w:tblPr>
      <w:tblGrid>
        <w:gridCol w:w="3293"/>
        <w:gridCol w:w="3293"/>
        <w:gridCol w:w="3293"/>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论文报告</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任务/口径与原文定位</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证据边界</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65.5×10¹² ABFP16 ops/s</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4 个 128×128 PTC、2 个 DCI；500 MHz。主文、Fig. 1/2，PDF p.1–3/6。</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AUTHOR CLAIM；算子速率不是任务吞吐。</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ResNet18 CIFAR-10 86.4%；BERT-Tiny IMDb 83.2%</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对应 FP32 88.3%/86.2%；Table 1，PDF p.6。</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AUTHOR CLAIM；不同任务精度损失不同。</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BERT-Tiny SQuAD F1 12.0</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FP32 为 43.5；Table 1，PDF p.6。</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AUTHOR CLAIM；不能只摘较优任务。</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78 W 电子、1.6 W 光</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Methods 另列 8 只激光器各 1.25 W 电功率，PDF p.6/8。</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AUTHOR CLAIM；统一墙插及 energy/inference 为 UNKNOWN。</w:t>
            </w:r>
          </w:p>
        </w:tc>
      </w:tr>
    </w:tbl>
    <w:p w14:paraId="714A6FA6">
      <w:pPr>
        <w:pStyle w:val="4"/>
      </w:pPr>
      <w:r>
        <w:rPr>
          <w:rFonts w:ascii="微软雅黑" w:hAnsi="微软雅黑" w:eastAsia="微软雅黑"/>
        </w:rPr>
        <w:t>3.3 微环、波分复用与微梳</w:t>
      </w:r>
    </w:p>
    <w:p w14:paraId="3DB0259E">
      <w:r>
        <w:rPr>
          <w:rFonts w:ascii="微软雅黑" w:hAnsi="微软雅黑" w:eastAsia="微软雅黑"/>
        </w:rPr>
        <w:t>微环谐振器可在 WDM 通道上实现权重、调制或滤波，微梳提供大量相干波长载波。该路线具有通道并行和面积优势，但谐振波长对工艺和温度敏感，需要热调谐、标定与反馈。</w:t>
      </w:r>
    </w:p>
    <w:p w14:paraId="476A9A10">
      <w:r>
        <w:fldChar w:fldCharType="begin"/>
      </w:r>
      <w:r>
        <w:instrText xml:space="preserve"> HYPERLINK "https://doi.org/10.1038/s41586-020-03063-0" \h </w:instrText>
      </w:r>
      <w:r>
        <w:fldChar w:fldCharType="separate"/>
      </w:r>
      <w:r>
        <w:rPr>
          <w:rFonts w:ascii="微软雅黑" w:hAnsi="微软雅黑" w:eastAsia="微软雅黑"/>
          <w:color w:val="205493"/>
        </w:rPr>
        <w:t>Xu 等 2021</w:t>
      </w:r>
      <w:r>
        <w:rPr>
          <w:rFonts w:ascii="微软雅黑" w:hAnsi="微软雅黑" w:eastAsia="微软雅黑"/>
          <w:color w:val="205493"/>
        </w:rPr>
        <w:fldChar w:fldCharType="end"/>
      </w:r>
      <w:r>
        <w:rPr>
          <w:rFonts w:ascii="微软雅黑" w:hAnsi="微软雅黑" w:eastAsia="微软雅黑"/>
        </w:rPr>
        <w:t xml:space="preserve"> 的微梳卷积加速器和 </w:t>
      </w:r>
      <w:r>
        <w:fldChar w:fldCharType="begin"/>
      </w:r>
      <w:r>
        <w:instrText xml:space="preserve"> HYPERLINK "https://doi.org/10.1038/s41467-022-35506-9" \h </w:instrText>
      </w:r>
      <w:r>
        <w:fldChar w:fldCharType="separate"/>
      </w:r>
      <w:r>
        <w:rPr>
          <w:rFonts w:ascii="微软雅黑" w:hAnsi="微软雅黑" w:eastAsia="微软雅黑"/>
          <w:color w:val="205493"/>
        </w:rPr>
        <w:t>Bai 等 2023</w:t>
      </w:r>
      <w:r>
        <w:rPr>
          <w:rFonts w:ascii="微软雅黑" w:hAnsi="微软雅黑" w:eastAsia="微软雅黑"/>
          <w:color w:val="205493"/>
        </w:rPr>
        <w:fldChar w:fldCharType="end"/>
      </w:r>
      <w:r>
        <w:rPr>
          <w:rFonts w:ascii="微软雅黑" w:hAnsi="微软雅黑" w:eastAsia="微软雅黑"/>
        </w:rPr>
        <w:t xml:space="preserve"> 的微梳+MRR 光子处理单元展示高并行卷积/矩阵运算；其系统仍包含片外或电子数据链，原型实际功耗与未来高集成投影必须分开。</w:t>
      </w:r>
      <w:r>
        <w:fldChar w:fldCharType="begin"/>
      </w:r>
      <w:r>
        <w:instrText xml:space="preserve"> HYPERLINK "https://doi.org/10.1126/science.abq8271" \h </w:instrText>
      </w:r>
      <w:r>
        <w:fldChar w:fldCharType="separate"/>
      </w:r>
      <w:r>
        <w:rPr>
          <w:rFonts w:ascii="微软雅黑" w:hAnsi="微软雅黑" w:eastAsia="微软雅黑"/>
          <w:color w:val="205493"/>
        </w:rPr>
        <w:t>Netcast 2022</w:t>
      </w:r>
      <w:r>
        <w:rPr>
          <w:rFonts w:ascii="微软雅黑" w:hAnsi="微软雅黑" w:eastAsia="微软雅黑"/>
          <w:color w:val="205493"/>
        </w:rPr>
        <w:fldChar w:fldCharType="end"/>
      </w:r>
      <w:r>
        <w:rPr>
          <w:rFonts w:ascii="微软雅黑" w:hAnsi="微软雅黑" w:eastAsia="微软雅黑"/>
        </w:rPr>
        <w:t xml:space="preserve"> 将模型权重通过光网络送到边缘光子客户端，证明分布式推理架构的可行性；常被引用的 40 aJ 是接收端每次乘法的光能口径，不是包含激光、网络、调制、电子和控制的墙插总能耗。</w:t>
      </w:r>
    </w:p>
    <w:p w14:paraId="45119695">
      <w:r>
        <w:fldChar w:fldCharType="begin"/>
      </w:r>
      <w:r>
        <w:instrText xml:space="preserve"> HYPERLINK "https://doi.org/10.1038/s41586-020-03070-1" \h </w:instrText>
      </w:r>
      <w:r>
        <w:fldChar w:fldCharType="separate"/>
      </w:r>
      <w:r>
        <w:rPr>
          <w:rFonts w:ascii="微软雅黑" w:hAnsi="微软雅黑" w:eastAsia="微软雅黑"/>
          <w:color w:val="205493"/>
        </w:rPr>
        <w:t>Feldmann 等 2021</w:t>
      </w:r>
      <w:r>
        <w:rPr>
          <w:rFonts w:ascii="微软雅黑" w:hAnsi="微软雅黑" w:eastAsia="微软雅黑"/>
          <w:color w:val="205493"/>
        </w:rPr>
        <w:fldChar w:fldCharType="end"/>
      </w:r>
      <w:r>
        <w:rPr>
          <w:rFonts w:ascii="微软雅黑" w:hAnsi="微软雅黑" w:eastAsia="微软雅黑"/>
        </w:rPr>
        <w:t xml:space="preserve"> 的相变材料张量核以非易失权重降低持续调谐需求，但写入能耗、器件漂移、状态精度和外围控制仍影响完整系统。</w:t>
      </w:r>
    </w:p>
    <w:p w14:paraId="17EF4DDF">
      <w:pPr>
        <w:pStyle w:val="4"/>
      </w:pPr>
      <w:r>
        <w:rPr>
          <w:rFonts w:ascii="微软雅黑" w:hAnsi="微软雅黑" w:eastAsia="微软雅黑"/>
        </w:rPr>
        <w:t>3.4 衍射、自由空间与片上衍射</w:t>
      </w:r>
    </w:p>
    <w:p w14:paraId="74D00DF1">
      <w:r>
        <w:rPr>
          <w:rFonts w:ascii="微软雅黑" w:hAnsi="微软雅黑" w:eastAsia="微软雅黑"/>
        </w:rPr>
        <w:t>衍射型系统通过传播与相位/振幅调制实现线性变换，具备大规模并行性，但通常任务专用，且受到对准、可重构性、非线性和输入输出接口限制。</w:t>
      </w:r>
      <w:r>
        <w:fldChar w:fldCharType="begin"/>
      </w:r>
      <w:r>
        <w:instrText xml:space="preserve"> HYPERLINK "https://doi.org/10.1038/s41566-021-00796-w" \h </w:instrText>
      </w:r>
      <w:r>
        <w:fldChar w:fldCharType="separate"/>
      </w:r>
      <w:r>
        <w:rPr>
          <w:rFonts w:ascii="微软雅黑" w:hAnsi="微软雅黑" w:eastAsia="微软雅黑"/>
          <w:color w:val="205493"/>
        </w:rPr>
        <w:t>Zhou 等 2021</w:t>
      </w:r>
      <w:r>
        <w:rPr>
          <w:rFonts w:ascii="微软雅黑" w:hAnsi="微软雅黑" w:eastAsia="微软雅黑"/>
          <w:color w:val="205493"/>
        </w:rPr>
        <w:fldChar w:fldCharType="end"/>
      </w:r>
      <w:r>
        <w:rPr>
          <w:rFonts w:ascii="微软雅黑" w:hAnsi="微软雅黑" w:eastAsia="微软雅黑"/>
        </w:rPr>
        <w:t xml:space="preserve"> 展示可重构衍射处理器，但其自由空间形态不属于 PIC。</w:t>
      </w:r>
      <w:r>
        <w:fldChar w:fldCharType="begin"/>
      </w:r>
      <w:r>
        <w:instrText xml:space="preserve"> HYPERLINK "https://doi.org/10.1038/s41586-023-06558-8" \h </w:instrText>
      </w:r>
      <w:r>
        <w:fldChar w:fldCharType="separate"/>
      </w:r>
      <w:r>
        <w:rPr>
          <w:rFonts w:ascii="微软雅黑" w:hAnsi="微软雅黑" w:eastAsia="微软雅黑"/>
          <w:color w:val="205493"/>
        </w:rPr>
        <w:t>ACCEL 2023</w:t>
      </w:r>
      <w:r>
        <w:rPr>
          <w:rFonts w:ascii="微软雅黑" w:hAnsi="微软雅黑" w:eastAsia="微软雅黑"/>
          <w:color w:val="205493"/>
        </w:rPr>
        <w:fldChar w:fldCharType="end"/>
      </w:r>
      <w:r>
        <w:rPr>
          <w:rFonts w:ascii="微软雅黑" w:hAnsi="微软雅黑" w:eastAsia="微软雅黑"/>
        </w:rPr>
        <w:t xml:space="preserve"> 形成全模拟光电视觉系统并运行真实任务；其 operation 口径和任务专用结构不能与数字 MAC 简单等同。</w:t>
      </w:r>
      <w:r>
        <w:fldChar w:fldCharType="begin"/>
      </w:r>
      <w:r>
        <w:instrText xml:space="preserve"> HYPERLINK "https://doi.org/10.1038/s41467-024-50677-3" \h </w:instrText>
      </w:r>
      <w:r>
        <w:fldChar w:fldCharType="separate"/>
      </w:r>
      <w:r>
        <w:rPr>
          <w:rFonts w:ascii="微软雅黑" w:hAnsi="微软雅黑" w:eastAsia="微软雅黑"/>
          <w:color w:val="205493"/>
        </w:rPr>
        <w:t>片上可训练衍射网络 2024</w:t>
      </w:r>
      <w:r>
        <w:rPr>
          <w:rFonts w:ascii="微软雅黑" w:hAnsi="微软雅黑" w:eastAsia="微软雅黑"/>
          <w:color w:val="205493"/>
        </w:rPr>
        <w:fldChar w:fldCharType="end"/>
      </w:r>
      <w:r>
        <w:rPr>
          <w:rFonts w:ascii="微软雅黑" w:hAnsi="微软雅黑" w:eastAsia="微软雅黑"/>
        </w:rPr>
        <w:t xml:space="preserve"> 推进了片上原位训练，但输入预处理、FPGA、TEC 与热控制仍属于系统成本。</w:t>
      </w:r>
    </w:p>
    <w:p w14:paraId="704CE121">
      <w:r>
        <w:fldChar w:fldCharType="begin"/>
      </w:r>
      <w:r>
        <w:instrText xml:space="preserve"> HYPERLINK "https://doi.org/10.1126/science.adl1203" \h </w:instrText>
      </w:r>
      <w:r>
        <w:fldChar w:fldCharType="separate"/>
      </w:r>
      <w:r>
        <w:rPr>
          <w:rFonts w:ascii="微软雅黑" w:hAnsi="微软雅黑" w:eastAsia="微软雅黑"/>
          <w:color w:val="205493"/>
        </w:rPr>
        <w:t>Taichi 2024</w:t>
      </w:r>
      <w:r>
        <w:rPr>
          <w:rFonts w:ascii="微软雅黑" w:hAnsi="微软雅黑" w:eastAsia="微软雅黑"/>
          <w:color w:val="205493"/>
        </w:rPr>
        <w:fldChar w:fldCharType="end"/>
      </w:r>
      <w:r>
        <w:rPr>
          <w:rFonts w:ascii="微软雅黑" w:hAnsi="微软雅黑" w:eastAsia="微软雅黑"/>
        </w:rPr>
        <w:t xml:space="preserve"> 采用光子芯粒扩展计算规模，是模块化扩展的重要代表。论文对“AGI”的定位属于作者表述，不是已经验证通用智能。类似地，</w:t>
      </w:r>
      <w:r>
        <w:fldChar w:fldCharType="begin"/>
      </w:r>
      <w:r>
        <w:instrText xml:space="preserve"> HYPERLINK "https://doi.org/10.1038/s41467-025-65356-0" \h </w:instrText>
      </w:r>
      <w:r>
        <w:fldChar w:fldCharType="separate"/>
      </w:r>
      <w:r>
        <w:rPr>
          <w:rFonts w:ascii="微软雅黑" w:hAnsi="微软雅黑" w:eastAsia="微软雅黑"/>
          <w:color w:val="205493"/>
        </w:rPr>
        <w:t>百层光子深度学习 2025</w:t>
      </w:r>
      <w:r>
        <w:rPr>
          <w:rFonts w:ascii="微软雅黑" w:hAnsi="微软雅黑" w:eastAsia="微软雅黑"/>
          <w:color w:val="205493"/>
        </w:rPr>
        <w:fldChar w:fldCharType="end"/>
      </w:r>
      <w:r>
        <w:rPr>
          <w:rFonts w:ascii="微软雅黑" w:hAnsi="微软雅黑" w:eastAsia="微软雅黑"/>
        </w:rPr>
        <w:t xml:space="preserve"> 的深层模型映射依赖物理层复用与外部控制，不能表述为数百层全部物理集成在单片上。</w:t>
      </w:r>
    </w:p>
    <w:p w14:paraId="60219783">
      <w:pPr>
        <w:pStyle w:val="4"/>
      </w:pPr>
      <w:r>
        <w:rPr>
          <w:rFonts w:ascii="微软雅黑" w:hAnsi="微软雅黑" w:eastAsia="微软雅黑"/>
        </w:rPr>
        <w:t>3.5 评价光子 AI 的共同维度</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75AC86E7">
        <w:tblPrEx>
          <w:tblCellMar>
            <w:top w:w="0" w:type="dxa"/>
            <w:left w:w="108" w:type="dxa"/>
            <w:bottom w:w="0" w:type="dxa"/>
            <w:right w:w="108" w:type="dxa"/>
          </w:tblCellMar>
        </w:tblPrEx>
        <w:trPr>
          <w:cantSplit/>
          <w:tblHeader/>
        </w:trPr>
        <w:tc>
          <w:tcPr>
            <w:tcW w:w="2838"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7BE366F6">
            <w:pPr>
              <w:spacing w:after="0" w:line="278" w:lineRule="auto"/>
            </w:pPr>
            <w:r>
              <w:rPr>
                <w:rFonts w:ascii="微软雅黑" w:hAnsi="微软雅黑" w:eastAsia="微软雅黑"/>
                <w:b/>
                <w:color w:val="FFFFFF"/>
                <w:sz w:val="17"/>
              </w:rPr>
              <w:t>维度</w:t>
            </w:r>
          </w:p>
        </w:tc>
        <w:tc>
          <w:tcPr>
            <w:tcW w:w="2783"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1B8AE2B2">
            <w:pPr>
              <w:spacing w:after="0" w:line="278" w:lineRule="auto"/>
            </w:pPr>
            <w:r>
              <w:rPr>
                <w:rFonts w:ascii="微软雅黑" w:hAnsi="微软雅黑" w:eastAsia="微软雅黑"/>
                <w:b/>
                <w:color w:val="FFFFFF"/>
                <w:sz w:val="17"/>
              </w:rPr>
              <w:t>必须报告的问题</w:t>
            </w:r>
          </w:p>
        </w:tc>
        <w:tc>
          <w:tcPr>
            <w:tcW w:w="4257"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568A176F">
            <w:pPr>
              <w:spacing w:after="0" w:line="278" w:lineRule="auto"/>
            </w:pPr>
            <w:r>
              <w:rPr>
                <w:rFonts w:ascii="微软雅黑" w:hAnsi="微软雅黑" w:eastAsia="微软雅黑"/>
                <w:b/>
                <w:color w:val="FFFFFF"/>
                <w:sz w:val="17"/>
              </w:rPr>
              <w:t>常见误读</w:t>
            </w:r>
          </w:p>
        </w:tc>
      </w:tr>
      <w:tr w14:paraId="03F73A50">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7B20026">
            <w:pPr>
              <w:spacing w:after="0" w:line="278" w:lineRule="auto"/>
            </w:pPr>
            <w:r>
              <w:rPr>
                <w:rFonts w:ascii="微软雅黑" w:hAnsi="微软雅黑" w:eastAsia="微软雅黑"/>
                <w:sz w:val="17"/>
              </w:rPr>
              <w:t>任务</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A27D356">
            <w:pPr>
              <w:spacing w:after="0" w:line="278" w:lineRule="auto"/>
            </w:pPr>
            <w:r>
              <w:rPr>
                <w:rFonts w:ascii="微软雅黑" w:hAnsi="微软雅黑" w:eastAsia="微软雅黑"/>
                <w:sz w:val="17"/>
              </w:rPr>
              <w:t>模型、数据集、规模、训练/推理阶段</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B788729">
            <w:pPr>
              <w:spacing w:after="0" w:line="278" w:lineRule="auto"/>
            </w:pPr>
            <w:r>
              <w:rPr>
                <w:rFonts w:ascii="微软雅黑" w:hAnsi="微软雅黑" w:eastAsia="微软雅黑"/>
                <w:sz w:val="17"/>
              </w:rPr>
              <w:t>小型分类成功 = 通用 AI 成熟</w:t>
            </w:r>
          </w:p>
        </w:tc>
      </w:tr>
      <w:tr w14:paraId="01736EBD">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00C264A9">
            <w:pPr>
              <w:spacing w:after="0" w:line="278" w:lineRule="auto"/>
            </w:pPr>
            <w:r>
              <w:rPr>
                <w:rFonts w:ascii="微软雅黑" w:hAnsi="微软雅黑" w:eastAsia="微软雅黑"/>
                <w:sz w:val="17"/>
              </w:rPr>
              <w:t>精度</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7BD2006C">
            <w:pPr>
              <w:spacing w:after="0" w:line="278" w:lineRule="auto"/>
            </w:pPr>
            <w:r>
              <w:rPr>
                <w:rFonts w:ascii="微软雅黑" w:hAnsi="微软雅黑" w:eastAsia="微软雅黑"/>
                <w:sz w:val="17"/>
              </w:rPr>
              <w:t>数值精度、噪声、校准、任务准确率损失</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50623235">
            <w:pPr>
              <w:spacing w:after="0" w:line="278" w:lineRule="auto"/>
            </w:pPr>
            <w:r>
              <w:rPr>
                <w:rFonts w:ascii="微软雅黑" w:hAnsi="微软雅黑" w:eastAsia="微软雅黑"/>
                <w:sz w:val="17"/>
              </w:rPr>
              <w:t>只报核心算子误差，不报模型影响</w:t>
            </w:r>
          </w:p>
        </w:tc>
      </w:tr>
      <w:tr w14:paraId="68D53A6C">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E520BB1">
            <w:pPr>
              <w:spacing w:after="0" w:line="278" w:lineRule="auto"/>
            </w:pPr>
            <w:r>
              <w:rPr>
                <w:rFonts w:ascii="微软雅黑" w:hAnsi="微软雅黑" w:eastAsia="微软雅黑"/>
                <w:sz w:val="17"/>
              </w:rPr>
              <w:t>吞吐</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5563FA6">
            <w:pPr>
              <w:spacing w:after="0" w:line="278" w:lineRule="auto"/>
            </w:pPr>
            <w:r>
              <w:rPr>
                <w:rFonts w:ascii="微软雅黑" w:hAnsi="微软雅黑" w:eastAsia="微软雅黑"/>
                <w:sz w:val="17"/>
              </w:rPr>
              <w:t>operation 定义、并行度、时钟和利用率</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756F243">
            <w:pPr>
              <w:spacing w:after="0" w:line="278" w:lineRule="auto"/>
            </w:pPr>
            <w:r>
              <w:rPr>
                <w:rFonts w:ascii="微软雅黑" w:hAnsi="微软雅黑" w:eastAsia="微软雅黑"/>
                <w:sz w:val="17"/>
              </w:rPr>
              <w:t>把光学传播速度当持续吞吐</w:t>
            </w:r>
          </w:p>
        </w:tc>
      </w:tr>
      <w:tr w14:paraId="03D4BA31">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0E7AAF59">
            <w:pPr>
              <w:spacing w:after="0" w:line="278" w:lineRule="auto"/>
            </w:pPr>
            <w:r>
              <w:rPr>
                <w:rFonts w:ascii="微软雅黑" w:hAnsi="微软雅黑" w:eastAsia="微软雅黑"/>
                <w:sz w:val="17"/>
              </w:rPr>
              <w:t>能耗</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4796B09F">
            <w:pPr>
              <w:spacing w:after="0" w:line="278" w:lineRule="auto"/>
            </w:pPr>
            <w:r>
              <w:rPr>
                <w:rFonts w:ascii="微软雅黑" w:hAnsi="微软雅黑" w:eastAsia="微软雅黑"/>
                <w:sz w:val="17"/>
              </w:rPr>
              <w:t>激光、DAC/ADC、驱动、探测、控制、温控、存储</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4CBABBE5">
            <w:pPr>
              <w:spacing w:after="0" w:line="278" w:lineRule="auto"/>
            </w:pPr>
            <w:r>
              <w:rPr>
                <w:rFonts w:ascii="微软雅黑" w:hAnsi="微软雅黑" w:eastAsia="微软雅黑"/>
                <w:sz w:val="17"/>
              </w:rPr>
              <w:t>核心 aJ/op 或 TOPS/W = 墙插系统能效</w:t>
            </w:r>
          </w:p>
        </w:tc>
      </w:tr>
      <w:tr w14:paraId="5E979E1F">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FE7296A">
            <w:pPr>
              <w:spacing w:after="0" w:line="278" w:lineRule="auto"/>
            </w:pPr>
            <w:r>
              <w:rPr>
                <w:rFonts w:ascii="微软雅黑" w:hAnsi="微软雅黑" w:eastAsia="微软雅黑"/>
                <w:sz w:val="17"/>
              </w:rPr>
              <w:t>可扩展性</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FA24849">
            <w:pPr>
              <w:spacing w:after="0" w:line="278" w:lineRule="auto"/>
            </w:pPr>
            <w:r>
              <w:rPr>
                <w:rFonts w:ascii="微软雅黑" w:hAnsi="微软雅黑" w:eastAsia="微软雅黑"/>
                <w:sz w:val="17"/>
              </w:rPr>
              <w:t>插损、串扰、相位/谐振漂移、校准与封装</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EF2B8B9">
            <w:pPr>
              <w:spacing w:after="0" w:line="278" w:lineRule="auto"/>
            </w:pPr>
            <w:r>
              <w:rPr>
                <w:rFonts w:ascii="微软雅黑" w:hAnsi="微软雅黑" w:eastAsia="微软雅黑"/>
                <w:sz w:val="17"/>
              </w:rPr>
              <w:t>线性核阵列变大 = 系统可无限扩展</w:t>
            </w:r>
          </w:p>
        </w:tc>
      </w:tr>
      <w:tr w14:paraId="7CB7EA78">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4C07EB7E">
            <w:pPr>
              <w:spacing w:after="0" w:line="278" w:lineRule="auto"/>
            </w:pPr>
            <w:r>
              <w:rPr>
                <w:rFonts w:ascii="微软雅黑" w:hAnsi="微软雅黑" w:eastAsia="微软雅黑"/>
                <w:sz w:val="17"/>
              </w:rPr>
              <w:t>可编程性</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CF1FB7B">
            <w:pPr>
              <w:spacing w:after="0" w:line="278" w:lineRule="auto"/>
            </w:pPr>
            <w:r>
              <w:rPr>
                <w:rFonts w:ascii="微软雅黑" w:hAnsi="微软雅黑" w:eastAsia="微软雅黑"/>
                <w:sz w:val="17"/>
              </w:rPr>
              <w:t>权重更新、支持算子、非线性和编译</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75FE85B2">
            <w:pPr>
              <w:spacing w:after="0" w:line="278" w:lineRule="auto"/>
            </w:pPr>
            <w:r>
              <w:rPr>
                <w:rFonts w:ascii="微软雅黑" w:hAnsi="微软雅黑" w:eastAsia="微软雅黑"/>
                <w:sz w:val="17"/>
              </w:rPr>
              <w:t>单一固定任务 = 通用加速器</w:t>
            </w:r>
          </w:p>
        </w:tc>
      </w:tr>
      <w:tr w14:paraId="757659D2">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1A74F2CD">
            <w:pPr>
              <w:spacing w:after="0" w:line="278" w:lineRule="auto"/>
            </w:pPr>
            <w:r>
              <w:rPr>
                <w:rFonts w:ascii="微软雅黑" w:hAnsi="微软雅黑" w:eastAsia="微软雅黑"/>
                <w:sz w:val="17"/>
              </w:rPr>
              <w:t>制造性</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1661C0B">
            <w:pPr>
              <w:spacing w:after="0" w:line="278" w:lineRule="auto"/>
            </w:pPr>
            <w:r>
              <w:rPr>
                <w:rFonts w:ascii="微软雅黑" w:hAnsi="微软雅黑" w:eastAsia="微软雅黑"/>
                <w:sz w:val="17"/>
              </w:rPr>
              <w:t>工艺容差、良率、重复性与长期稳定</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34B17A93">
            <w:pPr>
              <w:spacing w:after="0" w:line="278" w:lineRule="auto"/>
            </w:pPr>
            <w:r>
              <w:rPr>
                <w:rFonts w:ascii="微软雅黑" w:hAnsi="微软雅黑" w:eastAsia="微软雅黑"/>
                <w:sz w:val="17"/>
              </w:rPr>
              <w:t>单颗芯片演示 = 可量产</w:t>
            </w:r>
          </w:p>
        </w:tc>
      </w:tr>
    </w:tbl>
    <w:p w14:paraId="0BB14982">
      <w:pPr>
        <w:pStyle w:val="4"/>
      </w:pPr>
      <w:r>
        <w:rPr>
          <w:rFonts w:ascii="微软雅黑" w:hAnsi="微软雅黑" w:eastAsia="微软雅黑"/>
        </w:rPr>
        <w:t>3.6 与 DAS 的可能联系</w:t>
      </w:r>
    </w:p>
    <w:p w14:paraId="7B5A2E96">
      <w:r>
        <w:rPr>
          <w:rFonts w:ascii="微软雅黑" w:hAnsi="微软雅黑" w:eastAsia="微软雅黑"/>
        </w:rPr>
        <w:t>两者都依赖相干光源、调制、光电探测、混合集成、校准和高速信号处理。光子计算可潜在承担 DAS 的相关、滤波、波束形成或事件识别；DAS 又为光电混合计算提供长链路、噪声与实时性场景。然而，这种联系目前主要是技术组件和问题结构的相似性。</w:t>
      </w:r>
      <w:r>
        <w:rPr>
          <w:rFonts w:ascii="微软雅黑" w:hAnsi="微软雅黑" w:eastAsia="微软雅黑"/>
          <w:color w:val="44546A"/>
        </w:rPr>
        <w:t>INFERENCE</w:t>
      </w:r>
      <w:r>
        <w:rPr>
          <w:rFonts w:ascii="微软雅黑" w:hAnsi="微软雅黑" w:eastAsia="微软雅黑"/>
        </w:rPr>
        <w:t>：在没有同一系统边界和任务证据前，不能声称某个光子 AI 加速器已适合 DAS，也不能把 DAS PIC 直接视为 AI 推理芯片。</w:t>
      </w:r>
    </w:p>
    <w:p w14:paraId="39EA4B3E">
      <w:pPr>
        <w:pStyle w:val="4"/>
      </w:pPr>
      <w:r>
        <w:rPr>
          <w:rFonts w:ascii="微软雅黑" w:hAnsi="微软雅黑" w:eastAsia="微软雅黑"/>
        </w:rPr>
        <w:t>3.7 研究缺口</w:t>
      </w:r>
    </w:p>
    <w:p w14:paraId="2EA8ABCB">
      <w:r>
        <w:rPr>
          <w:rFonts w:ascii="微软雅黑" w:hAnsi="微软雅黑" w:eastAsia="微软雅黑"/>
        </w:rPr>
        <w:t>当前最值得重视的缺口是器件误差、光学算子误差、网络层误差、任务精度和完整系统成本之间缺少统一可追溯链。只有在同一任务、同一精度目标和明确能耗边界下，才能判断某种光子架构相对电子或其他光子路线的净优势。</w:t>
      </w:r>
    </w:p>
    <w:p w14:paraId="35F74BB3">
      <w:pPr>
        <w:pStyle w:val="3"/>
      </w:pPr>
      <w:r>
        <w:rPr>
          <w:rFonts w:ascii="微软雅黑" w:hAnsi="微软雅黑" w:eastAsia="微软雅黑"/>
        </w:rPr>
        <w:t>第四章 Agentic PIC Design 与 Agent Harness</w:t>
      </w:r>
    </w:p>
    <w:p w14:paraId="75FCCB65">
      <w:pPr>
        <w:pStyle w:val="4"/>
      </w:pPr>
      <w:r>
        <w:rPr>
          <w:rFonts w:ascii="微软雅黑" w:hAnsi="微软雅黑" w:eastAsia="微软雅黑"/>
        </w:rPr>
        <w:t>4.1 技术层级地图</w:t>
      </w:r>
    </w:p>
    <w:p w14:paraId="0720CEDF">
      <w:pPr>
        <w:spacing w:after="140"/>
        <w:jc w:val="center"/>
      </w:pPr>
      <w:r>
        <w:drawing>
          <wp:inline distT="0" distB="0" distL="114300" distR="114300">
            <wp:extent cx="5824855" cy="7348220"/>
            <wp:effectExtent l="0" t="0" r="444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24855" cy="7348220"/>
                    </a:xfrm>
                    <a:prstGeom prst="rect">
                      <a:avLst/>
                    </a:prstGeom>
                  </pic:spPr>
                </pic:pic>
              </a:graphicData>
            </a:graphic>
          </wp:inline>
        </w:drawing>
      </w:r>
    </w:p>
    <w:p w14:paraId="5A944562">
      <w:r>
        <w:rPr>
          <w:rFonts w:ascii="微软雅黑" w:hAnsi="微软雅黑" w:eastAsia="微软雅黑"/>
        </w:rPr>
        <w:t>该地图是一种分析框架，不代表任何现有项目已经完整实现全部层级。</w:t>
      </w:r>
    </w:p>
    <w:p w14:paraId="0B7C36E7">
      <w:pPr>
        <w:pStyle w:val="4"/>
      </w:pPr>
      <w:r>
        <w:rPr>
          <w:rFonts w:ascii="微软雅黑" w:hAnsi="微软雅黑" w:eastAsia="微软雅黑"/>
        </w:rPr>
        <w:t>4.2 代表系统的实际能力</w:t>
      </w:r>
    </w:p>
    <w:p w14:paraId="50BEF0D9">
      <w:pPr>
        <w:pStyle w:val="5"/>
      </w:pPr>
      <w:r>
        <w:rPr>
          <w:rFonts w:ascii="微软雅黑" w:hAnsi="微软雅黑" w:eastAsia="微软雅黑"/>
        </w:rPr>
        <w:t>4.2.1 PhIDO / PhIDO-Agentic</w:t>
      </w:r>
    </w:p>
    <w:p w14:paraId="467F8CF5">
      <w:r>
        <w:fldChar w:fldCharType="begin"/>
      </w:r>
      <w:r>
        <w:instrText xml:space="preserve"> HYPERLINK "https://doi.org/10.1063/5.0300741" \h </w:instrText>
      </w:r>
      <w:r>
        <w:fldChar w:fldCharType="separate"/>
      </w:r>
      <w:r>
        <w:rPr>
          <w:rFonts w:ascii="微软雅黑" w:hAnsi="微软雅黑" w:eastAsia="微软雅黑"/>
          <w:color w:val="205493"/>
        </w:rPr>
        <w:t>PhIDO</w:t>
      </w:r>
      <w:r>
        <w:rPr>
          <w:rFonts w:ascii="微软雅黑" w:hAnsi="微软雅黑" w:eastAsia="微软雅黑"/>
          <w:color w:val="205493"/>
        </w:rPr>
        <w:fldChar w:fldCharType="end"/>
      </w:r>
      <w:r>
        <w:rPr>
          <w:rFonts w:ascii="微软雅黑" w:hAnsi="微软雅黑" w:eastAsia="微软雅黑"/>
        </w:rPr>
        <w:t xml:space="preserve"> 使用语言模型把自然语言解析为实体、规格和 YAML DSL，经 Pydantic 校验后生成 gdsfactory 版图、运行 DRC，并在合适任务上使用 SAX 电路模型。论文评估 102 个 prompt；作者报告单器件成功率最高约 91%，≤15 元件电路 pass@5 约 57%。正文同时明确这是 proof-of-concept，主要证明结构有效性而非器件/电路性能达标。FDTD 分支因版本兼容未进入主发布，公开基准的路由规模和 PDK 也有限。</w:t>
      </w:r>
    </w:p>
    <w:p>
      <w:pPr>
        <w:pStyle w:val="6"/>
        <w:keepNext/>
      </w:pPr>
      <w:r>
        <w:rPr>
          <w:rFonts w:ascii="Microsoft YaHei" w:hAnsi="Microsoft YaHei" w:eastAsia="Microsoft YaHei"/>
          <w:b/>
          <w:i w:val="0"/>
          <w:color w:val="000000"/>
          <w:sz w:val="20"/>
        </w:rPr>
        <w:t>证据增强｜PhIDO 流程与 benchmark</w:t>
      </w:r>
    </w:p>
    <w:p>
      <w:pPr>
        <w:keepNext/>
        <w:spacing w:before="100" w:after="20"/>
        <w:jc w:val="center"/>
      </w:pPr>
      <w:r>
        <w:drawing>
          <wp:inline xmlns:a="http://schemas.openxmlformats.org/drawingml/2006/main" xmlns:pic="http://schemas.openxmlformats.org/drawingml/2006/picture">
            <wp:extent cx="5486400" cy="2749929"/>
            <wp:docPr id="5" name="Picture 5"/>
            <wp:cNvGraphicFramePr>
              <a:graphicFrameLocks noChangeAspect="1"/>
            </wp:cNvGraphicFramePr>
            <a:graphic>
              <a:graphicData uri="http://schemas.openxmlformats.org/drawingml/2006/picture">
                <pic:pic>
                  <pic:nvPicPr>
                    <pic:cNvPr id="0" name="phido-fig1.png"/>
                    <pic:cNvPicPr/>
                  </pic:nvPicPr>
                  <pic:blipFill>
                    <a:blip r:embed="rId13"/>
                    <a:stretch>
                      <a:fillRect/>
                    </a:stretch>
                  </pic:blipFill>
                  <pic:spPr>
                    <a:xfrm>
                      <a:off x="0" y="0"/>
                      <a:ext cx="5486400" cy="2749929"/>
                    </a:xfrm>
                    <a:prstGeom prst="rect"/>
                  </pic:spPr>
                </pic:pic>
              </a:graphicData>
            </a:graphic>
          </wp:inline>
        </w:drawing>
      </w:r>
    </w:p>
    <w:p>
      <w:pPr>
        <w:spacing w:after="80" w:line="278" w:lineRule="auto"/>
      </w:pPr>
      <w:r>
        <w:rPr>
          <w:rFonts w:ascii="Microsoft YaHei" w:hAnsi="Microsoft YaHei" w:eastAsia="Microsoft YaHei"/>
          <w:sz w:val="16"/>
        </w:rPr>
        <w:t>Source: Sharma et al., 2025, AI agents for photonic integrated circuit design automation, Fig. 1, DOI: 10.1063/5.0300741；PDF p.3；CC BY 4.0。图中 FDTD 为架构分支，不能据此认定进入公开主 benchmark。</w:t>
      </w:r>
    </w:p>
    <w:p>
      <w:pPr>
        <w:keepNext/>
        <w:spacing w:before="100" w:after="20"/>
        <w:jc w:val="center"/>
      </w:pPr>
      <w:r>
        <w:drawing>
          <wp:inline xmlns:a="http://schemas.openxmlformats.org/drawingml/2006/main" xmlns:pic="http://schemas.openxmlformats.org/drawingml/2006/picture">
            <wp:extent cx="5577840" cy="3027970"/>
            <wp:docPr id="6" name="Picture 6"/>
            <wp:cNvGraphicFramePr>
              <a:graphicFrameLocks noChangeAspect="1"/>
            </wp:cNvGraphicFramePr>
            <a:graphic>
              <a:graphicData uri="http://schemas.openxmlformats.org/drawingml/2006/picture">
                <pic:pic>
                  <pic:nvPicPr>
                    <pic:cNvPr id="0" name="phido-fig5-complexity.png"/>
                    <pic:cNvPicPr/>
                  </pic:nvPicPr>
                  <pic:blipFill>
                    <a:blip r:embed="rId14"/>
                    <a:stretch>
                      <a:fillRect/>
                    </a:stretch>
                  </pic:blipFill>
                  <pic:spPr>
                    <a:xfrm>
                      <a:off x="0" y="0"/>
                      <a:ext cx="5577840" cy="3027970"/>
                    </a:xfrm>
                    <a:prstGeom prst="rect"/>
                  </pic:spPr>
                </pic:pic>
              </a:graphicData>
            </a:graphic>
          </wp:inline>
        </w:drawing>
      </w:r>
    </w:p>
    <w:p>
      <w:pPr>
        <w:spacing w:after="80" w:line="278" w:lineRule="auto"/>
      </w:pPr>
      <w:r>
        <w:rPr>
          <w:rFonts w:ascii="Microsoft YaHei" w:hAnsi="Microsoft YaHei" w:eastAsia="Microsoft YaHei"/>
          <w:sz w:val="16"/>
        </w:rPr>
        <w:t>Source: Sharma et al., 2025, Fig. 5, DOI: 10.1063/5.0300741；PDF p.8；CC BY 4.0。图中 S 的定义见 Table II：有效 schematic 与 GDSII。</w:t>
      </w:r>
    </w:p>
    <w:tbl>
      <w:tblPr>
        <w:tblW w:type="auto" w:w="0"/>
        <w:tblLayout w:type="fixed"/>
        <w:tblLook w:firstColumn="1" w:firstRow="1" w:lastColumn="0" w:lastRow="0" w:noHBand="0" w:noVBand="1" w:val="04A0"/>
      </w:tblPr>
      <w:tblGrid>
        <w:gridCol w:w="3293"/>
        <w:gridCol w:w="3293"/>
        <w:gridCol w:w="3293"/>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任务/结果</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条件与原文定位</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证据边界</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102 prompts</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四级任务为 23/10/60/9；七个模型、每题五次。§III.A/C、Fig. 5，PDF p.6/8。</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FACT：benchmark 构成；每模型 510 次生成。</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单器件最高 91%；levels 1–3 最佳 pass@5 58%</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前者为摘要“up to”口径；后者为正文 §IV.A，PDF p.1/9。</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AUTHOR CLAIM；不等于目标器件性能合格。</w:t>
            </w:r>
          </w:p>
        </w:tc>
      </w:tr>
    </w:tbl>
    <w:p w14:paraId="4925916C">
      <w:r>
        <w:rPr>
          <w:rFonts w:ascii="微软雅黑" w:hAnsi="微软雅黑" w:eastAsia="微软雅黑"/>
          <w:color w:val="44546A"/>
        </w:rPr>
        <w:t>CODE VERIFIED</w:t>
      </w:r>
      <w:r>
        <w:rPr>
          <w:rFonts w:ascii="微软雅黑" w:hAnsi="微软雅黑" w:eastAsia="微软雅黑"/>
        </w:rPr>
        <w:t>：固定提交可见结构化 schema、工具编排和部分设计/验证代码。</w:t>
      </w:r>
      <w:r>
        <w:rPr>
          <w:rFonts w:ascii="微软雅黑" w:hAnsi="微软雅黑" w:eastAsia="微软雅黑"/>
          <w:color w:val="44546A"/>
        </w:rPr>
        <w:t>INFERENCE</w:t>
      </w:r>
      <w:r>
        <w:rPr>
          <w:rFonts w:ascii="微软雅黑" w:hAnsi="微软雅黑" w:eastAsia="微软雅黑"/>
        </w:rPr>
        <w:t>：它是目前最接近 PIC 专用 Harness 骨架的开源项目之一，但仍不是 foundry-ready 自动设计系统。</w:t>
      </w:r>
    </w:p>
    <w:p w14:paraId="75C2D4EA">
      <w:r>
        <w:rPr>
          <w:rFonts w:ascii="微软雅黑" w:hAnsi="微软雅黑" w:eastAsia="微软雅黑"/>
        </w:rPr>
        <w:t>PhIDO-Agentic 延伸了工具调用与多步执行，但无独立同行评审论文。其仓库可作为代码机制证据，不能替代方法与实验评价。</w:t>
      </w:r>
    </w:p>
    <w:p w14:paraId="2A93AACF">
      <w:pPr>
        <w:pStyle w:val="5"/>
      </w:pPr>
      <w:r>
        <w:rPr>
          <w:rFonts w:ascii="微软雅黑" w:hAnsi="微软雅黑" w:eastAsia="微软雅黑"/>
        </w:rPr>
        <w:t>4.2.2 AutoPhotonicDesign</w:t>
      </w:r>
    </w:p>
    <w:p w14:paraId="0FF7C10F">
      <w:r>
        <w:fldChar w:fldCharType="begin"/>
      </w:r>
      <w:r>
        <w:instrText xml:space="preserve"> HYPERLINK "https://arxiv.org/abs/2606.00915" \h </w:instrText>
      </w:r>
      <w:r>
        <w:fldChar w:fldCharType="separate"/>
      </w:r>
      <w:r>
        <w:rPr>
          <w:rFonts w:ascii="微软雅黑" w:hAnsi="微软雅黑" w:eastAsia="微软雅黑"/>
          <w:color w:val="205493"/>
        </w:rPr>
        <w:t>AutoPhotonicDesign</w:t>
      </w:r>
      <w:r>
        <w:rPr>
          <w:rFonts w:ascii="微软雅黑" w:hAnsi="微软雅黑" w:eastAsia="微软雅黑"/>
          <w:color w:val="205493"/>
        </w:rPr>
        <w:fldChar w:fldCharType="end"/>
      </w:r>
      <w:r>
        <w:rPr>
          <w:rFonts w:ascii="微软雅黑" w:hAnsi="微软雅黑" w:eastAsia="微软雅黑"/>
        </w:rPr>
        <w:t xml:space="preserve"> 展示商业编程智能体围绕真实物理求解器执行 propose → simulate → evaluate → iterate 循环，覆盖器件逆向设计和多物理问题。它是“simulation-in-the-loop”强证据，因为 solver 输出确实驱动下一轮设计。</w:t>
      </w:r>
    </w:p>
    <w:p w14:paraId="71F36FC7">
      <w:r>
        <w:rPr>
          <w:rFonts w:ascii="微软雅黑" w:hAnsi="微软雅黑" w:eastAsia="微软雅黑"/>
        </w:rPr>
        <w:t>但工程师需要提供目标、约束、初始脚本和评价器；MZM 示例还需要专家纠正模式识别和 junction shunt 重复计算。由此应把其能力表述为“在人类配置和纠错后可自治迭代”，而不是无条件的自然语言端到端设计。其依赖商业工具/编程智能体也限制完全复现。</w:t>
      </w:r>
    </w:p>
    <w:p>
      <w:pPr>
        <w:pStyle w:val="6"/>
        <w:keepNext/>
      </w:pPr>
      <w:r>
        <w:rPr>
          <w:rFonts w:ascii="Microsoft YaHei" w:hAnsi="Microsoft YaHei" w:eastAsia="Microsoft YaHei"/>
          <w:b/>
          <w:i w:val="0"/>
          <w:color w:val="000000"/>
          <w:sz w:val="20"/>
        </w:rPr>
        <w:t>证据增强｜Kharel 2026 显式规则与仿真闭环</w:t>
      </w:r>
    </w:p>
    <w:p>
      <w:pPr>
        <w:spacing w:after="120" w:line="278" w:lineRule="auto"/>
      </w:pPr>
      <w:r>
        <w:rPr>
          <w:rFonts w:ascii="Microsoft YaHei" w:hAnsi="Microsoft YaHei" w:eastAsia="Microsoft YaHei"/>
          <w:sz w:val="19"/>
        </w:rPr>
        <w:t>Source: Kharel et al., 2026, Autonomous agentic design for photonics, Fig. 1–6、Table S2/S3、§2/S6，PDF p.3–10/19–20，DOI: 10.48550/arXiv.2606.00915。人类提供目标、仿真文件、几何/工艺约束与定量验收标准；Agent 在 DRC 闸门和求解器数值反馈下提出、保留或回退设计。</w:t>
      </w:r>
    </w:p>
    <w:tbl>
      <w:tblPr>
        <w:tblW w:type="auto" w:w="0"/>
        <w:tblLayout w:type="fixed"/>
        <w:tblLook w:firstColumn="1" w:firstRow="1" w:lastColumn="0" w:lastRow="0" w:noHBand="0" w:noVBand="1" w:val="04A0"/>
      </w:tblPr>
      <w:tblGrid>
        <w:gridCol w:w="3293"/>
        <w:gridCol w:w="3293"/>
        <w:gridCol w:w="3293"/>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案例</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条件、结果与原文定位</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边界</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12 µm SiN 弯曲</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400 nm SiN、1550 nm、150 nm 最小特征、50 次仿真预算；0.460→0.109 dB。Fig. 2、§S2.1，PDF p.5/12–14。</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AUTHOR CLAIM：数值仿真，未流片。</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MRM 与 RF</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MRM 39 次迭代，VπL 0.53 V·cm、Cj 0.83 pF/mm；RF 45 次迭代，43–44 Ω。Fig. 3/4、§S3/S4。</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AUTHOR CLAIM；与目标 50 Ω 仍有差距。</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布线与多物理 MZM</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布线 192→0 DRC 违规、27 次迭代；MZM 修正初设后的九设计约 29–40 GHz。Fig. 5/6、Table S2/S3。</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AUTHOR CLAIM；验收规则和求解器由工程师提供。</w:t>
            </w:r>
          </w:p>
        </w:tc>
      </w:tr>
    </w:tbl>
    <w:p>
      <w:pPr>
        <w:spacing w:after="120" w:line="278" w:lineRule="auto"/>
      </w:pPr>
      <w:r>
        <w:rPr>
          <w:rFonts w:ascii="Microsoft YaHei" w:hAnsi="Microsoft YaHei" w:eastAsia="Microsoft YaHei"/>
          <w:b/>
          <w:sz w:val="19"/>
        </w:rPr>
        <w:t>关键反例：</w:t>
      </w:r>
      <w:r>
        <w:rPr>
          <w:rFonts w:ascii="Microsoft YaHei" w:hAnsi="Microsoft YaHei" w:eastAsia="Microsoft YaHei"/>
          <w:sz w:val="19"/>
        </w:rPr>
        <w:t>多物理 MZM 首次设置在 30 GHz 给出 Z₀≈14.7–14.8 Ω，原文参考值约 48 Ω；工程师纠正模态识别和 junction shunt 重复计算后才进入后续循环。Table S2、§S6，PDF p.20。该证据支持“规则＋求解器反馈下迭代”，不支持宣称 Agent 独立建立了正确物理模型。</w:t>
      </w:r>
    </w:p>
    <w:p w14:paraId="24D1AE6C">
      <w:pPr>
        <w:pStyle w:val="5"/>
      </w:pPr>
      <w:r>
        <w:rPr>
          <w:rFonts w:ascii="微软雅黑" w:hAnsi="微软雅黑" w:eastAsia="微软雅黑"/>
        </w:rPr>
        <w:t>4.2.3 gdsfactory + gplugins</w:t>
      </w:r>
    </w:p>
    <w:p w14:paraId="217FCE1F">
      <w:r>
        <w:fldChar w:fldCharType="begin"/>
      </w:r>
      <w:r>
        <w:instrText xml:space="preserve"> HYPERLINK "https://github.com/gdsfactory/gdsfactory" \h </w:instrText>
      </w:r>
      <w:r>
        <w:fldChar w:fldCharType="separate"/>
      </w:r>
      <w:r>
        <w:rPr>
          <w:rFonts w:ascii="微软雅黑" w:hAnsi="微软雅黑" w:eastAsia="微软雅黑"/>
          <w:color w:val="205493"/>
        </w:rPr>
        <w:t>gdsfactory</w:t>
      </w:r>
      <w:r>
        <w:rPr>
          <w:rFonts w:ascii="微软雅黑" w:hAnsi="微软雅黑" w:eastAsia="微软雅黑"/>
          <w:color w:val="205493"/>
        </w:rPr>
        <w:fldChar w:fldCharType="end"/>
      </w:r>
      <w:r>
        <w:rPr>
          <w:rFonts w:ascii="微软雅黑" w:hAnsi="微软雅黑" w:eastAsia="微软雅黑"/>
        </w:rPr>
        <w:t xml:space="preserve"> 与 </w:t>
      </w:r>
      <w:r>
        <w:fldChar w:fldCharType="begin"/>
      </w:r>
      <w:r>
        <w:instrText xml:space="preserve"> HYPERLINK "https://github.com/gdsfactory/gplugins" \h </w:instrText>
      </w:r>
      <w:r>
        <w:fldChar w:fldCharType="separate"/>
      </w:r>
      <w:r>
        <w:rPr>
          <w:rFonts w:ascii="微软雅黑" w:hAnsi="微软雅黑" w:eastAsia="微软雅黑"/>
          <w:color w:val="205493"/>
        </w:rPr>
        <w:t>gplugins</w:t>
      </w:r>
      <w:r>
        <w:rPr>
          <w:rFonts w:ascii="微软雅黑" w:hAnsi="微软雅黑" w:eastAsia="微软雅黑"/>
          <w:color w:val="205493"/>
        </w:rPr>
        <w:fldChar w:fldCharType="end"/>
      </w:r>
      <w:r>
        <w:rPr>
          <w:rFonts w:ascii="微软雅黑" w:hAnsi="微软雅黑" w:eastAsia="微软雅黑"/>
        </w:rPr>
        <w:t xml:space="preserve"> 提供 PCell、版图、路由、PDK 接口、紧凑模型和多求解器适配。它们是高价值 Tool Layer，不是 Agent 研究本身。可复用价值在于确定性 API、文件产物和与专业工具连接；Agent 仍需额外负责参数验证、会话、权限、状态、证据和失败处理。</w:t>
      </w:r>
    </w:p>
    <w:p w14:paraId="493D6B81">
      <w:pPr>
        <w:pStyle w:val="5"/>
      </w:pPr>
      <w:r>
        <w:rPr>
          <w:rFonts w:ascii="微软雅黑" w:hAnsi="微软雅黑" w:eastAsia="微软雅黑"/>
        </w:rPr>
        <w:t>4.2.4 PICBench</w:t>
      </w:r>
    </w:p>
    <w:p w14:paraId="2CC5AB39">
      <w:r>
        <w:fldChar w:fldCharType="begin"/>
      </w:r>
      <w:r>
        <w:instrText xml:space="preserve"> HYPERLINK "https://arxiv.org/abs/2502.03159" \h </w:instrText>
      </w:r>
      <w:r>
        <w:fldChar w:fldCharType="separate"/>
      </w:r>
      <w:r>
        <w:rPr>
          <w:rFonts w:ascii="微软雅黑" w:hAnsi="微软雅黑" w:eastAsia="微软雅黑"/>
          <w:color w:val="205493"/>
        </w:rPr>
        <w:t>PICBench</w:t>
      </w:r>
      <w:r>
        <w:rPr>
          <w:rFonts w:ascii="微软雅黑" w:hAnsi="微软雅黑" w:eastAsia="微软雅黑"/>
          <w:color w:val="205493"/>
        </w:rPr>
        <w:fldChar w:fldCharType="end"/>
      </w:r>
      <w:r>
        <w:rPr>
          <w:rFonts w:ascii="微软雅黑" w:hAnsi="微软雅黑" w:eastAsia="微软雅黑"/>
        </w:rPr>
        <w:t xml:space="preserve"> 包含 24 个 PIC 电路问题，要求从自然语言生成 JSON netlist，以人工 golden design 和 SAX 紧凑模型进行语法/功能评价，并提供有限反馈重试。它建立了自动判定和 pass@k 类评价入口，但最高证据层是电路级紧凑模型：没有证明全波、GDS、DRC、LVS、PDK 或制造有效性。</w:t>
      </w:r>
    </w:p>
    <w:p w14:paraId="12C6DD99">
      <w:pPr>
        <w:pStyle w:val="5"/>
      </w:pPr>
      <w:r>
        <w:rPr>
          <w:rFonts w:ascii="微软雅黑" w:hAnsi="微软雅黑" w:eastAsia="微软雅黑"/>
        </w:rPr>
        <w:t>4.2.5 MetaChat</w:t>
      </w:r>
    </w:p>
    <w:p w14:paraId="2706B156">
      <w:r>
        <w:fldChar w:fldCharType="begin"/>
      </w:r>
      <w:r>
        <w:instrText xml:space="preserve"> HYPERLINK "https://doi.org/10.1126/sciadv.adx8006" \h </w:instrText>
      </w:r>
      <w:r>
        <w:fldChar w:fldCharType="separate"/>
      </w:r>
      <w:r>
        <w:rPr>
          <w:rFonts w:ascii="微软雅黑" w:hAnsi="微软雅黑" w:eastAsia="微软雅黑"/>
          <w:color w:val="205493"/>
        </w:rPr>
        <w:t>MetaChat</w:t>
      </w:r>
      <w:r>
        <w:rPr>
          <w:rFonts w:ascii="微软雅黑" w:hAnsi="微软雅黑" w:eastAsia="微软雅黑"/>
          <w:color w:val="205493"/>
        </w:rPr>
        <w:fldChar w:fldCharType="end"/>
      </w:r>
      <w:r>
        <w:rPr>
          <w:rFonts w:ascii="微软雅黑" w:hAnsi="微软雅黑" w:eastAsia="微软雅黑"/>
        </w:rPr>
        <w:t xml:space="preserve"> 位于相邻的超表面设计领域。它把材料选择、代理模型和梯度优化放入语言交互流程，代理模型以 270,000 个 FDFD ground-truth 样本训练，并在 30,000 个测试样本上报告误差；最终设计用 FDFD 场分布展示。其价值是“代理筛选 + 高保真抽查”的机制参照，而不是 PIC 版图、PDK 或每轮 FDFD 的证明。</w:t>
      </w:r>
    </w:p>
    <w:p w14:paraId="530A5F81">
      <w:pPr>
        <w:pStyle w:val="5"/>
      </w:pPr>
      <w:r>
        <w:rPr>
          <w:rFonts w:ascii="微软雅黑" w:hAnsi="微软雅黑" w:eastAsia="微软雅黑"/>
        </w:rPr>
        <w:t>4.2.6 PICopilot 与 PICasso</w:t>
      </w:r>
    </w:p>
    <w:p w14:paraId="4EDD7530">
      <w:r>
        <w:fldChar w:fldCharType="begin"/>
      </w:r>
      <w:r>
        <w:instrText xml:space="preserve"> HYPERLINK "https://arxiv.org/abs/2608.01791" \h </w:instrText>
      </w:r>
      <w:r>
        <w:fldChar w:fldCharType="separate"/>
      </w:r>
      <w:r>
        <w:rPr>
          <w:rFonts w:ascii="微软雅黑" w:hAnsi="微软雅黑" w:eastAsia="微软雅黑"/>
          <w:color w:val="205493"/>
        </w:rPr>
        <w:t>PICopilot</w:t>
      </w:r>
      <w:r>
        <w:rPr>
          <w:rFonts w:ascii="微软雅黑" w:hAnsi="微软雅黑" w:eastAsia="微软雅黑"/>
          <w:color w:val="205493"/>
        </w:rPr>
        <w:fldChar w:fldCharType="end"/>
      </w:r>
      <w:r>
        <w:rPr>
          <w:rFonts w:ascii="微软雅黑" w:hAnsi="微软雅黑" w:eastAsia="微软雅黑"/>
        </w:rPr>
        <w:t xml:space="preserve"> 以 48 个脚本任务评价版图、DRC 和 FDTD 代码生成，作者报告完成全部任务并优于 GPT-5+通用 RAG。当前没有核验到公开实现，因此它可支持“领域 RAG/协作 Agent 提高脚本生成”的作者主张，不能支持稳定 Tool Contract 或自治工具执行。</w:t>
      </w:r>
    </w:p>
    <w:p>
      <w:pPr>
        <w:pStyle w:val="6"/>
        <w:keepNext/>
      </w:pPr>
      <w:r>
        <w:rPr>
          <w:rFonts w:ascii="Microsoft YaHei" w:hAnsi="Microsoft YaHei" w:eastAsia="Microsoft YaHei"/>
          <w:b/>
          <w:i w:val="0"/>
          <w:color w:val="000000"/>
          <w:sz w:val="20"/>
        </w:rPr>
        <w:t>证据增强｜PICopilot 内部反馈与外部评分</w:t>
      </w:r>
    </w:p>
    <w:p>
      <w:pPr>
        <w:spacing w:after="120" w:line="278" w:lineRule="auto"/>
      </w:pPr>
      <w:r>
        <w:rPr>
          <w:rFonts w:ascii="Microsoft YaHei" w:hAnsi="Microsoft YaHei" w:eastAsia="Microsoft YaHei"/>
          <w:sz w:val="19"/>
        </w:rPr>
        <w:t>Source: Jiang et al., 2026, PICopilot: An LLM-based Agentic Framework for Assisting Photonic Integrated Circuit Design via Script Generation, Fig. 2、§3.6/4.1.4、Table 2/3，PDF p.3/6–7，DOI: 10.48550/arXiv.2608.01791。Fig. 2 展示 Task Planner、手册 RAG、脚本生成与评价；内部 Script Evaluator 使用静态代码检查、自定义检查库和 LLM，并未直接执行 PIC 工具。</w:t>
      </w:r>
    </w:p>
    <w:tbl>
      <w:tblPr>
        <w:tblW w:type="auto" w:w="0"/>
        <w:tblLayout w:type="fixed"/>
        <w:tblLook w:firstColumn="1" w:firstRow="1" w:lastColumn="0" w:lastRow="0" w:noHBand="0" w:noVBand="1" w:val="04A0"/>
      </w:tblPr>
      <w:tblGrid>
        <w:gridCol w:w="3293"/>
        <w:gridCol w:w="3293"/>
        <w:gridCol w:w="3293"/>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benchmark</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评分方法与原文定位</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7"/>
              </w:rPr>
              <w:t>边界</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48 项：12 基础、12 中级、24 高级</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外部执行生成脚本并与设计者 ground truth 比较；每任务 15 次，≥3 次成功计 solved。§4.1.4、Table 3，PDF p.7。</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7"/>
              </w:rPr>
              <w:t>FACT：任务与规则；不是内部仿真反馈。</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48/48 solved；pass@1 93.9%、pass@5 99.9%</w:t>
            </w:r>
          </w:p>
        </w:tc>
        <w:tc>
          <w:tcPr>
            <w:tcW w:type="dxa" w:w="446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Table 2，PDF p.7。</w:t>
            </w:r>
          </w:p>
        </w:tc>
        <w:tc>
          <w:tcPr>
            <w:tcW w:type="dxa" w:w="313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7"/>
              </w:rPr>
              <w:t>AUTHOR CLAIM；脚本功能一致不等于器件物理性能或代工签核。</w:t>
            </w:r>
          </w:p>
        </w:tc>
      </w:tr>
    </w:tbl>
    <w:p w14:paraId="40F55857">
      <w:r>
        <w:fldChar w:fldCharType="begin"/>
      </w:r>
      <w:r>
        <w:instrText xml:space="preserve"> HYPERLINK "https://arxiv.org/abs/2608.26113" \h </w:instrText>
      </w:r>
      <w:r>
        <w:fldChar w:fldCharType="separate"/>
      </w:r>
      <w:r>
        <w:rPr>
          <w:rFonts w:ascii="微软雅黑" w:hAnsi="微软雅黑" w:eastAsia="微软雅黑"/>
          <w:color w:val="205493"/>
        </w:rPr>
        <w:t>PICasso</w:t>
      </w:r>
      <w:r>
        <w:rPr>
          <w:rFonts w:ascii="微软雅黑" w:hAnsi="微软雅黑" w:eastAsia="微软雅黑"/>
          <w:color w:val="205493"/>
        </w:rPr>
        <w:fldChar w:fldCharType="end"/>
      </w:r>
      <w:r>
        <w:rPr>
          <w:rFonts w:ascii="微软雅黑" w:hAnsi="微软雅黑" w:eastAsia="微软雅黑"/>
        </w:rPr>
        <w:t xml:space="preserve"> 声称实现 NL → YAML → GDS → DRC/LVS → SAX → 优化，并覆盖 36 个任务。由于没有核验到公开实现，其架构和“manufacturable layouts”只能标为 </w:t>
      </w:r>
      <w:r>
        <w:rPr>
          <w:rFonts w:ascii="微软雅黑" w:hAnsi="微软雅黑" w:eastAsia="微软雅黑"/>
          <w:color w:val="44546A"/>
        </w:rPr>
        <w:t>AUTHOR CLAIM</w:t>
      </w:r>
      <w:r>
        <w:rPr>
          <w:rFonts w:ascii="微软雅黑" w:hAnsi="微软雅黑" w:eastAsia="微软雅黑"/>
        </w:rPr>
        <w:t>。通用 PDK、条件式 LVS 和电路仿真也不足以证明 foundry signoff。</w:t>
      </w:r>
    </w:p>
    <w:p w14:paraId="0065EC7F">
      <w:pPr>
        <w:pStyle w:val="5"/>
      </w:pPr>
      <w:r>
        <w:rPr>
          <w:rFonts w:ascii="微软雅黑" w:hAnsi="微软雅黑" w:eastAsia="微软雅黑"/>
        </w:rPr>
        <w:t>4.2.7 专业工具协议与自动工具构建参照</w:t>
      </w:r>
    </w:p>
    <w:p w14:paraId="74265AFE">
      <w:r>
        <w:fldChar w:fldCharType="begin"/>
      </w:r>
      <w:r>
        <w:instrText xml:space="preserve"> HYPERLINK "https://github.com/The-OpenROAD-Project/OpenROAD-MCP" \h </w:instrText>
      </w:r>
      <w:r>
        <w:fldChar w:fldCharType="separate"/>
      </w:r>
      <w:r>
        <w:rPr>
          <w:rFonts w:ascii="微软雅黑" w:hAnsi="微软雅黑" w:eastAsia="微软雅黑"/>
          <w:color w:val="205493"/>
        </w:rPr>
        <w:t>OpenROAD-MCP</w:t>
      </w:r>
      <w:r>
        <w:rPr>
          <w:rFonts w:ascii="微软雅黑" w:hAnsi="微软雅黑" w:eastAsia="微软雅黑"/>
          <w:color w:val="205493"/>
        </w:rPr>
        <w:fldChar w:fldCharType="end"/>
      </w:r>
      <w:r>
        <w:rPr>
          <w:rFonts w:ascii="微软雅黑" w:hAnsi="微软雅黑" w:eastAsia="微软雅黑"/>
        </w:rPr>
        <w:t xml:space="preserve"> 在电子设计自动化领域展示会话、权限、超时、结构化错误和专业工具边界，可作为 Tool Adapter 机制参照，但不能直接证明 PIC 适用性。</w:t>
      </w:r>
      <w:r>
        <w:fldChar w:fldCharType="begin"/>
      </w:r>
      <w:r>
        <w:instrText xml:space="preserve"> HYPERLINK "https://doi.org/10.1038/s41586-026-11044-y" \h </w:instrText>
      </w:r>
      <w:r>
        <w:fldChar w:fldCharType="separate"/>
      </w:r>
      <w:r>
        <w:rPr>
          <w:rFonts w:ascii="微软雅黑" w:hAnsi="微软雅黑" w:eastAsia="微软雅黑"/>
          <w:color w:val="205493"/>
        </w:rPr>
        <w:t>Paper2Agent</w:t>
      </w:r>
      <w:r>
        <w:rPr>
          <w:rFonts w:ascii="微软雅黑" w:hAnsi="微软雅黑" w:eastAsia="微软雅黑"/>
          <w:color w:val="205493"/>
        </w:rPr>
        <w:fldChar w:fldCharType="end"/>
      </w:r>
      <w:r>
        <w:rPr>
          <w:rFonts w:ascii="微软雅黑" w:hAnsi="微软雅黑" w:eastAsia="微软雅黑"/>
        </w:rPr>
        <w:t xml:space="preserve"> 把论文代码转化为带测试和追溯的 Skill/MCP 工具，可减少科学软件接入成本；其公开评价不是 PIC/EDA 任务，自动生成 wrapper 也不能保证物理模型、单位和适用域正确。</w:t>
      </w:r>
    </w:p>
    <w:p>
      <w:pPr>
        <w:pStyle w:val="6"/>
        <w:keepNext/>
        <w:pageBreakBefore/>
      </w:pPr>
      <w:r>
        <w:rPr>
          <w:rFonts w:ascii="Microsoft YaHei" w:hAnsi="Microsoft YaHei" w:eastAsia="Microsoft YaHei"/>
          <w:b/>
          <w:i w:val="0"/>
          <w:color w:val="000000"/>
          <w:sz w:val="20"/>
        </w:rPr>
        <w:t>4.2.8 PhIDO、PICopilot 与 Kharel 的验证层级比较</w:t>
      </w:r>
    </w:p>
    <w:p>
      <w:pPr>
        <w:spacing w:after="120" w:line="278" w:lineRule="auto"/>
      </w:pPr>
      <w:r>
        <w:rPr>
          <w:rFonts w:ascii="Microsoft YaHei" w:hAnsi="Microsoft YaHei" w:eastAsia="Microsoft YaHei"/>
          <w:sz w:val="19"/>
        </w:rPr>
        <w:t>TASK-016 证据增强：七篇代表工作。以下将八项比较维度转置排版，以便在竖版文档中阅读；完整原文定位见各证据卡及 TASK-016 证据日志。</w:t>
      </w:r>
    </w:p>
    <w:tbl>
      <w:tblPr>
        <w:tblW w:type="auto" w:w="0"/>
        <w:tblLayout w:type="fixed"/>
        <w:tblLook w:firstColumn="1" w:firstRow="1" w:lastColumn="0" w:lastRow="0" w:noHBand="0" w:noVBand="1" w:val="04A0"/>
      </w:tblPr>
      <w:tblGrid>
        <w:gridCol w:w="2469"/>
        <w:gridCol w:w="2469"/>
        <w:gridCol w:w="2469"/>
        <w:gridCol w:w="2469"/>
      </w:tblGrid>
      <w:tr>
        <w:trPr>
          <w:cantSplit/>
          <w:tblHeader w:val="true"/>
        </w:trPr>
        <w:tc>
          <w:tcPr>
            <w:tcW w:type="dxa" w:w="125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6"/>
              </w:rPr>
              <w:t>维度</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6"/>
              </w:rPr>
              <w:t>PhIDO</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6"/>
              </w:rPr>
              <w:t>PICopilot</w:t>
            </w:r>
          </w:p>
        </w:tc>
        <w:tc>
          <w:tcPr>
            <w:tcW w:type="dxa" w:w="290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74766"/>
          </w:tcPr>
          <w:p>
            <w:pPr>
              <w:spacing w:after="0" w:line="269" w:lineRule="auto"/>
            </w:pPr>
            <w:r>
              <w:rPr>
                <w:rFonts w:ascii="Microsoft YaHei" w:hAnsi="Microsoft YaHei" w:eastAsia="Microsoft YaHei"/>
                <w:b/>
                <w:color w:val="FFFFFF"/>
                <w:sz w:val="16"/>
              </w:rPr>
              <w:t>Kharel 2026</w:t>
            </w:r>
          </w:p>
        </w:tc>
      </w:tr>
      <w:tr>
        <w:trPr>
          <w:cantSplit/>
        </w:trPr>
        <w:tc>
          <w:tcPr>
            <w:tcW w:type="dxa" w:w="125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核心输入</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自然语言 PIC 要求</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自然语言脚本任务</w:t>
            </w:r>
          </w:p>
        </w:tc>
        <w:tc>
          <w:tcPr>
            <w:tcW w:type="dxa" w:w="290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人类给定目标/约束/仿真文件</w:t>
            </w:r>
          </w:p>
        </w:tc>
      </w:tr>
      <w:tr>
        <w:trPr>
          <w:cantSplit/>
        </w:trPr>
        <w:tc>
          <w:tcPr>
            <w:tcW w:type="dxa" w:w="125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Agent/Harness</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Interpreter＋Designer；DSL/RAG</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Planner＋Generator＋Synthesizer＋Evaluator；RAG</w:t>
            </w:r>
          </w:p>
        </w:tc>
        <w:tc>
          <w:tcPr>
            <w:tcW w:type="dxa" w:w="290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coding Agent；迭代日志</w:t>
            </w:r>
          </w:p>
        </w:tc>
      </w:tr>
      <w:tr>
        <w:trPr>
          <w:cantSplit/>
        </w:trPr>
        <w:tc>
          <w:tcPr>
            <w:tcW w:type="dxa" w:w="125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工具/Simulator</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GDSFactory、DRC、SAX</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内部静态检查；外部执行评分</w:t>
            </w:r>
          </w:p>
        </w:tc>
        <w:tc>
          <w:tcPr>
            <w:tcW w:type="dxa" w:w="290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Tidy3D/PhotonForge 等求解器＋DRC</w:t>
            </w:r>
          </w:p>
        </w:tc>
      </w:tr>
      <w:tr>
        <w:trPr>
          <w:cantSplit/>
        </w:trPr>
        <w:tc>
          <w:tcPr>
            <w:tcW w:type="dxa" w:w="125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输出</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schematic、DSL、GDSII</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Python 设计脚本</w:t>
            </w:r>
          </w:p>
        </w:tc>
        <w:tc>
          <w:tcPr>
            <w:tcW w:type="dxa" w:w="290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仿真设计/布局及数值日志</w:t>
            </w:r>
          </w:p>
        </w:tc>
      </w:tr>
      <w:tr>
        <w:trPr>
          <w:cantSplit/>
        </w:trPr>
        <w:tc>
          <w:tcPr>
            <w:tcW w:type="dxa" w:w="125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验证层级</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有效 schematic 与 GDSII</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参考输出功能一致</w:t>
            </w:r>
          </w:p>
        </w:tc>
        <w:tc>
          <w:tcPr>
            <w:tcW w:type="dxa" w:w="290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工程师给定定量验收＋仿真/DRC</w:t>
            </w:r>
          </w:p>
        </w:tc>
      </w:tr>
      <w:tr>
        <w:trPr>
          <w:cantSplit/>
        </w:trPr>
        <w:tc>
          <w:tcPr>
            <w:tcW w:type="dxa" w:w="125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物理约束</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PDK 组件、schema、路由/DRC</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手册检索、脚本静态检查</w:t>
            </w:r>
          </w:p>
        </w:tc>
        <w:tc>
          <w:tcPr>
            <w:tcW w:type="dxa" w:w="290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4F7FA"/>
          </w:tcPr>
          <w:p>
            <w:pPr>
              <w:spacing w:after="0" w:line="269" w:lineRule="auto"/>
            </w:pPr>
            <w:r>
              <w:rPr>
                <w:rFonts w:ascii="Microsoft YaHei" w:hAnsi="Microsoft YaHei" w:eastAsia="Microsoft YaHei"/>
                <w:b w:val="0"/>
                <w:color w:val="000000"/>
                <w:sz w:val="16"/>
              </w:rPr>
              <w:t>最小特征、几何/工艺/物理一致性闸门</w:t>
            </w:r>
          </w:p>
        </w:tc>
      </w:tr>
      <w:tr>
        <w:trPr>
          <w:cantSplit/>
        </w:trPr>
        <w:tc>
          <w:tcPr>
            <w:tcW w:type="dxa" w:w="125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当前边界</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非目标性能或 foundry signoff</w:t>
            </w:r>
          </w:p>
        </w:tc>
        <w:tc>
          <w:tcPr>
            <w:tcW w:type="dxa" w:w="283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内部无数值求解器闭环</w:t>
            </w:r>
          </w:p>
        </w:tc>
        <w:tc>
          <w:tcPr>
            <w:tcW w:type="dxa" w:w="290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Microsoft YaHei" w:hAnsi="Microsoft YaHei" w:eastAsia="Microsoft YaHei"/>
                <w:b w:val="0"/>
                <w:color w:val="000000"/>
                <w:sz w:val="16"/>
              </w:rPr>
              <w:t>专家纠正初设；无流片验证</w:t>
            </w:r>
          </w:p>
        </w:tc>
      </w:tr>
    </w:tbl>
    <w:p>
      <w:pPr>
        <w:spacing w:after="120" w:line="278" w:lineRule="auto"/>
      </w:pPr>
      <w:r>
        <w:rPr>
          <w:rFonts w:ascii="Microsoft YaHei" w:hAnsi="Microsoft YaHei" w:eastAsia="Microsoft YaHei"/>
          <w:sz w:val="19"/>
        </w:rPr>
        <w:t>这三项工作不能以单一成功率排序：输入对象、反馈位置与验收层级不同。INFERENCE；依据 Sharma Table II/§IV.A、Jiang §3.6/4.1.4、Kharel Fig. 1/Table S2/§S6。</w:t>
      </w:r>
    </w:p>
    <w:p w14:paraId="183E25BE">
      <w:pPr>
        <w:sectPr>
          <w:pgSz w:w="12240" w:h="15840"/>
          <w:pgMar w:top="1080" w:right="1181" w:bottom="1037" w:left="1181" w:header="720" w:footer="720" w:gutter="0"/>
          <w:cols w:space="720" w:num="1"/>
          <w:docGrid w:linePitch="360" w:charSpace="0"/>
        </w:sectPr>
      </w:pPr>
    </w:p>
    <w:p w14:paraId="2D65BE52">
      <w:pPr>
        <w:pStyle w:val="4"/>
      </w:pPr>
      <w:r>
        <w:t>4.3 Harness Capability Matrix</w:t>
      </w:r>
    </w:p>
    <w:tbl>
      <w:tblPr>
        <w:tblStyle w:val="32"/>
        <w:tblW w:w="0" w:type="auto"/>
        <w:tblInd w:w="0" w:type="dxa"/>
        <w:tblLayout w:type="fixed"/>
        <w:tblCellMar>
          <w:top w:w="0" w:type="dxa"/>
          <w:left w:w="108" w:type="dxa"/>
          <w:bottom w:w="0" w:type="dxa"/>
          <w:right w:w="108" w:type="dxa"/>
        </w:tblCellMar>
      </w:tblPr>
      <w:tblGrid>
        <w:gridCol w:w="1600"/>
        <w:gridCol w:w="1600"/>
        <w:gridCol w:w="1600"/>
        <w:gridCol w:w="1600"/>
        <w:gridCol w:w="1600"/>
        <w:gridCol w:w="1600"/>
        <w:gridCol w:w="1600"/>
        <w:gridCol w:w="1600"/>
        <w:gridCol w:w="1600"/>
      </w:tblGrid>
      <w:tr w14:paraId="25CFFBB0">
        <w:tblPrEx>
          <w:tblCellMar>
            <w:top w:w="0" w:type="dxa"/>
            <w:left w:w="108" w:type="dxa"/>
            <w:bottom w:w="0" w:type="dxa"/>
            <w:right w:w="108" w:type="dxa"/>
          </w:tblCellMar>
        </w:tblPrEx>
        <w:trPr>
          <w:cantSplit/>
          <w:tblHeader/>
        </w:trPr>
        <w:tc>
          <w:tcPr>
            <w:tcW w:w="1754"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2E6ECD45">
            <w:pPr>
              <w:spacing w:after="0" w:line="278" w:lineRule="auto"/>
            </w:pPr>
            <w:r>
              <w:rPr>
                <w:rFonts w:ascii="微软雅黑" w:hAnsi="微软雅黑" w:eastAsia="微软雅黑"/>
                <w:b/>
                <w:color w:val="FFFFFF"/>
                <w:sz w:val="15"/>
              </w:rPr>
              <w:t>对象</w:t>
            </w:r>
          </w:p>
        </w:tc>
        <w:tc>
          <w:tcPr>
            <w:tcW w:w="1316"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3891224E">
            <w:pPr>
              <w:spacing w:after="0" w:line="278" w:lineRule="auto"/>
              <w:jc w:val="center"/>
            </w:pPr>
            <w:r>
              <w:rPr>
                <w:rFonts w:ascii="微软雅黑" w:hAnsi="微软雅黑" w:eastAsia="微软雅黑"/>
                <w:b/>
                <w:color w:val="FFFFFF"/>
                <w:sz w:val="15"/>
              </w:rPr>
              <w:t>Spec/IR</w:t>
            </w:r>
          </w:p>
        </w:tc>
        <w:tc>
          <w:tcPr>
            <w:tcW w:w="1097"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3A63F410">
            <w:pPr>
              <w:spacing w:after="0" w:line="278" w:lineRule="auto"/>
              <w:jc w:val="center"/>
            </w:pPr>
            <w:r>
              <w:rPr>
                <w:rFonts w:ascii="微软雅黑" w:hAnsi="微软雅黑" w:eastAsia="微软雅黑"/>
                <w:b/>
                <w:color w:val="FFFFFF"/>
                <w:sz w:val="15"/>
              </w:rPr>
              <w:t>Planner</w:t>
            </w:r>
          </w:p>
        </w:tc>
        <w:tc>
          <w:tcPr>
            <w:tcW w:w="1243"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522DE77F">
            <w:pPr>
              <w:spacing w:after="0" w:line="278" w:lineRule="auto"/>
              <w:jc w:val="center"/>
            </w:pPr>
            <w:r>
              <w:rPr>
                <w:rFonts w:ascii="微软雅黑" w:hAnsi="微软雅黑" w:eastAsia="微软雅黑"/>
                <w:b/>
                <w:color w:val="FFFFFF"/>
                <w:sz w:val="15"/>
              </w:rPr>
              <w:t>真实 Tool</w:t>
            </w:r>
          </w:p>
        </w:tc>
        <w:tc>
          <w:tcPr>
            <w:tcW w:w="1608"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1C670558">
            <w:pPr>
              <w:spacing w:after="0" w:line="278" w:lineRule="auto"/>
            </w:pPr>
            <w:r>
              <w:rPr>
                <w:rFonts w:ascii="微软雅黑" w:hAnsi="微软雅黑" w:eastAsia="微软雅黑"/>
                <w:b/>
                <w:color w:val="FFFFFF"/>
                <w:sz w:val="15"/>
              </w:rPr>
              <w:t>Simulation</w:t>
            </w:r>
          </w:p>
        </w:tc>
        <w:tc>
          <w:tcPr>
            <w:tcW w:w="1828"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355F4E87">
            <w:pPr>
              <w:spacing w:after="0" w:line="278" w:lineRule="auto"/>
            </w:pPr>
            <w:r>
              <w:rPr>
                <w:rFonts w:ascii="微软雅黑" w:hAnsi="微软雅黑" w:eastAsia="微软雅黑"/>
                <w:b/>
                <w:color w:val="FFFFFF"/>
                <w:sz w:val="15"/>
              </w:rPr>
              <w:t>RESULT/Evaluator</w:t>
            </w:r>
          </w:p>
        </w:tc>
        <w:tc>
          <w:tcPr>
            <w:tcW w:w="1608"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4DAA2301">
            <w:pPr>
              <w:spacing w:after="0" w:line="278" w:lineRule="auto"/>
            </w:pPr>
            <w:r>
              <w:rPr>
                <w:rFonts w:ascii="微软雅黑" w:hAnsi="微软雅黑" w:eastAsia="微软雅黑"/>
                <w:b/>
                <w:color w:val="FFFFFF"/>
                <w:sz w:val="15"/>
              </w:rPr>
              <w:t>Retry/State</w:t>
            </w:r>
          </w:p>
        </w:tc>
        <w:tc>
          <w:tcPr>
            <w:tcW w:w="1828"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650E4580">
            <w:pPr>
              <w:spacing w:after="0" w:line="278" w:lineRule="auto"/>
            </w:pPr>
            <w:r>
              <w:rPr>
                <w:rFonts w:ascii="微软雅黑" w:hAnsi="微软雅黑" w:eastAsia="微软雅黑"/>
                <w:b/>
                <w:color w:val="FFFFFF"/>
                <w:sz w:val="15"/>
              </w:rPr>
              <w:t>Layout/Verification</w:t>
            </w:r>
          </w:p>
        </w:tc>
        <w:tc>
          <w:tcPr>
            <w:tcW w:w="2047"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20E0735D">
            <w:pPr>
              <w:spacing w:after="0" w:line="278" w:lineRule="auto"/>
            </w:pPr>
            <w:r>
              <w:rPr>
                <w:rFonts w:ascii="微软雅黑" w:hAnsi="微软雅黑" w:eastAsia="微软雅黑"/>
                <w:b/>
                <w:color w:val="FFFFFF"/>
                <w:sz w:val="15"/>
              </w:rPr>
              <w:t>诚实上限</w:t>
            </w:r>
          </w:p>
        </w:tc>
      </w:tr>
      <w:tr w14:paraId="091EF72D">
        <w:tblPrEx>
          <w:tblCellMar>
            <w:top w:w="0" w:type="dxa"/>
            <w:left w:w="108" w:type="dxa"/>
            <w:bottom w:w="0" w:type="dxa"/>
            <w:right w:w="108" w:type="dxa"/>
          </w:tblCellMar>
        </w:tblPrEx>
        <w:trPr>
          <w:cantSplit/>
        </w:trPr>
        <w:tc>
          <w:tcPr>
            <w:tcW w:w="175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1003719">
            <w:pPr>
              <w:spacing w:after="0" w:line="278" w:lineRule="auto"/>
            </w:pPr>
            <w:r>
              <w:rPr>
                <w:rFonts w:ascii="微软雅黑" w:hAnsi="微软雅黑" w:eastAsia="微软雅黑"/>
                <w:sz w:val="15"/>
              </w:rPr>
              <w:t>PhIDO</w:t>
            </w:r>
          </w:p>
        </w:tc>
        <w:tc>
          <w:tcPr>
            <w:tcW w:w="1316"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F778ABE">
            <w:pPr>
              <w:spacing w:after="0" w:line="278" w:lineRule="auto"/>
              <w:jc w:val="center"/>
            </w:pPr>
            <w:r>
              <w:rPr>
                <w:rFonts w:ascii="微软雅黑" w:hAnsi="微软雅黑" w:eastAsia="微软雅黑"/>
                <w:sz w:val="15"/>
              </w:rPr>
              <w:t>YAML + schema</w:t>
            </w:r>
          </w:p>
        </w:tc>
        <w:tc>
          <w:tcPr>
            <w:tcW w:w="109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B71D61B">
            <w:pPr>
              <w:spacing w:after="0" w:line="278" w:lineRule="auto"/>
              <w:jc w:val="center"/>
            </w:pPr>
            <w:r>
              <w:rPr>
                <w:rFonts w:ascii="微软雅黑" w:hAnsi="微软雅黑" w:eastAsia="微软雅黑"/>
                <w:sz w:val="15"/>
              </w:rPr>
              <w:t>部分</w:t>
            </w:r>
          </w:p>
        </w:tc>
        <w:tc>
          <w:tcPr>
            <w:tcW w:w="124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34B55388">
            <w:pPr>
              <w:spacing w:after="0" w:line="278" w:lineRule="auto"/>
              <w:jc w:val="center"/>
            </w:pPr>
            <w:r>
              <w:rPr>
                <w:rFonts w:ascii="微软雅黑" w:hAnsi="微软雅黑" w:eastAsia="微软雅黑"/>
                <w:sz w:val="15"/>
              </w:rPr>
              <w:t>是</w:t>
            </w:r>
          </w:p>
        </w:tc>
        <w:tc>
          <w:tcPr>
            <w:tcW w:w="160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B4C5437">
            <w:pPr>
              <w:spacing w:after="0" w:line="278" w:lineRule="auto"/>
            </w:pPr>
            <w:r>
              <w:rPr>
                <w:rFonts w:ascii="微软雅黑" w:hAnsi="微软雅黑" w:eastAsia="微软雅黑"/>
                <w:sz w:val="15"/>
              </w:rPr>
              <w:t>SAX；FDTD 非主发布</w:t>
            </w:r>
          </w:p>
        </w:tc>
        <w:tc>
          <w:tcPr>
            <w:tcW w:w="182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6C302F2">
            <w:pPr>
              <w:spacing w:after="0" w:line="278" w:lineRule="auto"/>
            </w:pPr>
            <w:r>
              <w:rPr>
                <w:rFonts w:ascii="微软雅黑" w:hAnsi="微软雅黑" w:eastAsia="微软雅黑"/>
                <w:sz w:val="15"/>
              </w:rPr>
              <w:t>结构/电路评价</w:t>
            </w:r>
          </w:p>
        </w:tc>
        <w:tc>
          <w:tcPr>
            <w:tcW w:w="160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911DB27">
            <w:pPr>
              <w:spacing w:after="0" w:line="278" w:lineRule="auto"/>
            </w:pPr>
            <w:r>
              <w:rPr>
                <w:rFonts w:ascii="微软雅黑" w:hAnsi="微软雅黑" w:eastAsia="微软雅黑"/>
                <w:sz w:val="15"/>
              </w:rPr>
              <w:t>部分</w:t>
            </w:r>
          </w:p>
        </w:tc>
        <w:tc>
          <w:tcPr>
            <w:tcW w:w="182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1BFFAC06">
            <w:pPr>
              <w:spacing w:after="0" w:line="278" w:lineRule="auto"/>
            </w:pPr>
            <w:r>
              <w:rPr>
                <w:rFonts w:ascii="微软雅黑" w:hAnsi="微软雅黑" w:eastAsia="微软雅黑"/>
                <w:sz w:val="15"/>
              </w:rPr>
              <w:t>GDS + DRC</w:t>
            </w:r>
          </w:p>
        </w:tc>
        <w:tc>
          <w:tcPr>
            <w:tcW w:w="204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39B31F7">
            <w:pPr>
              <w:spacing w:after="0" w:line="278" w:lineRule="auto"/>
            </w:pPr>
            <w:r>
              <w:rPr>
                <w:rFonts w:ascii="微软雅黑" w:hAnsi="微软雅黑" w:eastAsia="微软雅黑"/>
                <w:sz w:val="15"/>
              </w:rPr>
              <w:t>研究级结构与电路闭环</w:t>
            </w:r>
          </w:p>
        </w:tc>
      </w:tr>
      <w:tr w14:paraId="18DC91CE">
        <w:tblPrEx>
          <w:tblCellMar>
            <w:top w:w="0" w:type="dxa"/>
            <w:left w:w="108" w:type="dxa"/>
            <w:bottom w:w="0" w:type="dxa"/>
            <w:right w:w="108" w:type="dxa"/>
          </w:tblCellMar>
        </w:tblPrEx>
        <w:trPr>
          <w:cantSplit/>
        </w:trPr>
        <w:tc>
          <w:tcPr>
            <w:tcW w:w="1754"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7E0EA45">
            <w:pPr>
              <w:spacing w:after="0" w:line="278" w:lineRule="auto"/>
            </w:pPr>
            <w:r>
              <w:rPr>
                <w:rFonts w:ascii="微软雅黑" w:hAnsi="微软雅黑" w:eastAsia="微软雅黑"/>
                <w:sz w:val="15"/>
              </w:rPr>
              <w:t>AutoPhotonicDesign</w:t>
            </w:r>
          </w:p>
        </w:tc>
        <w:tc>
          <w:tcPr>
            <w:tcW w:w="1316"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1B4E36FE">
            <w:pPr>
              <w:spacing w:after="0" w:line="278" w:lineRule="auto"/>
              <w:jc w:val="center"/>
            </w:pPr>
            <w:r>
              <w:rPr>
                <w:rFonts w:ascii="微软雅黑" w:hAnsi="微软雅黑" w:eastAsia="微软雅黑"/>
                <w:sz w:val="15"/>
              </w:rPr>
              <w:t>Python/脚本 contract</w:t>
            </w:r>
          </w:p>
        </w:tc>
        <w:tc>
          <w:tcPr>
            <w:tcW w:w="109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68F7473">
            <w:pPr>
              <w:spacing w:after="0" w:line="278" w:lineRule="auto"/>
              <w:jc w:val="center"/>
            </w:pPr>
            <w:r>
              <w:rPr>
                <w:rFonts w:ascii="微软雅黑" w:hAnsi="微软雅黑" w:eastAsia="微软雅黑"/>
                <w:sz w:val="15"/>
              </w:rPr>
              <w:t>编程智能体</w:t>
            </w:r>
          </w:p>
        </w:tc>
        <w:tc>
          <w:tcPr>
            <w:tcW w:w="124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25E5951">
            <w:pPr>
              <w:spacing w:after="0" w:line="278" w:lineRule="auto"/>
              <w:jc w:val="center"/>
            </w:pPr>
            <w:r>
              <w:rPr>
                <w:rFonts w:ascii="微软雅黑" w:hAnsi="微软雅黑" w:eastAsia="微软雅黑"/>
                <w:sz w:val="15"/>
              </w:rPr>
              <w:t>是</w:t>
            </w:r>
          </w:p>
        </w:tc>
        <w:tc>
          <w:tcPr>
            <w:tcW w:w="160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535E9495">
            <w:pPr>
              <w:spacing w:after="0" w:line="278" w:lineRule="auto"/>
            </w:pPr>
            <w:r>
              <w:rPr>
                <w:rFonts w:ascii="微软雅黑" w:hAnsi="微软雅黑" w:eastAsia="微软雅黑"/>
                <w:sz w:val="15"/>
              </w:rPr>
              <w:t>真实物理求解器</w:t>
            </w:r>
          </w:p>
        </w:tc>
        <w:tc>
          <w:tcPr>
            <w:tcW w:w="182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080CD1B3">
            <w:pPr>
              <w:spacing w:after="0" w:line="278" w:lineRule="auto"/>
            </w:pPr>
            <w:r>
              <w:rPr>
                <w:rFonts w:ascii="微软雅黑" w:hAnsi="微软雅黑" w:eastAsia="微软雅黑"/>
                <w:sz w:val="15"/>
              </w:rPr>
              <w:t>engineer-defined evaluator</w:t>
            </w:r>
          </w:p>
        </w:tc>
        <w:tc>
          <w:tcPr>
            <w:tcW w:w="160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5DBCC7E9">
            <w:pPr>
              <w:spacing w:after="0" w:line="278" w:lineRule="auto"/>
            </w:pPr>
            <w:r>
              <w:rPr>
                <w:rFonts w:ascii="微软雅黑" w:hAnsi="微软雅黑" w:eastAsia="微软雅黑"/>
                <w:sz w:val="15"/>
              </w:rPr>
              <w:t>有迭代；专家介入</w:t>
            </w:r>
          </w:p>
        </w:tc>
        <w:tc>
          <w:tcPr>
            <w:tcW w:w="182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1A11F9F1">
            <w:pPr>
              <w:spacing w:after="0" w:line="278" w:lineRule="auto"/>
            </w:pPr>
            <w:r>
              <w:rPr>
                <w:rFonts w:ascii="微软雅黑" w:hAnsi="微软雅黑" w:eastAsia="微软雅黑"/>
                <w:sz w:val="15"/>
              </w:rPr>
              <w:t>器件优化为主</w:t>
            </w:r>
          </w:p>
        </w:tc>
        <w:tc>
          <w:tcPr>
            <w:tcW w:w="204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0CACD920">
            <w:pPr>
              <w:spacing w:after="0" w:line="278" w:lineRule="auto"/>
            </w:pPr>
            <w:r>
              <w:rPr>
                <w:rFonts w:ascii="微软雅黑" w:hAnsi="微软雅黑" w:eastAsia="微软雅黑"/>
                <w:sz w:val="15"/>
              </w:rPr>
              <w:t>人类配置后的仿真在环</w:t>
            </w:r>
          </w:p>
        </w:tc>
      </w:tr>
      <w:tr w14:paraId="618708EC">
        <w:tblPrEx>
          <w:tblCellMar>
            <w:top w:w="0" w:type="dxa"/>
            <w:left w:w="108" w:type="dxa"/>
            <w:bottom w:w="0" w:type="dxa"/>
            <w:right w:w="108" w:type="dxa"/>
          </w:tblCellMar>
        </w:tblPrEx>
        <w:trPr>
          <w:cantSplit/>
        </w:trPr>
        <w:tc>
          <w:tcPr>
            <w:tcW w:w="175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8557910">
            <w:pPr>
              <w:spacing w:after="0" w:line="278" w:lineRule="auto"/>
            </w:pPr>
            <w:r>
              <w:rPr>
                <w:rFonts w:ascii="微软雅黑" w:hAnsi="微软雅黑" w:eastAsia="微软雅黑"/>
                <w:sz w:val="15"/>
              </w:rPr>
              <w:t>gdsfactory/gplugins</w:t>
            </w:r>
          </w:p>
        </w:tc>
        <w:tc>
          <w:tcPr>
            <w:tcW w:w="1316"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85E2476">
            <w:pPr>
              <w:spacing w:after="0" w:line="278" w:lineRule="auto"/>
              <w:jc w:val="center"/>
            </w:pPr>
            <w:r>
              <w:rPr>
                <w:rFonts w:ascii="微软雅黑" w:hAnsi="微软雅黑" w:eastAsia="微软雅黑"/>
                <w:sz w:val="15"/>
              </w:rPr>
              <w:t>Python/API</w:t>
            </w:r>
          </w:p>
        </w:tc>
        <w:tc>
          <w:tcPr>
            <w:tcW w:w="109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D53E43C">
            <w:pPr>
              <w:spacing w:after="0" w:line="278" w:lineRule="auto"/>
              <w:jc w:val="center"/>
            </w:pPr>
            <w:r>
              <w:rPr>
                <w:rFonts w:ascii="微软雅黑" w:hAnsi="微软雅黑" w:eastAsia="微软雅黑"/>
                <w:sz w:val="15"/>
              </w:rPr>
              <w:t>无</w:t>
            </w:r>
          </w:p>
        </w:tc>
        <w:tc>
          <w:tcPr>
            <w:tcW w:w="124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DF06FEF">
            <w:pPr>
              <w:spacing w:after="0" w:line="278" w:lineRule="auto"/>
              <w:jc w:val="center"/>
            </w:pPr>
            <w:r>
              <w:rPr>
                <w:rFonts w:ascii="微软雅黑" w:hAnsi="微软雅黑" w:eastAsia="微软雅黑"/>
                <w:sz w:val="15"/>
              </w:rPr>
              <w:t>是</w:t>
            </w:r>
          </w:p>
        </w:tc>
        <w:tc>
          <w:tcPr>
            <w:tcW w:w="160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1DDCADD3">
            <w:pPr>
              <w:spacing w:after="0" w:line="278" w:lineRule="auto"/>
            </w:pPr>
            <w:r>
              <w:rPr>
                <w:rFonts w:ascii="微软雅黑" w:hAnsi="微软雅黑" w:eastAsia="微软雅黑"/>
                <w:sz w:val="15"/>
              </w:rPr>
              <w:t>多后端适配</w:t>
            </w:r>
          </w:p>
        </w:tc>
        <w:tc>
          <w:tcPr>
            <w:tcW w:w="182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32C0B805">
            <w:pPr>
              <w:spacing w:after="0" w:line="278" w:lineRule="auto"/>
            </w:pPr>
            <w:r>
              <w:rPr>
                <w:rFonts w:ascii="微软雅黑" w:hAnsi="微软雅黑" w:eastAsia="微软雅黑"/>
                <w:sz w:val="15"/>
              </w:rPr>
              <w:t>工具输出</w:t>
            </w:r>
          </w:p>
        </w:tc>
        <w:tc>
          <w:tcPr>
            <w:tcW w:w="160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C6CDFC7">
            <w:pPr>
              <w:spacing w:after="0" w:line="278" w:lineRule="auto"/>
            </w:pPr>
            <w:r>
              <w:rPr>
                <w:rFonts w:ascii="微软雅黑" w:hAnsi="微软雅黑" w:eastAsia="微软雅黑"/>
                <w:sz w:val="15"/>
              </w:rPr>
              <w:t>无 Agent 状态</w:t>
            </w:r>
          </w:p>
        </w:tc>
        <w:tc>
          <w:tcPr>
            <w:tcW w:w="182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66D4BEB">
            <w:pPr>
              <w:spacing w:after="0" w:line="278" w:lineRule="auto"/>
            </w:pPr>
            <w:r>
              <w:rPr>
                <w:rFonts w:ascii="微软雅黑" w:hAnsi="微软雅黑" w:eastAsia="微软雅黑"/>
                <w:sz w:val="15"/>
              </w:rPr>
              <w:t>GDS/路由/工艺接口</w:t>
            </w:r>
          </w:p>
        </w:tc>
        <w:tc>
          <w:tcPr>
            <w:tcW w:w="204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2012721">
            <w:pPr>
              <w:spacing w:after="0" w:line="278" w:lineRule="auto"/>
            </w:pPr>
            <w:r>
              <w:rPr>
                <w:rFonts w:ascii="微软雅黑" w:hAnsi="微软雅黑" w:eastAsia="微软雅黑"/>
                <w:sz w:val="15"/>
              </w:rPr>
              <w:t>Tool Layer</w:t>
            </w:r>
          </w:p>
        </w:tc>
      </w:tr>
      <w:tr w14:paraId="0C40E78D">
        <w:tblPrEx>
          <w:tblCellMar>
            <w:top w:w="0" w:type="dxa"/>
            <w:left w:w="108" w:type="dxa"/>
            <w:bottom w:w="0" w:type="dxa"/>
            <w:right w:w="108" w:type="dxa"/>
          </w:tblCellMar>
        </w:tblPrEx>
        <w:trPr>
          <w:cantSplit/>
        </w:trPr>
        <w:tc>
          <w:tcPr>
            <w:tcW w:w="1754"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58E18863">
            <w:pPr>
              <w:spacing w:after="0" w:line="278" w:lineRule="auto"/>
            </w:pPr>
            <w:r>
              <w:rPr>
                <w:rFonts w:ascii="微软雅黑" w:hAnsi="微软雅黑" w:eastAsia="微软雅黑"/>
                <w:sz w:val="15"/>
              </w:rPr>
              <w:t>PICBench</w:t>
            </w:r>
          </w:p>
        </w:tc>
        <w:tc>
          <w:tcPr>
            <w:tcW w:w="1316"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1351104F">
            <w:pPr>
              <w:spacing w:after="0" w:line="278" w:lineRule="auto"/>
              <w:jc w:val="center"/>
            </w:pPr>
            <w:r>
              <w:rPr>
                <w:rFonts w:ascii="微软雅黑" w:hAnsi="微软雅黑" w:eastAsia="微软雅黑"/>
                <w:sz w:val="15"/>
              </w:rPr>
              <w:t>JSON netlist</w:t>
            </w:r>
          </w:p>
        </w:tc>
        <w:tc>
          <w:tcPr>
            <w:tcW w:w="109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E97F5C6">
            <w:pPr>
              <w:spacing w:after="0" w:line="278" w:lineRule="auto"/>
              <w:jc w:val="center"/>
            </w:pPr>
            <w:r>
              <w:rPr>
                <w:rFonts w:ascii="微软雅黑" w:hAnsi="微软雅黑" w:eastAsia="微软雅黑"/>
                <w:sz w:val="15"/>
              </w:rPr>
              <w:t>生成/反馈</w:t>
            </w:r>
          </w:p>
        </w:tc>
        <w:tc>
          <w:tcPr>
            <w:tcW w:w="124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66E352AB">
            <w:pPr>
              <w:spacing w:after="0" w:line="278" w:lineRule="auto"/>
              <w:jc w:val="center"/>
            </w:pPr>
            <w:r>
              <w:rPr>
                <w:rFonts w:ascii="微软雅黑" w:hAnsi="微软雅黑" w:eastAsia="微软雅黑"/>
                <w:sz w:val="15"/>
              </w:rPr>
              <w:t>SAX evaluator</w:t>
            </w:r>
          </w:p>
        </w:tc>
        <w:tc>
          <w:tcPr>
            <w:tcW w:w="160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56136E39">
            <w:pPr>
              <w:spacing w:after="0" w:line="278" w:lineRule="auto"/>
            </w:pPr>
            <w:r>
              <w:rPr>
                <w:rFonts w:ascii="微软雅黑" w:hAnsi="微软雅黑" w:eastAsia="微软雅黑"/>
                <w:sz w:val="15"/>
              </w:rPr>
              <w:t>电路紧凑模型</w:t>
            </w:r>
          </w:p>
        </w:tc>
        <w:tc>
          <w:tcPr>
            <w:tcW w:w="182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0875855">
            <w:pPr>
              <w:spacing w:after="0" w:line="278" w:lineRule="auto"/>
            </w:pPr>
            <w:r>
              <w:rPr>
                <w:rFonts w:ascii="微软雅黑" w:hAnsi="微软雅黑" w:eastAsia="微软雅黑"/>
                <w:sz w:val="15"/>
              </w:rPr>
              <w:t>自动功能评价</w:t>
            </w:r>
          </w:p>
        </w:tc>
        <w:tc>
          <w:tcPr>
            <w:tcW w:w="160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2CD806B">
            <w:pPr>
              <w:spacing w:after="0" w:line="278" w:lineRule="auto"/>
            </w:pPr>
            <w:r>
              <w:rPr>
                <w:rFonts w:ascii="微软雅黑" w:hAnsi="微软雅黑" w:eastAsia="微软雅黑"/>
                <w:sz w:val="15"/>
              </w:rPr>
              <w:t>有限 trial</w:t>
            </w:r>
          </w:p>
        </w:tc>
        <w:tc>
          <w:tcPr>
            <w:tcW w:w="182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A7A2779">
            <w:pPr>
              <w:spacing w:after="0" w:line="278" w:lineRule="auto"/>
            </w:pPr>
            <w:r>
              <w:rPr>
                <w:rFonts w:ascii="微软雅黑" w:hAnsi="微软雅黑" w:eastAsia="微软雅黑"/>
                <w:sz w:val="15"/>
              </w:rPr>
              <w:t>无全流程版图验证</w:t>
            </w:r>
          </w:p>
        </w:tc>
        <w:tc>
          <w:tcPr>
            <w:tcW w:w="204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54A2A3D">
            <w:pPr>
              <w:spacing w:after="0" w:line="278" w:lineRule="auto"/>
            </w:pPr>
            <w:r>
              <w:rPr>
                <w:rFonts w:ascii="微软雅黑" w:hAnsi="微软雅黑" w:eastAsia="微软雅黑"/>
                <w:sz w:val="15"/>
              </w:rPr>
              <w:t>Benchmark/Evaluator</w:t>
            </w:r>
          </w:p>
        </w:tc>
      </w:tr>
      <w:tr w14:paraId="6EDCB936">
        <w:tblPrEx>
          <w:tblCellMar>
            <w:top w:w="0" w:type="dxa"/>
            <w:left w:w="108" w:type="dxa"/>
            <w:bottom w:w="0" w:type="dxa"/>
            <w:right w:w="108" w:type="dxa"/>
          </w:tblCellMar>
        </w:tblPrEx>
        <w:trPr>
          <w:cantSplit/>
        </w:trPr>
        <w:tc>
          <w:tcPr>
            <w:tcW w:w="175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64233AF">
            <w:pPr>
              <w:spacing w:after="0" w:line="278" w:lineRule="auto"/>
            </w:pPr>
            <w:r>
              <w:rPr>
                <w:rFonts w:ascii="微软雅黑" w:hAnsi="微软雅黑" w:eastAsia="微软雅黑"/>
                <w:sz w:val="15"/>
              </w:rPr>
              <w:t>MetaChat</w:t>
            </w:r>
          </w:p>
        </w:tc>
        <w:tc>
          <w:tcPr>
            <w:tcW w:w="1316"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33E8D04">
            <w:pPr>
              <w:spacing w:after="0" w:line="278" w:lineRule="auto"/>
              <w:jc w:val="center"/>
            </w:pPr>
            <w:r>
              <w:rPr>
                <w:rFonts w:ascii="微软雅黑" w:hAnsi="微软雅黑" w:eastAsia="微软雅黑"/>
                <w:sz w:val="15"/>
              </w:rPr>
              <w:t>任务参数</w:t>
            </w:r>
          </w:p>
        </w:tc>
        <w:tc>
          <w:tcPr>
            <w:tcW w:w="109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769FEDE">
            <w:pPr>
              <w:spacing w:after="0" w:line="278" w:lineRule="auto"/>
              <w:jc w:val="center"/>
            </w:pPr>
            <w:r>
              <w:rPr>
                <w:rFonts w:ascii="微软雅黑" w:hAnsi="微软雅黑" w:eastAsia="微软雅黑"/>
                <w:sz w:val="15"/>
              </w:rPr>
              <w:t>多模块流程</w:t>
            </w:r>
          </w:p>
        </w:tc>
        <w:tc>
          <w:tcPr>
            <w:tcW w:w="124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06865CC">
            <w:pPr>
              <w:spacing w:after="0" w:line="278" w:lineRule="auto"/>
              <w:jc w:val="center"/>
            </w:pPr>
            <w:r>
              <w:rPr>
                <w:rFonts w:ascii="微软雅黑" w:hAnsi="微软雅黑" w:eastAsia="微软雅黑"/>
                <w:sz w:val="15"/>
              </w:rPr>
              <w:t>代理+FDFD 证据</w:t>
            </w:r>
          </w:p>
        </w:tc>
        <w:tc>
          <w:tcPr>
            <w:tcW w:w="160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10003BE">
            <w:pPr>
              <w:spacing w:after="0" w:line="278" w:lineRule="auto"/>
            </w:pPr>
            <w:r>
              <w:rPr>
                <w:rFonts w:ascii="微软雅黑" w:hAnsi="微软雅黑" w:eastAsia="微软雅黑"/>
                <w:sz w:val="15"/>
              </w:rPr>
              <w:t>代理为主、FDFD 数据/抽查</w:t>
            </w:r>
          </w:p>
        </w:tc>
        <w:tc>
          <w:tcPr>
            <w:tcW w:w="182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8D0399F">
            <w:pPr>
              <w:spacing w:after="0" w:line="278" w:lineRule="auto"/>
            </w:pPr>
            <w:r>
              <w:rPr>
                <w:rFonts w:ascii="微软雅黑" w:hAnsi="微软雅黑" w:eastAsia="微软雅黑"/>
                <w:sz w:val="15"/>
              </w:rPr>
              <w:t>目标函数</w:t>
            </w:r>
          </w:p>
        </w:tc>
        <w:tc>
          <w:tcPr>
            <w:tcW w:w="160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2CF8556D">
            <w:pPr>
              <w:spacing w:after="0" w:line="278" w:lineRule="auto"/>
            </w:pPr>
            <w:r>
              <w:rPr>
                <w:rFonts w:ascii="微软雅黑" w:hAnsi="微软雅黑" w:eastAsia="微软雅黑"/>
                <w:sz w:val="15"/>
              </w:rPr>
              <w:t>优化循环</w:t>
            </w:r>
          </w:p>
        </w:tc>
        <w:tc>
          <w:tcPr>
            <w:tcW w:w="182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7D46260">
            <w:pPr>
              <w:spacing w:after="0" w:line="278" w:lineRule="auto"/>
            </w:pPr>
            <w:r>
              <w:rPr>
                <w:rFonts w:ascii="微软雅黑" w:hAnsi="微软雅黑" w:eastAsia="微软雅黑"/>
                <w:sz w:val="15"/>
              </w:rPr>
              <w:t>非 PIC</w:t>
            </w:r>
          </w:p>
        </w:tc>
        <w:tc>
          <w:tcPr>
            <w:tcW w:w="204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97515FE">
            <w:pPr>
              <w:spacing w:after="0" w:line="278" w:lineRule="auto"/>
            </w:pPr>
            <w:r>
              <w:rPr>
                <w:rFonts w:ascii="微软雅黑" w:hAnsi="微软雅黑" w:eastAsia="微软雅黑"/>
                <w:sz w:val="15"/>
              </w:rPr>
              <w:t>相邻领域机制参照</w:t>
            </w:r>
          </w:p>
        </w:tc>
      </w:tr>
      <w:tr w14:paraId="5F08CD2E">
        <w:tblPrEx>
          <w:tblCellMar>
            <w:top w:w="0" w:type="dxa"/>
            <w:left w:w="108" w:type="dxa"/>
            <w:bottom w:w="0" w:type="dxa"/>
            <w:right w:w="108" w:type="dxa"/>
          </w:tblCellMar>
        </w:tblPrEx>
        <w:trPr>
          <w:cantSplit/>
        </w:trPr>
        <w:tc>
          <w:tcPr>
            <w:tcW w:w="1754"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09FB218B">
            <w:pPr>
              <w:spacing w:after="0" w:line="278" w:lineRule="auto"/>
            </w:pPr>
            <w:r>
              <w:rPr>
                <w:rFonts w:ascii="微软雅黑" w:hAnsi="微软雅黑" w:eastAsia="微软雅黑"/>
                <w:sz w:val="15"/>
              </w:rPr>
              <w:t>PICopilot</w:t>
            </w:r>
          </w:p>
        </w:tc>
        <w:tc>
          <w:tcPr>
            <w:tcW w:w="1316"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49110FA7">
            <w:pPr>
              <w:spacing w:after="0" w:line="278" w:lineRule="auto"/>
              <w:jc w:val="center"/>
            </w:pPr>
            <w:r>
              <w:rPr>
                <w:rFonts w:ascii="微软雅黑" w:hAnsi="微软雅黑" w:eastAsia="微软雅黑"/>
                <w:sz w:val="15"/>
              </w:rPr>
              <w:t>脚本</w:t>
            </w:r>
          </w:p>
        </w:tc>
        <w:tc>
          <w:tcPr>
            <w:tcW w:w="109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1B2B52E9">
            <w:pPr>
              <w:spacing w:after="0" w:line="278" w:lineRule="auto"/>
              <w:jc w:val="center"/>
            </w:pPr>
            <w:r>
              <w:rPr>
                <w:rFonts w:ascii="微软雅黑" w:hAnsi="微软雅黑" w:eastAsia="微软雅黑"/>
                <w:sz w:val="15"/>
              </w:rPr>
              <w:t>多 Agent/RAG（作者）</w:t>
            </w:r>
          </w:p>
        </w:tc>
        <w:tc>
          <w:tcPr>
            <w:tcW w:w="124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C34596D">
            <w:pPr>
              <w:spacing w:after="0" w:line="278" w:lineRule="auto"/>
              <w:jc w:val="center"/>
            </w:pPr>
            <w:r>
              <w:rPr>
                <w:rFonts w:ascii="微软雅黑" w:hAnsi="微软雅黑" w:eastAsia="微软雅黑"/>
                <w:sz w:val="15"/>
              </w:rPr>
              <w:t>输出脚本可运行</w:t>
            </w:r>
          </w:p>
        </w:tc>
        <w:tc>
          <w:tcPr>
            <w:tcW w:w="160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539C8571">
            <w:pPr>
              <w:spacing w:after="0" w:line="278" w:lineRule="auto"/>
            </w:pPr>
            <w:r>
              <w:rPr>
                <w:rFonts w:ascii="微软雅黑" w:hAnsi="微软雅黑" w:eastAsia="微软雅黑"/>
                <w:sz w:val="15"/>
              </w:rPr>
              <w:t>部分任务生成 FDTD 脚本</w:t>
            </w:r>
          </w:p>
        </w:tc>
        <w:tc>
          <w:tcPr>
            <w:tcW w:w="182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54C19996">
            <w:pPr>
              <w:spacing w:after="0" w:line="278" w:lineRule="auto"/>
            </w:pPr>
            <w:r>
              <w:rPr>
                <w:rFonts w:ascii="微软雅黑" w:hAnsi="微软雅黑" w:eastAsia="微软雅黑"/>
                <w:sz w:val="15"/>
              </w:rPr>
              <w:t>48 任务</w:t>
            </w:r>
          </w:p>
        </w:tc>
        <w:tc>
          <w:tcPr>
            <w:tcW w:w="160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EA4F498">
            <w:pPr>
              <w:spacing w:after="0" w:line="278" w:lineRule="auto"/>
            </w:pPr>
            <w:r>
              <w:rPr>
                <w:rFonts w:ascii="微软雅黑" w:hAnsi="微软雅黑" w:eastAsia="微软雅黑"/>
                <w:sz w:val="15"/>
              </w:rPr>
              <w:t>论文描述</w:t>
            </w:r>
          </w:p>
        </w:tc>
        <w:tc>
          <w:tcPr>
            <w:tcW w:w="182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6E0C89FA">
            <w:pPr>
              <w:spacing w:after="0" w:line="278" w:lineRule="auto"/>
            </w:pPr>
            <w:r>
              <w:rPr>
                <w:rFonts w:ascii="微软雅黑" w:hAnsi="微软雅黑" w:eastAsia="微软雅黑"/>
                <w:sz w:val="15"/>
              </w:rPr>
              <w:t>代码输出/结果核对</w:t>
            </w:r>
          </w:p>
        </w:tc>
        <w:tc>
          <w:tcPr>
            <w:tcW w:w="204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76ACDCEF">
            <w:pPr>
              <w:spacing w:after="0" w:line="278" w:lineRule="auto"/>
            </w:pPr>
            <w:r>
              <w:rPr>
                <w:rFonts w:ascii="微软雅黑" w:hAnsi="微软雅黑" w:eastAsia="微软雅黑"/>
                <w:sz w:val="15"/>
              </w:rPr>
              <w:t>脚本生成基准</w:t>
            </w:r>
          </w:p>
        </w:tc>
      </w:tr>
      <w:tr w14:paraId="669D6E21">
        <w:tblPrEx>
          <w:tblCellMar>
            <w:top w:w="0" w:type="dxa"/>
            <w:left w:w="108" w:type="dxa"/>
            <w:bottom w:w="0" w:type="dxa"/>
            <w:right w:w="108" w:type="dxa"/>
          </w:tblCellMar>
        </w:tblPrEx>
        <w:trPr>
          <w:cantSplit/>
        </w:trPr>
        <w:tc>
          <w:tcPr>
            <w:tcW w:w="175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6410655">
            <w:pPr>
              <w:spacing w:after="0" w:line="278" w:lineRule="auto"/>
            </w:pPr>
            <w:r>
              <w:rPr>
                <w:rFonts w:ascii="微软雅黑" w:hAnsi="微软雅黑" w:eastAsia="微软雅黑"/>
                <w:sz w:val="15"/>
              </w:rPr>
              <w:t>PICasso</w:t>
            </w:r>
          </w:p>
        </w:tc>
        <w:tc>
          <w:tcPr>
            <w:tcW w:w="1316"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B174017">
            <w:pPr>
              <w:spacing w:after="0" w:line="278" w:lineRule="auto"/>
              <w:jc w:val="center"/>
            </w:pPr>
            <w:r>
              <w:rPr>
                <w:rFonts w:ascii="微软雅黑" w:hAnsi="微软雅黑" w:eastAsia="微软雅黑"/>
                <w:sz w:val="15"/>
              </w:rPr>
              <w:t>YAML（作者）</w:t>
            </w:r>
          </w:p>
        </w:tc>
        <w:tc>
          <w:tcPr>
            <w:tcW w:w="109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6BBE4CD">
            <w:pPr>
              <w:spacing w:after="0" w:line="278" w:lineRule="auto"/>
              <w:jc w:val="center"/>
            </w:pPr>
            <w:r>
              <w:rPr>
                <w:rFonts w:ascii="微软雅黑" w:hAnsi="微软雅黑" w:eastAsia="微软雅黑"/>
                <w:sz w:val="15"/>
              </w:rPr>
              <w:t>是（作者）</w:t>
            </w:r>
          </w:p>
        </w:tc>
        <w:tc>
          <w:tcPr>
            <w:tcW w:w="124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1056A47">
            <w:pPr>
              <w:spacing w:after="0" w:line="278" w:lineRule="auto"/>
              <w:jc w:val="center"/>
            </w:pPr>
            <w:r>
              <w:rPr>
                <w:rFonts w:ascii="微软雅黑" w:hAnsi="微软雅黑" w:eastAsia="微软雅黑"/>
                <w:sz w:val="15"/>
              </w:rPr>
              <w:t>作者声称</w:t>
            </w:r>
          </w:p>
        </w:tc>
        <w:tc>
          <w:tcPr>
            <w:tcW w:w="160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1F978735">
            <w:pPr>
              <w:spacing w:after="0" w:line="278" w:lineRule="auto"/>
            </w:pPr>
            <w:r>
              <w:rPr>
                <w:rFonts w:ascii="微软雅黑" w:hAnsi="微软雅黑" w:eastAsia="微软雅黑"/>
                <w:sz w:val="15"/>
              </w:rPr>
              <w:t>SAX 等（作者）</w:t>
            </w:r>
          </w:p>
        </w:tc>
        <w:tc>
          <w:tcPr>
            <w:tcW w:w="182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39E798DC">
            <w:pPr>
              <w:spacing w:after="0" w:line="278" w:lineRule="auto"/>
            </w:pPr>
            <w:r>
              <w:rPr>
                <w:rFonts w:ascii="微软雅黑" w:hAnsi="微软雅黑" w:eastAsia="微软雅黑"/>
                <w:sz w:val="15"/>
              </w:rPr>
              <w:t>任务评价（作者）</w:t>
            </w:r>
          </w:p>
        </w:tc>
        <w:tc>
          <w:tcPr>
            <w:tcW w:w="160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36FA4EFB">
            <w:pPr>
              <w:spacing w:after="0" w:line="278" w:lineRule="auto"/>
            </w:pPr>
            <w:r>
              <w:rPr>
                <w:rFonts w:ascii="微软雅黑" w:hAnsi="微软雅黑" w:eastAsia="微软雅黑"/>
                <w:sz w:val="15"/>
              </w:rPr>
              <w:t>作者声称</w:t>
            </w:r>
          </w:p>
        </w:tc>
        <w:tc>
          <w:tcPr>
            <w:tcW w:w="182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36FFD7FC">
            <w:pPr>
              <w:spacing w:after="0" w:line="278" w:lineRule="auto"/>
            </w:pPr>
            <w:r>
              <w:rPr>
                <w:rFonts w:ascii="微软雅黑" w:hAnsi="微软雅黑" w:eastAsia="微软雅黑"/>
                <w:sz w:val="15"/>
              </w:rPr>
              <w:t>GDS/DRC/LVS（作者）</w:t>
            </w:r>
          </w:p>
        </w:tc>
        <w:tc>
          <w:tcPr>
            <w:tcW w:w="204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6CCF163">
            <w:pPr>
              <w:spacing w:after="0" w:line="278" w:lineRule="auto"/>
            </w:pPr>
            <w:r>
              <w:rPr>
                <w:rFonts w:ascii="微软雅黑" w:hAnsi="微软雅黑" w:eastAsia="微软雅黑"/>
                <w:sz w:val="15"/>
              </w:rPr>
              <w:t>无代码的一篇论文主张</w:t>
            </w:r>
          </w:p>
        </w:tc>
      </w:tr>
    </w:tbl>
    <w:p w14:paraId="220719C0">
      <w:pPr>
        <w:sectPr>
          <w:pgSz w:w="15840" w:h="12240" w:orient="landscape"/>
          <w:pgMar w:top="835" w:right="720" w:bottom="835" w:left="720" w:header="720" w:footer="720" w:gutter="0"/>
          <w:cols w:space="720" w:num="1"/>
          <w:docGrid w:linePitch="360" w:charSpace="0"/>
        </w:sectPr>
      </w:pPr>
    </w:p>
    <w:p w14:paraId="2C16AD5D">
      <w:pPr>
        <w:pStyle w:val="4"/>
      </w:pPr>
      <w:r>
        <w:rPr>
          <w:rFonts w:ascii="微软雅黑" w:hAnsi="微软雅黑" w:eastAsia="微软雅黑"/>
        </w:rPr>
        <w:t>4.4 Reference Architecture V0</w:t>
      </w:r>
    </w:p>
    <w:p w14:paraId="79A73CBC">
      <w:pPr>
        <w:spacing w:after="140"/>
        <w:jc w:val="center"/>
      </w:pPr>
      <w:r>
        <w:drawing>
          <wp:inline distT="0" distB="0" distL="114300" distR="114300">
            <wp:extent cx="6080760" cy="7670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80760" cy="7671113"/>
                    </a:xfrm>
                    <a:prstGeom prst="rect">
                      <a:avLst/>
                    </a:prstGeom>
                  </pic:spPr>
                </pic:pic>
              </a:graphicData>
            </a:graphic>
          </wp:inline>
        </w:drawing>
      </w:r>
    </w:p>
    <w:p w14:paraId="53C7A467">
      <w:r>
        <w:rPr>
          <w:rFonts w:ascii="微软雅黑" w:hAnsi="微软雅黑" w:eastAsia="微软雅黑"/>
        </w:rPr>
        <w:t>该架构不是“必须全部自研”的蓝图，而是把责任分开：LLM 产生计划与候选；Tool Adapter 保证输入契约和执行边界；求解器/CAD/EDA 产生确定性产物；Evaluator 计算指标；Evidence Ledger 保存版本、条件和失败；Verification Gate 决定当前证据能够支持多强结论。</w:t>
      </w:r>
    </w:p>
    <w:p w14:paraId="47875515">
      <w:pPr>
        <w:pStyle w:val="4"/>
      </w:pPr>
      <w:r>
        <w:rPr>
          <w:rFonts w:ascii="微软雅黑" w:hAnsi="微软雅黑" w:eastAsia="微软雅黑"/>
        </w:rPr>
        <w:t>4.5 关键研究缺口</w:t>
      </w:r>
    </w:p>
    <w:p w14:paraId="60E60F41">
      <w:pPr>
        <w:spacing w:after="80"/>
        <w:ind w:left="360" w:hanging="360"/>
      </w:pPr>
      <w:r>
        <w:rPr>
          <w:rFonts w:ascii="微软雅黑" w:hAnsi="微软雅黑" w:eastAsia="微软雅黑"/>
        </w:rPr>
        <w:t xml:space="preserve">1. </w:t>
      </w:r>
      <w:r>
        <w:rPr>
          <w:rFonts w:ascii="微软雅黑" w:hAnsi="微软雅黑" w:eastAsia="微软雅黑"/>
          <w:b/>
        </w:rPr>
        <w:t>可靠 DesignSpec/IR 尚未解决。</w:t>
      </w:r>
      <w:r>
        <w:rPr>
          <w:rFonts w:ascii="微软雅黑" w:hAnsi="微软雅黑" w:eastAsia="微软雅黑"/>
        </w:rPr>
        <w:t xml:space="preserve"> PhIDO 的 DSL 和 PICBench 的 JSON 证明结构化表示可用，但尚未证明其相对直接 Python/netlist contract 的净收益。</w:t>
      </w:r>
    </w:p>
    <w:p w14:paraId="7935D3DE">
      <w:pPr>
        <w:spacing w:after="80"/>
        <w:ind w:left="360" w:hanging="360"/>
      </w:pPr>
      <w:r>
        <w:rPr>
          <w:rFonts w:ascii="微软雅黑" w:hAnsi="微软雅黑" w:eastAsia="微软雅黑"/>
        </w:rPr>
        <w:t xml:space="preserve">2. </w:t>
      </w:r>
      <w:r>
        <w:rPr>
          <w:rFonts w:ascii="微软雅黑" w:hAnsi="微软雅黑" w:eastAsia="微软雅黑"/>
          <w:b/>
        </w:rPr>
        <w:t>工具语义和适用域不足。</w:t>
      </w:r>
      <w:r>
        <w:rPr>
          <w:rFonts w:ascii="微软雅黑" w:hAnsi="微软雅黑" w:eastAsia="微软雅黑"/>
        </w:rPr>
        <w:t xml:space="preserve"> 现有 wrapper 往往能传参数，却没有统一描述单位、材料、网格、边界、收敛和模型适用范围。</w:t>
      </w:r>
    </w:p>
    <w:p w14:paraId="2F12F085">
      <w:pPr>
        <w:spacing w:after="80"/>
        <w:ind w:left="360" w:hanging="360"/>
      </w:pPr>
      <w:r>
        <w:rPr>
          <w:rFonts w:ascii="微软雅黑" w:hAnsi="微软雅黑" w:eastAsia="微软雅黑"/>
        </w:rPr>
        <w:t xml:space="preserve">3. </w:t>
      </w:r>
      <w:r>
        <w:rPr>
          <w:rFonts w:ascii="微软雅黑" w:hAnsi="微软雅黑" w:eastAsia="微软雅黑"/>
          <w:b/>
        </w:rPr>
        <w:t>RESULT 与证据账本缺失。</w:t>
      </w:r>
      <w:r>
        <w:rPr>
          <w:rFonts w:ascii="微软雅黑" w:hAnsi="微软雅黑" w:eastAsia="微软雅黑"/>
        </w:rPr>
        <w:t xml:space="preserve"> 工具输出、派生指标、LLM 判断和验证状态常混在一起，难以重算和审计。</w:t>
      </w:r>
    </w:p>
    <w:p w14:paraId="1903AE3E">
      <w:pPr>
        <w:spacing w:after="80"/>
        <w:ind w:left="360" w:hanging="360"/>
      </w:pPr>
      <w:r>
        <w:rPr>
          <w:rFonts w:ascii="微软雅黑" w:hAnsi="微软雅黑" w:eastAsia="微软雅黑"/>
        </w:rPr>
        <w:t xml:space="preserve">4. </w:t>
      </w:r>
      <w:r>
        <w:rPr>
          <w:rFonts w:ascii="微软雅黑" w:hAnsi="微软雅黑" w:eastAsia="微软雅黑"/>
          <w:b/>
        </w:rPr>
        <w:t>失败恢复缺少科学分类。</w:t>
      </w:r>
      <w:r>
        <w:rPr>
          <w:rFonts w:ascii="微软雅黑" w:hAnsi="微软雅黑" w:eastAsia="微软雅黑"/>
        </w:rPr>
        <w:t xml:space="preserve"> 语法、执行、数值不收敛、物理不可行、规格冲突和模型不适用应走不同路径。</w:t>
      </w:r>
    </w:p>
    <w:p w14:paraId="6650EB3D">
      <w:pPr>
        <w:spacing w:after="80"/>
        <w:ind w:left="360" w:hanging="360"/>
      </w:pPr>
      <w:r>
        <w:rPr>
          <w:rFonts w:ascii="微软雅黑" w:hAnsi="微软雅黑" w:eastAsia="微软雅黑"/>
        </w:rPr>
        <w:t xml:space="preserve">5. </w:t>
      </w:r>
      <w:r>
        <w:rPr>
          <w:rFonts w:ascii="微软雅黑" w:hAnsi="微软雅黑" w:eastAsia="微软雅黑"/>
          <w:b/>
        </w:rPr>
        <w:t>验证阶梯断裂。</w:t>
      </w:r>
      <w:r>
        <w:rPr>
          <w:rFonts w:ascii="微软雅黑" w:hAnsi="微软雅黑" w:eastAsia="微软雅黑"/>
        </w:rPr>
        <w:t xml:space="preserve"> 多数工作停在紧凑模型、单次全波或通用 DRC，未贯通 LVS、真实 PDK、工艺角和 foundry signoff。</w:t>
      </w:r>
    </w:p>
    <w:p w14:paraId="5C580066">
      <w:pPr>
        <w:spacing w:after="80"/>
        <w:ind w:left="360" w:hanging="360"/>
        <w:rPr>
          <w:rFonts w:ascii="微软雅黑" w:hAnsi="微软雅黑" w:eastAsia="微软雅黑"/>
        </w:rPr>
      </w:pPr>
      <w:r>
        <w:rPr>
          <w:rFonts w:ascii="微软雅黑" w:hAnsi="微软雅黑" w:eastAsia="微软雅黑"/>
        </w:rPr>
        <w:t xml:space="preserve">6. </w:t>
      </w:r>
      <w:r>
        <w:rPr>
          <w:rFonts w:ascii="微软雅黑" w:hAnsi="微软雅黑" w:eastAsia="微软雅黑"/>
          <w:b/>
        </w:rPr>
        <w:t>架构收益未经公平对照。</w:t>
      </w:r>
      <w:r>
        <w:rPr>
          <w:rFonts w:ascii="微软雅黑" w:hAnsi="微软雅黑" w:eastAsia="微软雅黑"/>
        </w:rPr>
        <w:t xml:space="preserve"> RAG、typed IR、多 Agent、MCP 和 adaptive calling 都可能增加复杂度，其独立贡献尚不清楚。</w:t>
      </w:r>
    </w:p>
    <w:p w14:paraId="3248DD97">
      <w:pPr>
        <w:spacing w:after="80"/>
        <w:ind w:left="360" w:hanging="360"/>
        <w:rPr>
          <w:rFonts w:ascii="微软雅黑" w:hAnsi="微软雅黑" w:eastAsia="微软雅黑"/>
        </w:rPr>
      </w:pPr>
    </w:p>
    <w:p w14:paraId="71368CCC">
      <w:pPr>
        <w:spacing w:after="80"/>
        <w:ind w:left="360" w:hanging="360"/>
        <w:rPr>
          <w:rFonts w:ascii="微软雅黑" w:hAnsi="微软雅黑" w:eastAsia="微软雅黑"/>
        </w:rPr>
      </w:pPr>
    </w:p>
    <w:p w14:paraId="79669151">
      <w:pPr>
        <w:spacing w:after="80"/>
        <w:ind w:left="360" w:hanging="360"/>
        <w:rPr>
          <w:rFonts w:ascii="微软雅黑" w:hAnsi="微软雅黑" w:eastAsia="微软雅黑"/>
        </w:rPr>
      </w:pPr>
    </w:p>
    <w:p w14:paraId="44A696B0">
      <w:pPr>
        <w:spacing w:after="80"/>
        <w:ind w:left="360" w:hanging="360"/>
        <w:rPr>
          <w:rFonts w:ascii="微软雅黑" w:hAnsi="微软雅黑" w:eastAsia="微软雅黑"/>
        </w:rPr>
      </w:pPr>
    </w:p>
    <w:p w14:paraId="352ACEC0">
      <w:pPr>
        <w:spacing w:after="80"/>
        <w:ind w:left="360" w:hanging="360"/>
        <w:rPr>
          <w:rFonts w:ascii="微软雅黑" w:hAnsi="微软雅黑" w:eastAsia="微软雅黑"/>
        </w:rPr>
      </w:pPr>
    </w:p>
    <w:p w14:paraId="461321BD">
      <w:pPr>
        <w:spacing w:after="80"/>
        <w:ind w:left="360" w:hanging="360"/>
        <w:rPr>
          <w:rFonts w:ascii="微软雅黑" w:hAnsi="微软雅黑" w:eastAsia="微软雅黑"/>
        </w:rPr>
      </w:pPr>
    </w:p>
    <w:p w14:paraId="6973D9C1">
      <w:pPr>
        <w:spacing w:after="80"/>
        <w:ind w:left="360" w:hanging="360"/>
        <w:rPr>
          <w:rFonts w:ascii="微软雅黑" w:hAnsi="微软雅黑" w:eastAsia="微软雅黑"/>
        </w:rPr>
      </w:pPr>
    </w:p>
    <w:p w14:paraId="764CD586">
      <w:pPr>
        <w:spacing w:after="80"/>
        <w:ind w:left="360" w:hanging="360"/>
        <w:rPr>
          <w:rFonts w:ascii="微软雅黑" w:hAnsi="微软雅黑" w:eastAsia="微软雅黑"/>
        </w:rPr>
      </w:pPr>
    </w:p>
    <w:p w14:paraId="53AA4EC6">
      <w:pPr>
        <w:spacing w:after="80"/>
        <w:ind w:left="360" w:hanging="360"/>
        <w:rPr>
          <w:rFonts w:ascii="微软雅黑" w:hAnsi="微软雅黑" w:eastAsia="微软雅黑"/>
        </w:rPr>
      </w:pPr>
    </w:p>
    <w:p w14:paraId="00075C0C">
      <w:pPr>
        <w:pStyle w:val="3"/>
      </w:pPr>
      <w:r>
        <w:rPr>
          <w:rFonts w:ascii="微软雅黑" w:hAnsi="微软雅黑" w:eastAsia="微软雅黑"/>
        </w:rPr>
        <w:t>第五章 跨方向比较、技术联系与 Research Gaps</w:t>
      </w:r>
    </w:p>
    <w:p w14:paraId="5C7445E4">
      <w:pPr>
        <w:pStyle w:val="4"/>
      </w:pPr>
      <w:r>
        <w:rPr>
          <w:rFonts w:ascii="微软雅黑" w:hAnsi="微软雅黑" w:eastAsia="微软雅黑"/>
        </w:rPr>
        <w:t>5.1 三方向比较</w:t>
      </w:r>
    </w:p>
    <w:tbl>
      <w:tblPr>
        <w:tblStyle w:val="32"/>
        <w:tblW w:w="0" w:type="auto"/>
        <w:tblInd w:w="0" w:type="dxa"/>
        <w:tblLayout w:type="fixed"/>
        <w:tblCellMar>
          <w:top w:w="0" w:type="dxa"/>
          <w:left w:w="108" w:type="dxa"/>
          <w:bottom w:w="0" w:type="dxa"/>
          <w:right w:w="108" w:type="dxa"/>
        </w:tblCellMar>
      </w:tblPr>
      <w:tblGrid>
        <w:gridCol w:w="2469"/>
        <w:gridCol w:w="2469"/>
        <w:gridCol w:w="2469"/>
        <w:gridCol w:w="2469"/>
      </w:tblGrid>
      <w:tr w14:paraId="16B7BB9D">
        <w:tblPrEx>
          <w:tblCellMar>
            <w:top w:w="0" w:type="dxa"/>
            <w:left w:w="108" w:type="dxa"/>
            <w:bottom w:w="0" w:type="dxa"/>
            <w:right w:w="108" w:type="dxa"/>
          </w:tblCellMar>
        </w:tblPrEx>
        <w:trPr>
          <w:cantSplit/>
          <w:tblHeader/>
        </w:trPr>
        <w:tc>
          <w:tcPr>
            <w:tcW w:w="1579"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3BF07192">
            <w:pPr>
              <w:spacing w:after="0" w:line="278" w:lineRule="auto"/>
            </w:pPr>
            <w:r>
              <w:rPr>
                <w:rFonts w:ascii="微软雅黑" w:hAnsi="微软雅黑" w:eastAsia="微软雅黑"/>
                <w:b/>
                <w:color w:val="FFFFFF"/>
                <w:sz w:val="17"/>
              </w:rPr>
              <w:t>维度</w:t>
            </w:r>
          </w:p>
        </w:tc>
        <w:tc>
          <w:tcPr>
            <w:tcW w:w="2407"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5A1386EE">
            <w:pPr>
              <w:spacing w:after="0" w:line="278" w:lineRule="auto"/>
            </w:pPr>
            <w:r>
              <w:rPr>
                <w:rFonts w:ascii="微软雅黑" w:hAnsi="微软雅黑" w:eastAsia="微软雅黑"/>
                <w:b/>
                <w:color w:val="FFFFFF"/>
                <w:sz w:val="17"/>
              </w:rPr>
              <w:t>DAS 光电混合集成</w:t>
            </w:r>
          </w:p>
        </w:tc>
        <w:tc>
          <w:tcPr>
            <w:tcW w:w="3004"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54EBD279">
            <w:pPr>
              <w:spacing w:after="0" w:line="278" w:lineRule="auto"/>
            </w:pPr>
            <w:r>
              <w:rPr>
                <w:rFonts w:ascii="微软雅黑" w:hAnsi="微软雅黑" w:eastAsia="微软雅黑"/>
                <w:b/>
                <w:color w:val="FFFFFF"/>
                <w:sz w:val="17"/>
              </w:rPr>
              <w:t>Photonic AI Computing</w:t>
            </w:r>
          </w:p>
        </w:tc>
        <w:tc>
          <w:tcPr>
            <w:tcW w:w="2888"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277D95CE">
            <w:pPr>
              <w:spacing w:after="0" w:line="278" w:lineRule="auto"/>
            </w:pPr>
            <w:r>
              <w:rPr>
                <w:rFonts w:ascii="微软雅黑" w:hAnsi="微软雅黑" w:eastAsia="微软雅黑"/>
                <w:b/>
                <w:color w:val="FFFFFF"/>
                <w:sz w:val="17"/>
              </w:rPr>
              <w:t>Agentic PIC Design</w:t>
            </w:r>
          </w:p>
        </w:tc>
      </w:tr>
      <w:tr w14:paraId="68F743E9">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D401D09">
            <w:pPr>
              <w:spacing w:after="0" w:line="278" w:lineRule="auto"/>
            </w:pPr>
            <w:r>
              <w:rPr>
                <w:rFonts w:ascii="微软雅黑" w:hAnsi="微软雅黑" w:eastAsia="微软雅黑"/>
                <w:sz w:val="17"/>
              </w:rPr>
              <w:t>核心问题</w:t>
            </w:r>
          </w:p>
        </w:tc>
        <w:tc>
          <w:tcPr>
            <w:tcW w:w="240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2D6FC31C">
            <w:pPr>
              <w:spacing w:after="0" w:line="278" w:lineRule="auto"/>
            </w:pPr>
            <w:r>
              <w:rPr>
                <w:rFonts w:ascii="微软雅黑" w:hAnsi="微软雅黑" w:eastAsia="微软雅黑"/>
                <w:sz w:val="17"/>
              </w:rPr>
              <w:t>如何把传感链路压缩为稳定、可制造的光电系统</w:t>
            </w:r>
          </w:p>
        </w:tc>
        <w:tc>
          <w:tcPr>
            <w:tcW w:w="300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1744AE59">
            <w:pPr>
              <w:spacing w:after="0" w:line="278" w:lineRule="auto"/>
            </w:pPr>
            <w:r>
              <w:rPr>
                <w:rFonts w:ascii="微软雅黑" w:hAnsi="微软雅黑" w:eastAsia="微软雅黑"/>
                <w:sz w:val="17"/>
              </w:rPr>
              <w:t>如何以光学并行计算获得任务级性能/效率</w:t>
            </w:r>
          </w:p>
        </w:tc>
        <w:tc>
          <w:tcPr>
            <w:tcW w:w="288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3D2A5CE">
            <w:pPr>
              <w:spacing w:after="0" w:line="278" w:lineRule="auto"/>
            </w:pPr>
            <w:r>
              <w:rPr>
                <w:rFonts w:ascii="微软雅黑" w:hAnsi="微软雅黑" w:eastAsia="微软雅黑"/>
                <w:sz w:val="17"/>
              </w:rPr>
              <w:t>如何让模型可靠调用专业工具并形成可验证闭环</w:t>
            </w:r>
          </w:p>
        </w:tc>
      </w:tr>
      <w:tr w14:paraId="34F82135">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611D846C">
            <w:pPr>
              <w:spacing w:after="0" w:line="278" w:lineRule="auto"/>
            </w:pPr>
            <w:r>
              <w:rPr>
                <w:rFonts w:ascii="微软雅黑" w:hAnsi="微软雅黑" w:eastAsia="微软雅黑"/>
                <w:sz w:val="17"/>
              </w:rPr>
              <w:t>当前最强证据</w:t>
            </w:r>
          </w:p>
        </w:tc>
        <w:tc>
          <w:tcPr>
            <w:tcW w:w="240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A93A025">
            <w:pPr>
              <w:spacing w:after="0" w:line="278" w:lineRule="auto"/>
            </w:pPr>
            <w:r>
              <w:rPr>
                <w:rFonts w:ascii="微软雅黑" w:hAnsi="微软雅黑" w:eastAsia="微软雅黑"/>
                <w:sz w:val="17"/>
              </w:rPr>
              <w:t>真实光纤系统中的 PIC/混合模块</w:t>
            </w:r>
          </w:p>
        </w:tc>
        <w:tc>
          <w:tcPr>
            <w:tcW w:w="3004"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7236D037">
            <w:pPr>
              <w:spacing w:after="0" w:line="278" w:lineRule="auto"/>
            </w:pPr>
            <w:r>
              <w:rPr>
                <w:rFonts w:ascii="微软雅黑" w:hAnsi="微软雅黑" w:eastAsia="微软雅黑"/>
                <w:sz w:val="17"/>
              </w:rPr>
              <w:t>芯片与任务级系统演示</w:t>
            </w:r>
          </w:p>
        </w:tc>
        <w:tc>
          <w:tcPr>
            <w:tcW w:w="288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19C1C270">
            <w:pPr>
              <w:spacing w:after="0" w:line="278" w:lineRule="auto"/>
            </w:pPr>
            <w:r>
              <w:rPr>
                <w:rFonts w:ascii="微软雅黑" w:hAnsi="微软雅黑" w:eastAsia="微软雅黑"/>
                <w:sz w:val="17"/>
              </w:rPr>
              <w:t>局部工具闭环、仿真在环和自动评价</w:t>
            </w:r>
          </w:p>
        </w:tc>
      </w:tr>
      <w:tr w14:paraId="36C54B8C">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0BD7549">
            <w:pPr>
              <w:spacing w:after="0" w:line="278" w:lineRule="auto"/>
            </w:pPr>
            <w:r>
              <w:rPr>
                <w:rFonts w:ascii="微软雅黑" w:hAnsi="微软雅黑" w:eastAsia="微软雅黑"/>
                <w:sz w:val="17"/>
              </w:rPr>
              <w:t>主要对象</w:t>
            </w:r>
          </w:p>
        </w:tc>
        <w:tc>
          <w:tcPr>
            <w:tcW w:w="240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BD69E4C">
            <w:pPr>
              <w:spacing w:after="0" w:line="278" w:lineRule="auto"/>
            </w:pPr>
            <w:r>
              <w:rPr>
                <w:rFonts w:ascii="微软雅黑" w:hAnsi="微软雅黑" w:eastAsia="微软雅黑"/>
                <w:sz w:val="17"/>
              </w:rPr>
              <w:t>激光、调制、接收、电子、封装、DSP</w:t>
            </w:r>
          </w:p>
        </w:tc>
        <w:tc>
          <w:tcPr>
            <w:tcW w:w="300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17C0003">
            <w:pPr>
              <w:spacing w:after="0" w:line="278" w:lineRule="auto"/>
            </w:pPr>
            <w:r>
              <w:rPr>
                <w:rFonts w:ascii="微软雅黑" w:hAnsi="微软雅黑" w:eastAsia="微软雅黑"/>
                <w:sz w:val="17"/>
              </w:rPr>
              <w:t>MZI/MRR/微梳/衍射、转换、控制、编译</w:t>
            </w:r>
          </w:p>
        </w:tc>
        <w:tc>
          <w:tcPr>
            <w:tcW w:w="288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F77E5AD">
            <w:pPr>
              <w:spacing w:after="0" w:line="278" w:lineRule="auto"/>
            </w:pPr>
            <w:r>
              <w:rPr>
                <w:rFonts w:ascii="微软雅黑" w:hAnsi="微软雅黑" w:eastAsia="微软雅黑"/>
                <w:sz w:val="17"/>
              </w:rPr>
              <w:t>Spec、Planner、Tool、Solver、Evaluator、State</w:t>
            </w:r>
          </w:p>
        </w:tc>
      </w:tr>
      <w:tr w14:paraId="20D6DC3E">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619285C0">
            <w:pPr>
              <w:spacing w:after="0" w:line="278" w:lineRule="auto"/>
            </w:pPr>
            <w:r>
              <w:rPr>
                <w:rFonts w:ascii="微软雅黑" w:hAnsi="微软雅黑" w:eastAsia="微软雅黑"/>
                <w:sz w:val="17"/>
              </w:rPr>
              <w:t>最大缺口</w:t>
            </w:r>
          </w:p>
        </w:tc>
        <w:tc>
          <w:tcPr>
            <w:tcW w:w="240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D7E860B">
            <w:pPr>
              <w:spacing w:after="0" w:line="278" w:lineRule="auto"/>
            </w:pPr>
            <w:r>
              <w:rPr>
                <w:rFonts w:ascii="微软雅黑" w:hAnsi="微软雅黑" w:eastAsia="微软雅黑"/>
                <w:sz w:val="17"/>
              </w:rPr>
              <w:t>系统需求到器件/封装约束与长期工程证据</w:t>
            </w:r>
          </w:p>
        </w:tc>
        <w:tc>
          <w:tcPr>
            <w:tcW w:w="3004"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A89A187">
            <w:pPr>
              <w:spacing w:after="0" w:line="278" w:lineRule="auto"/>
            </w:pPr>
            <w:r>
              <w:rPr>
                <w:rFonts w:ascii="微软雅黑" w:hAnsi="微软雅黑" w:eastAsia="微软雅黑"/>
                <w:sz w:val="17"/>
              </w:rPr>
              <w:t>统一任务/精度/总能耗边界</w:t>
            </w:r>
          </w:p>
        </w:tc>
        <w:tc>
          <w:tcPr>
            <w:tcW w:w="288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ADBBA46">
            <w:pPr>
              <w:spacing w:after="0" w:line="278" w:lineRule="auto"/>
            </w:pPr>
            <w:r>
              <w:rPr>
                <w:rFonts w:ascii="微软雅黑" w:hAnsi="微软雅黑" w:eastAsia="微软雅黑"/>
                <w:sz w:val="17"/>
              </w:rPr>
              <w:t>通用开源、物理可信、制造级闭环与架构净收益</w:t>
            </w:r>
          </w:p>
        </w:tc>
      </w:tr>
      <w:tr w14:paraId="43037491">
        <w:tblPrEx>
          <w:tblCellMar>
            <w:top w:w="0" w:type="dxa"/>
            <w:left w:w="108" w:type="dxa"/>
            <w:bottom w:w="0" w:type="dxa"/>
            <w:right w:w="108" w:type="dxa"/>
          </w:tblCellMar>
        </w:tblPrEx>
        <w:trPr>
          <w:cantSplit/>
        </w:trPr>
        <w:tc>
          <w:tcPr>
            <w:tcW w:w="1579"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D4ACC21">
            <w:pPr>
              <w:spacing w:after="0" w:line="278" w:lineRule="auto"/>
            </w:pPr>
            <w:r>
              <w:rPr>
                <w:rFonts w:ascii="微软雅黑" w:hAnsi="微软雅黑" w:eastAsia="微软雅黑"/>
                <w:sz w:val="17"/>
              </w:rPr>
              <w:t>常见过度表述</w:t>
            </w:r>
          </w:p>
        </w:tc>
        <w:tc>
          <w:tcPr>
            <w:tcW w:w="240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ADC02F1">
            <w:pPr>
              <w:spacing w:after="0" w:line="278" w:lineRule="auto"/>
            </w:pPr>
            <w:r>
              <w:rPr>
                <w:rFonts w:ascii="微软雅黑" w:hAnsi="微软雅黑" w:eastAsia="微软雅黑"/>
                <w:sz w:val="17"/>
              </w:rPr>
              <w:t>有 PIC = 完整 DAS 芯片</w:t>
            </w:r>
          </w:p>
        </w:tc>
        <w:tc>
          <w:tcPr>
            <w:tcW w:w="3004"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CEAADCA">
            <w:pPr>
              <w:spacing w:after="0" w:line="278" w:lineRule="auto"/>
            </w:pPr>
            <w:r>
              <w:rPr>
                <w:rFonts w:ascii="微软雅黑" w:hAnsi="微软雅黑" w:eastAsia="微软雅黑"/>
                <w:sz w:val="17"/>
              </w:rPr>
              <w:t>高 TOPS/W = 完整系统更优</w:t>
            </w:r>
          </w:p>
        </w:tc>
        <w:tc>
          <w:tcPr>
            <w:tcW w:w="288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45E7A04">
            <w:pPr>
              <w:spacing w:after="0" w:line="278" w:lineRule="auto"/>
            </w:pPr>
            <w:r>
              <w:rPr>
                <w:rFonts w:ascii="微软雅黑" w:hAnsi="微软雅黑" w:eastAsia="微软雅黑"/>
                <w:sz w:val="17"/>
              </w:rPr>
              <w:t>生成代码/调用 solver = 自动设计成功</w:t>
            </w:r>
          </w:p>
        </w:tc>
      </w:tr>
    </w:tbl>
    <w:p w14:paraId="263D91C2">
      <w:pPr>
        <w:pStyle w:val="4"/>
      </w:pPr>
      <w:r>
        <w:rPr>
          <w:rFonts w:ascii="微软雅黑" w:hAnsi="微软雅黑" w:eastAsia="微软雅黑"/>
        </w:rPr>
        <w:t>5.2 技术联系</w:t>
      </w:r>
    </w:p>
    <w:p w14:paraId="4AC522FF">
      <w:r>
        <w:rPr>
          <w:rFonts w:ascii="微软雅黑" w:hAnsi="微软雅黑" w:eastAsia="微软雅黑"/>
        </w:rPr>
        <w:t>三方向可形成上下层关系：DAS 提供高价值、跨光学/电子/封装/算法的具体设计场景；光子 AI 提供误差传播、校准和系统边界问题，也可能承担 DAS 信号处理；Agent Harness 提供把需求、模型、工具与证据连接的研究方法。反过来，物理场景会迫使 Harness 面对真实单位、噪声、工艺和验证，而不是只完成语法正确的脚本。</w:t>
      </w:r>
    </w:p>
    <w:p w14:paraId="60BEA75F">
      <w:r>
        <w:rPr>
          <w:rFonts w:ascii="微软雅黑" w:hAnsi="微软雅黑" w:eastAsia="微软雅黑"/>
        </w:rPr>
        <w:t>但是，技术联系不等于路线已经收敛。DAS 的器件与系统证据不能证明 Agent 方法有效；光子 AI 的硬件性能不能证明其适合 DAS；Agent 架构的工程完整性也不能替代物理创新。</w:t>
      </w:r>
    </w:p>
    <w:p w14:paraId="17B6AD82">
      <w:pPr>
        <w:pStyle w:val="4"/>
      </w:pPr>
      <w:r>
        <w:rPr>
          <w:rFonts w:ascii="微软雅黑" w:hAnsi="微软雅黑" w:eastAsia="微软雅黑"/>
        </w:rPr>
        <w:t>5.3 共同 Research Gaps</w:t>
      </w:r>
    </w:p>
    <w:p w14:paraId="7A6163B7">
      <w:pPr>
        <w:pStyle w:val="5"/>
      </w:pPr>
      <w:r>
        <w:rPr>
          <w:rFonts w:ascii="微软雅黑" w:hAnsi="微软雅黑" w:eastAsia="微软雅黑"/>
        </w:rPr>
        <w:t>5.3.1 需求与物理约束之间缺少可验证表示</w:t>
      </w:r>
    </w:p>
    <w:p w14:paraId="49900892">
      <w:r>
        <w:rPr>
          <w:rFonts w:ascii="微软雅黑" w:hAnsi="微软雅黑" w:eastAsia="微软雅黑"/>
        </w:rPr>
        <w:t>自然语言包含模糊、缺失和冲突条件。现有 DSL/JSON 能减少语法歧义，却很少同时表达单位、容差、来源、优先级、系统边界和 PDK 绑定。一个更复杂的 IR 只有在降低错误、提高追溯或支持跨工具一致性时才有研究价值。</w:t>
      </w:r>
    </w:p>
    <w:p w14:paraId="28776EA3">
      <w:pPr>
        <w:pStyle w:val="5"/>
      </w:pPr>
      <w:r>
        <w:rPr>
          <w:rFonts w:ascii="微软雅黑" w:hAnsi="微软雅黑" w:eastAsia="微软雅黑"/>
        </w:rPr>
        <w:t>5.3.2 工具调用与科学证据脱节</w:t>
      </w:r>
    </w:p>
    <w:p w14:paraId="1DCEE088">
      <w:r>
        <w:rPr>
          <w:rFonts w:ascii="微软雅黑" w:hAnsi="微软雅黑" w:eastAsia="微软雅黑"/>
        </w:rPr>
        <w:t>工具 API 成功返回不说明模型合适、网格收敛、边界条件正确或结果可制造。需要把 Tool Contract 与 Evidence Contract 一起设计：保存完整输入、版本、原始产物、派生指标、警告和适用范围。</w:t>
      </w:r>
    </w:p>
    <w:p w14:paraId="7EA27113">
      <w:pPr>
        <w:pStyle w:val="5"/>
      </w:pPr>
      <w:r>
        <w:rPr>
          <w:rFonts w:ascii="微软雅黑" w:hAnsi="微软雅黑" w:eastAsia="微软雅黑"/>
        </w:rPr>
        <w:t>5.3.3 评价器可能与生成器共享偏差</w:t>
      </w:r>
    </w:p>
    <w:p w14:paraId="262CEE91">
      <w:r>
        <w:rPr>
          <w:rFonts w:ascii="微软雅黑" w:hAnsi="微软雅黑" w:eastAsia="微软雅黑"/>
        </w:rPr>
        <w:t>若同一 LLM 同时生成设计、选择指标并解释结果，会产生自证循环。关键门应尽量由确定性脚本、独立求解器、规则检查器、golden reference 或人工专家承担，并明确其自身误差。</w:t>
      </w:r>
    </w:p>
    <w:p w14:paraId="797C7DA6">
      <w:pPr>
        <w:pStyle w:val="5"/>
      </w:pPr>
      <w:r>
        <w:rPr>
          <w:rFonts w:ascii="微软雅黑" w:hAnsi="微软雅黑" w:eastAsia="微软雅黑"/>
        </w:rPr>
        <w:t>5.3.4 不同证据层被压缩成“成功”</w:t>
      </w:r>
    </w:p>
    <w:p w14:paraId="526923EA">
      <w:r>
        <w:rPr>
          <w:rFonts w:ascii="微软雅黑" w:hAnsi="微软雅黑" w:eastAsia="微软雅黑"/>
        </w:rPr>
        <w:t>流程连通、仿真满足、DRC clean、流片和系统实验应分别报告。DAS 和光子 AI 的文献也应明确芯片、模块和完整系统边界。只有分层，失败才能定位，跨论文比较才有意义。</w:t>
      </w:r>
    </w:p>
    <w:p w14:paraId="258E9F93">
      <w:pPr>
        <w:pStyle w:val="5"/>
      </w:pPr>
      <w:r>
        <w:rPr>
          <w:rFonts w:ascii="微软雅黑" w:hAnsi="微软雅黑" w:eastAsia="微软雅黑"/>
        </w:rPr>
        <w:t>5.3.5 完整系统成本与可靠性证据不足</w:t>
      </w:r>
    </w:p>
    <w:p w14:paraId="4EDD9DF9">
      <w:r>
        <w:rPr>
          <w:rFonts w:ascii="微软雅黑" w:hAnsi="微软雅黑" w:eastAsia="微软雅黑"/>
        </w:rPr>
        <w:t>DAS 的外部光学、电子、封装和长期稳定性，以及光子 AI 的激光、转换、控制、存储和校准，常被排除在核心指标之外。研究若忽略这些边界，容易优化一个子模块却恶化整体系统。</w:t>
      </w:r>
    </w:p>
    <w:p w14:paraId="0F930D25">
      <w:pPr>
        <w:pStyle w:val="4"/>
      </w:pPr>
      <w:r>
        <w:rPr>
          <w:rFonts w:ascii="微软雅黑" w:hAnsi="微软雅黑" w:eastAsia="微软雅黑"/>
        </w:rPr>
        <w:t>5.4 Strongest counterexamples</w:t>
      </w:r>
    </w:p>
    <w:p w14:paraId="35EB46E2">
      <w:pPr>
        <w:pStyle w:val="16"/>
        <w:spacing w:after="80"/>
      </w:pPr>
      <w:r>
        <w:rPr>
          <w:rFonts w:ascii="微软雅黑" w:hAnsi="微软雅黑" w:eastAsia="微软雅黑"/>
        </w:rPr>
        <w:t>1007 km 非 PIC DAS 表明长距离不是 PIC 集成自然带来的结果。</w:t>
      </w:r>
    </w:p>
    <w:p w14:paraId="475F41C9">
      <w:pPr>
        <w:pStyle w:val="16"/>
        <w:spacing w:after="80"/>
      </w:pPr>
      <w:r>
        <w:rPr>
          <w:rFonts w:ascii="微软雅黑" w:hAnsi="微软雅黑" w:eastAsia="微软雅黑"/>
        </w:rPr>
        <w:t>68 dB 调制器只替换子模块，不证明 DAS 收发与系统集成完成。</w:t>
      </w:r>
    </w:p>
    <w:p w14:paraId="7975BEE0">
      <w:pPr>
        <w:pStyle w:val="16"/>
        <w:spacing w:after="80"/>
      </w:pPr>
      <w:r>
        <w:rPr>
          <w:rFonts w:ascii="微软雅黑" w:hAnsi="微软雅黑" w:eastAsia="微软雅黑"/>
        </w:rPr>
        <w:t>Netcast 的 40 aJ 是局部光能口径，不证明完整墙插能耗。</w:t>
      </w:r>
    </w:p>
    <w:p w14:paraId="7EC012B4">
      <w:pPr>
        <w:pStyle w:val="16"/>
        <w:spacing w:after="80"/>
      </w:pPr>
      <w:r>
        <w:rPr>
          <w:rFonts w:ascii="微软雅黑" w:hAnsi="微软雅黑" w:eastAsia="微软雅黑"/>
        </w:rPr>
        <w:t>PACE 的大规模光学 MAC 面向特定优化任务，不证明通用 DNN 系统优势。</w:t>
      </w:r>
    </w:p>
    <w:p w14:paraId="5CCB5227">
      <w:pPr>
        <w:pStyle w:val="16"/>
        <w:spacing w:after="80"/>
      </w:pPr>
      <w:r>
        <w:rPr>
          <w:rFonts w:ascii="微软雅黑" w:hAnsi="微软雅黑" w:eastAsia="微软雅黑"/>
        </w:rPr>
        <w:t>AutoPhotonicDesign 的真实仿真闭环仍依赖专家初始设置与纠错。</w:t>
      </w:r>
    </w:p>
    <w:p w14:paraId="2F02E5F7">
      <w:pPr>
        <w:pStyle w:val="16"/>
        <w:spacing w:after="80"/>
      </w:pPr>
      <w:r>
        <w:rPr>
          <w:rFonts w:ascii="微软雅黑" w:hAnsi="微软雅黑" w:eastAsia="微软雅黑"/>
        </w:rPr>
        <w:t>PhIDO 的 GDS/DRC/SAX 流程主要验证结构和电路，不是 foundry-ready 性能设计。</w:t>
      </w:r>
    </w:p>
    <w:p w14:paraId="7C112D57">
      <w:pPr>
        <w:pStyle w:val="16"/>
        <w:spacing w:after="80"/>
      </w:pPr>
      <w:r>
        <w:rPr>
          <w:rFonts w:ascii="微软雅黑" w:hAnsi="微软雅黑" w:eastAsia="微软雅黑"/>
        </w:rPr>
        <w:t>PICasso 即使论文描述链条完整，在无公开实现时仍不能作源码级复现结论。</w:t>
      </w:r>
    </w:p>
    <w:p w14:paraId="258BC9BF">
      <w:pPr>
        <w:pStyle w:val="3"/>
        <w:rPr>
          <w:rFonts w:ascii="微软雅黑" w:hAnsi="微软雅黑" w:eastAsia="微软雅黑"/>
        </w:rPr>
      </w:pPr>
    </w:p>
    <w:p w14:paraId="2956C4D7"/>
    <w:p w14:paraId="09775BD4">
      <w:pPr>
        <w:pStyle w:val="3"/>
      </w:pPr>
      <w:r>
        <w:rPr>
          <w:rFonts w:ascii="微软雅黑" w:hAnsi="微软雅黑" w:eastAsia="微软雅黑"/>
        </w:rPr>
        <w:t>第六章 候选研究路线与后续讨论</w:t>
      </w:r>
    </w:p>
    <w:p w14:paraId="08DC508F">
      <w:r>
        <w:rPr>
          <w:rFonts w:ascii="微软雅黑" w:hAnsi="微软雅黑" w:eastAsia="微软雅黑"/>
        </w:rPr>
        <w:t>本章只提出候选研究问题，不评估课题组资源，不设计实验，不设定成功阈值，也不选择最终路线。完整条目见</w:t>
      </w:r>
      <w:r>
        <w:fldChar w:fldCharType="begin"/>
      </w:r>
      <w:r>
        <w:instrText xml:space="preserve"> HYPERLINK "https://github.com/LlewynDavis/PIC_Harness_Research/blob/3ed876f5fce34d38a47907d6c68c476f6a51d090/references/task-007/candidate-routes-and-open-questions.md" \h </w:instrText>
      </w:r>
      <w:r>
        <w:fldChar w:fldCharType="separate"/>
      </w:r>
      <w:r>
        <w:rPr>
          <w:rFonts w:ascii="微软雅黑" w:hAnsi="微软雅黑" w:eastAsia="微软雅黑"/>
          <w:color w:val="205493"/>
        </w:rPr>
        <w:t>候选路线与开放问题</w:t>
      </w:r>
      <w:r>
        <w:rPr>
          <w:rFonts w:ascii="微软雅黑" w:hAnsi="微软雅黑" w:eastAsia="微软雅黑"/>
          <w:color w:val="205493"/>
        </w:rPr>
        <w:fldChar w:fldCharType="end"/>
      </w:r>
      <w:r>
        <w:rPr>
          <w:rFonts w:ascii="微软雅黑" w:hAnsi="微软雅黑" w:eastAsia="微软雅黑"/>
        </w:rPr>
        <w:t>。</w:t>
      </w:r>
    </w:p>
    <w:p w14:paraId="5498C97F">
      <w:pPr>
        <w:pStyle w:val="4"/>
      </w:pPr>
      <w:r>
        <w:rPr>
          <w:rFonts w:ascii="微软雅黑" w:hAnsi="微软雅黑" w:eastAsia="微软雅黑"/>
        </w:rPr>
        <w:t>6.1 Route A：证据优先的 Agentic PIC Harness</w:t>
      </w:r>
    </w:p>
    <w:p w14:paraId="73C0D349">
      <w:r>
        <w:rPr>
          <w:rFonts w:ascii="微软雅黑" w:hAnsi="微软雅黑" w:eastAsia="微软雅黑"/>
        </w:rPr>
        <w:t>研究重点是把 Requirement、Spec、Tool Execution、RESULT、Evaluator、Evidence Ledger 和 Verification Gate 分开，使每个结论可追溯到确定性工具和条件。现有开源组件可提供局部基础，但仍需研究最小 Tool Contract、失败分类、评价器独立性和验证证据语义。最大风险是工作退化为工程封装；只有回答“何种机制显著提升科学可靠性和归因能力”，才形成独立研究价值。</w:t>
      </w:r>
    </w:p>
    <w:p w14:paraId="02700926">
      <w:pPr>
        <w:pStyle w:val="4"/>
      </w:pPr>
      <w:r>
        <w:rPr>
          <w:rFonts w:ascii="微软雅黑" w:hAnsi="微软雅黑" w:eastAsia="微软雅黑"/>
        </w:rPr>
        <w:t>6.2 Route B：DAS 需求到光电混合集成约束传播</w:t>
      </w:r>
    </w:p>
    <w:p w14:paraId="78533CF4">
      <w:r>
        <w:rPr>
          <w:rFonts w:ascii="微软雅黑" w:hAnsi="微软雅黑" w:eastAsia="微软雅黑"/>
        </w:rPr>
        <w:t>研究重点是将 DAS 的距离、分辨率、灵敏度、带宽、偏振和稳定性要求，转为激光、调制、接收、电子、封装和 DSP 的分层约束，并保留来源、单位与外部组件边界。它最直接对应“AI 设计 DAS 芯片”目标，但公开数据分散、跨论文指标不可比和真实工艺/封装参数不足是主要困难。</w:t>
      </w:r>
    </w:p>
    <w:p w14:paraId="7E33EB20">
      <w:pPr>
        <w:pStyle w:val="4"/>
      </w:pPr>
      <w:r>
        <w:rPr>
          <w:rFonts w:ascii="微软雅黑" w:hAnsi="微软雅黑" w:eastAsia="微软雅黑"/>
        </w:rPr>
        <w:t>6.3 Route C：光子 AI 的误差—精度—系统成本链</w:t>
      </w:r>
    </w:p>
    <w:p w14:paraId="4AE07082">
      <w:r>
        <w:rPr>
          <w:rFonts w:ascii="微软雅黑" w:hAnsi="微软雅黑" w:eastAsia="微软雅黑"/>
        </w:rPr>
        <w:t>研究重点是统一器件误差、校准、光学算子、模型精度和完整系统成本的记录边界，从而避免以核心 TOPS/W 代替系统结论。它可连接器件物理和 AI 任务，但领域竞争激烈，跨平台数据不完整，必须避免只做文献归一化或理想化模型。</w:t>
      </w:r>
    </w:p>
    <w:p w14:paraId="3006D51A">
      <w:pPr>
        <w:pStyle w:val="4"/>
      </w:pPr>
      <w:r>
        <w:rPr>
          <w:rFonts w:ascii="微软雅黑" w:hAnsi="微软雅黑" w:eastAsia="微软雅黑"/>
        </w:rPr>
        <w:t>6.4 当前结论</w:t>
      </w:r>
    </w:p>
    <w:p w14:paraId="3CB3D851">
      <w:pPr>
        <w:spacing w:after="80"/>
        <w:ind w:left="360" w:hanging="360"/>
      </w:pPr>
      <w:r>
        <w:rPr>
          <w:rFonts w:ascii="微软雅黑" w:hAnsi="微软雅黑" w:eastAsia="微软雅黑"/>
        </w:rPr>
        <w:t xml:space="preserve">1. </w:t>
      </w:r>
      <w:r>
        <w:rPr>
          <w:rFonts w:ascii="微软雅黑" w:hAnsi="微软雅黑" w:eastAsia="微软雅黑"/>
          <w:b/>
        </w:rPr>
        <w:t>DAS</w:t>
      </w:r>
      <w:r>
        <w:rPr>
          <w:rFonts w:ascii="微软雅黑" w:hAnsi="微软雅黑" w:eastAsia="微软雅黑"/>
        </w:rPr>
        <w:t>：已有真实 PIC 和混合集成模块，但完整系统仍高度混合；AI 端到端设计证据缺失。</w:t>
      </w:r>
    </w:p>
    <w:p w14:paraId="50CA30E9">
      <w:pPr>
        <w:spacing w:after="80"/>
        <w:ind w:left="360" w:hanging="360"/>
      </w:pPr>
      <w:r>
        <w:rPr>
          <w:rFonts w:ascii="微软雅黑" w:hAnsi="微软雅黑" w:eastAsia="微软雅黑"/>
        </w:rPr>
        <w:t xml:space="preserve">2. </w:t>
      </w:r>
      <w:r>
        <w:rPr>
          <w:rFonts w:ascii="微软雅黑" w:hAnsi="微软雅黑" w:eastAsia="微软雅黑"/>
          <w:b/>
        </w:rPr>
        <w:t>Photonic AI</w:t>
      </w:r>
      <w:r>
        <w:rPr>
          <w:rFonts w:ascii="微软雅黑" w:hAnsi="微软雅黑" w:eastAsia="微软雅黑"/>
        </w:rPr>
        <w:t>：已进入真实芯片/系统与任务级演示阶段，主要矛盾转向系统边界、误差、控制与可扩展性。</w:t>
      </w:r>
    </w:p>
    <w:p w14:paraId="692F8614">
      <w:pPr>
        <w:spacing w:after="80"/>
        <w:ind w:left="360" w:hanging="360"/>
      </w:pPr>
      <w:r>
        <w:rPr>
          <w:rFonts w:ascii="微软雅黑" w:hAnsi="微软雅黑" w:eastAsia="微软雅黑"/>
        </w:rPr>
        <w:t xml:space="preserve">3. </w:t>
      </w:r>
      <w:r>
        <w:rPr>
          <w:rFonts w:ascii="微软雅黑" w:hAnsi="微软雅黑" w:eastAsia="微软雅黑"/>
          <w:b/>
        </w:rPr>
        <w:t>Agentic PIC</w:t>
      </w:r>
      <w:r>
        <w:rPr>
          <w:rFonts w:ascii="微软雅黑" w:hAnsi="微软雅黑" w:eastAsia="微软雅黑"/>
        </w:rPr>
        <w:t>：已形成多个局部闭环，但没有公开、全开源、通用且制造级可信的完整 Harness。</w:t>
      </w:r>
    </w:p>
    <w:p w14:paraId="477C49D9">
      <w:pPr>
        <w:spacing w:after="80"/>
        <w:ind w:left="360" w:hanging="360"/>
      </w:pPr>
      <w:r>
        <w:rPr>
          <w:rFonts w:ascii="微软雅黑" w:hAnsi="微软雅黑" w:eastAsia="微软雅黑"/>
        </w:rPr>
        <w:t xml:space="preserve">4. </w:t>
      </w:r>
      <w:r>
        <w:rPr>
          <w:rFonts w:ascii="微软雅黑" w:hAnsi="微软雅黑" w:eastAsia="微软雅黑"/>
          <w:b/>
        </w:rPr>
        <w:t>共同机会</w:t>
      </w:r>
      <w:r>
        <w:rPr>
          <w:rFonts w:ascii="微软雅黑" w:hAnsi="微软雅黑" w:eastAsia="微软雅黑"/>
        </w:rPr>
        <w:t>：建立从需求到证据的可追溯关系，比单纯扩大 LLM 生成范围更能暴露真正科研问题。</w:t>
      </w:r>
    </w:p>
    <w:p w14:paraId="3446B622">
      <w:pPr>
        <w:spacing w:after="80"/>
        <w:ind w:left="360" w:hanging="360"/>
      </w:pPr>
      <w:r>
        <w:rPr>
          <w:rFonts w:ascii="微软雅黑" w:hAnsi="微软雅黑" w:eastAsia="微软雅黑"/>
        </w:rPr>
        <w:t xml:space="preserve">5. </w:t>
      </w:r>
      <w:r>
        <w:rPr>
          <w:rFonts w:ascii="微软雅黑" w:hAnsi="微软雅黑" w:eastAsia="微软雅黑"/>
          <w:b/>
        </w:rPr>
        <w:t>当前决策边界</w:t>
      </w:r>
      <w:r>
        <w:rPr>
          <w:rFonts w:ascii="微软雅黑" w:hAnsi="微软雅黑" w:eastAsia="微软雅黑"/>
        </w:rPr>
        <w:t>：三条路线均需导师讨论和更多一手证据；本报告不确定最终研究方向。</w:t>
      </w:r>
    </w:p>
    <w:p w14:paraId="5A0B57C3">
      <w:pPr>
        <w:pStyle w:val="4"/>
      </w:pPr>
      <w:r>
        <w:rPr>
          <w:rFonts w:ascii="微软雅黑" w:hAnsi="微软雅黑" w:eastAsia="微软雅黑"/>
        </w:rPr>
        <w:t>6.5 尚待讨论的关键问题</w:t>
      </w:r>
    </w:p>
    <w:p w14:paraId="10552FFD">
      <w:pPr>
        <w:pStyle w:val="16"/>
        <w:spacing w:after="80"/>
      </w:pPr>
      <w:r>
        <w:rPr>
          <w:rFonts w:ascii="微软雅黑" w:hAnsi="微软雅黑" w:eastAsia="微软雅黑"/>
        </w:rPr>
        <w:t>最终科研贡献更希望落在设计方法、具体 DAS 系统还是光子计算硬件评价？</w:t>
      </w:r>
    </w:p>
    <w:p w14:paraId="25F779F8">
      <w:pPr>
        <w:pStyle w:val="16"/>
        <w:spacing w:after="80"/>
      </w:pPr>
      <w:r>
        <w:rPr>
          <w:rFonts w:ascii="微软雅黑" w:hAnsi="微软雅黑" w:eastAsia="微软雅黑"/>
        </w:rPr>
        <w:t>软件流程、物理仿真和实物系统三类证据中，课题目标希望达到哪一层？</w:t>
      </w:r>
    </w:p>
    <w:p w14:paraId="043BA06A">
      <w:pPr>
        <w:pStyle w:val="16"/>
        <w:spacing w:after="80"/>
      </w:pPr>
      <w:r>
        <w:rPr>
          <w:rFonts w:ascii="微软雅黑" w:hAnsi="微软雅黑" w:eastAsia="微软雅黑"/>
        </w:rPr>
        <w:t>哪些公开 PDK、求解器和数据可以作为后续研究事实基础？</w:t>
      </w:r>
    </w:p>
    <w:p w14:paraId="348DA1E7">
      <w:pPr>
        <w:pStyle w:val="16"/>
        <w:spacing w:after="80"/>
      </w:pPr>
      <w:r>
        <w:rPr>
          <w:rFonts w:ascii="微软雅黑" w:hAnsi="微软雅黑" w:eastAsia="微软雅黑"/>
        </w:rPr>
        <w:t>对 DAS 与光子 AI，怎样定义公平、完整且可取得数据的系统边界？</w:t>
      </w:r>
    </w:p>
    <w:p w14:paraId="4C4A74E5">
      <w:pPr>
        <w:pStyle w:val="16"/>
        <w:spacing w:after="80"/>
      </w:pPr>
      <w:r>
        <w:rPr>
          <w:rFonts w:ascii="微软雅黑" w:hAnsi="微软雅黑" w:eastAsia="微软雅黑"/>
        </w:rPr>
        <w:t>Harness 研究如何证明方法贡献，而不只是把现有工具包装为 Agent？</w:t>
      </w:r>
    </w:p>
    <w:p w14:paraId="36267A12">
      <w:pPr>
        <w:pStyle w:val="3"/>
      </w:pPr>
      <w:r>
        <w:rPr>
          <w:rFonts w:ascii="微软雅黑" w:hAnsi="微软雅黑" w:eastAsia="微软雅黑"/>
        </w:rPr>
        <w:t>参考文献与证据入口</w:t>
      </w:r>
    </w:p>
    <w:p w14:paraId="65D7D38D">
      <w:r>
        <w:rPr>
          <w:rFonts w:ascii="微软雅黑" w:hAnsi="微软雅黑" w:eastAsia="微软雅黑"/>
        </w:rPr>
        <w:t>本报告涉及的 32 篇核心论文、官方仓库、固定提交和许可证状态统一登记于</w:t>
      </w:r>
      <w:r>
        <w:fldChar w:fldCharType="begin"/>
      </w:r>
      <w:r>
        <w:instrText xml:space="preserve"> HYPERLINK "https://github.com/LlewynDavis/PIC_Harness_Research/blob/3ed876f5fce34d38a47907d6c68c476f6a51d090/references/task-006/paper-and-repository-index.md" \h </w:instrText>
      </w:r>
      <w:r>
        <w:fldChar w:fldCharType="separate"/>
      </w:r>
      <w:r>
        <w:rPr>
          <w:rFonts w:ascii="微软雅黑" w:hAnsi="微软雅黑" w:eastAsia="微软雅黑"/>
          <w:color w:val="205493"/>
        </w:rPr>
        <w:t>论文与项目出处索引</w:t>
      </w:r>
      <w:r>
        <w:rPr>
          <w:rFonts w:ascii="微软雅黑" w:hAnsi="微软雅黑" w:eastAsia="微软雅黑"/>
          <w:color w:val="205493"/>
        </w:rPr>
        <w:fldChar w:fldCharType="end"/>
      </w:r>
      <w:r>
        <w:rPr>
          <w:rFonts w:ascii="微软雅黑" w:hAnsi="微软雅黑" w:eastAsia="微软雅黑"/>
        </w:rPr>
        <w:t>。三方向详细来源见</w:t>
      </w:r>
      <w:r>
        <w:fldChar w:fldCharType="begin"/>
      </w:r>
      <w:r>
        <w:instrText xml:space="preserve"> HYPERLINK "https://github.com/LlewynDavis/PIC_Harness_Research/blob/3ed876f5fce34d38a47907d6c68c476f6a51d090/references/task-006/source-log.md" \h </w:instrText>
      </w:r>
      <w:r>
        <w:fldChar w:fldCharType="separate"/>
      </w:r>
      <w:r>
        <w:rPr>
          <w:rFonts w:ascii="微软雅黑" w:hAnsi="微软雅黑" w:eastAsia="微软雅黑"/>
          <w:color w:val="205493"/>
        </w:rPr>
        <w:t>一手证据与来源</w:t>
      </w:r>
      <w:r>
        <w:rPr>
          <w:rFonts w:ascii="微软雅黑" w:hAnsi="微软雅黑" w:eastAsia="微软雅黑"/>
          <w:color w:val="205493"/>
        </w:rPr>
        <w:fldChar w:fldCharType="end"/>
      </w:r>
      <w:r>
        <w:rPr>
          <w:rFonts w:ascii="微软雅黑" w:hAnsi="微软雅黑" w:eastAsia="微软雅黑"/>
        </w:rPr>
        <w:t>，Agentic PIC 架构深挖见 TASK-005 的</w:t>
      </w:r>
      <w:r>
        <w:fldChar w:fldCharType="begin"/>
      </w:r>
      <w:r>
        <w:instrText xml:space="preserve"> HYPERLINK "https://github.com/LlewynDavis/PIC_Harness_Research/blob/3ed876f5fce34d38a47907d6c68c476f6a51d090/references/task-005/technical-map-and-objects.md" \h </w:instrText>
      </w:r>
      <w:r>
        <w:fldChar w:fldCharType="separate"/>
      </w:r>
      <w:r>
        <w:rPr>
          <w:rFonts w:ascii="微软雅黑" w:hAnsi="微软雅黑" w:eastAsia="微软雅黑"/>
          <w:color w:val="205493"/>
        </w:rPr>
        <w:t>技术地图</w:t>
      </w:r>
      <w:r>
        <w:rPr>
          <w:rFonts w:ascii="微软雅黑" w:hAnsi="微软雅黑" w:eastAsia="微软雅黑"/>
          <w:color w:val="205493"/>
        </w:rPr>
        <w:fldChar w:fldCharType="end"/>
      </w:r>
      <w:r>
        <w:rPr>
          <w:rFonts w:ascii="微软雅黑" w:hAnsi="微软雅黑" w:eastAsia="微软雅黑"/>
        </w:rPr>
        <w:t>、</w:t>
      </w:r>
      <w:r>
        <w:fldChar w:fldCharType="begin"/>
      </w:r>
      <w:r>
        <w:instrText xml:space="preserve"> HYPERLINK "https://github.com/LlewynDavis/PIC_Harness_Research/blob/3ed876f5fce34d38a47907d6c68c476f6a51d090/references/task-005/capability-and-verification-matrix.md" \h </w:instrText>
      </w:r>
      <w:r>
        <w:fldChar w:fldCharType="separate"/>
      </w:r>
      <w:r>
        <w:rPr>
          <w:rFonts w:ascii="微软雅黑" w:hAnsi="微软雅黑" w:eastAsia="微软雅黑"/>
          <w:color w:val="205493"/>
        </w:rPr>
        <w:t>能力与验证矩阵</w:t>
      </w:r>
      <w:r>
        <w:rPr>
          <w:rFonts w:ascii="微软雅黑" w:hAnsi="微软雅黑" w:eastAsia="微软雅黑"/>
          <w:color w:val="205493"/>
        </w:rPr>
        <w:fldChar w:fldCharType="end"/>
      </w:r>
      <w:r>
        <w:rPr>
          <w:rFonts w:ascii="微软雅黑" w:hAnsi="微软雅黑" w:eastAsia="微软雅黑"/>
        </w:rPr>
        <w:t>和</w:t>
      </w:r>
      <w:r>
        <w:fldChar w:fldCharType="begin"/>
      </w:r>
      <w:r>
        <w:instrText xml:space="preserve"> HYPERLINK "https://github.com/LlewynDavis/PIC_Harness_Research/blob/3ed876f5fce34d38a47907d6c68c476f6a51d090/references/task-005/reference-architecture-v0.md" \h </w:instrText>
      </w:r>
      <w:r>
        <w:fldChar w:fldCharType="separate"/>
      </w:r>
      <w:r>
        <w:rPr>
          <w:rFonts w:ascii="微软雅黑" w:hAnsi="微软雅黑" w:eastAsia="微软雅黑"/>
          <w:color w:val="205493"/>
        </w:rPr>
        <w:t>参考架构 V0</w:t>
      </w:r>
      <w:r>
        <w:rPr>
          <w:rFonts w:ascii="微软雅黑" w:hAnsi="微软雅黑" w:eastAsia="微软雅黑"/>
          <w:color w:val="205493"/>
        </w:rPr>
        <w:fldChar w:fldCharType="end"/>
      </w:r>
      <w:r>
        <w:rPr>
          <w:rFonts w:ascii="微软雅黑" w:hAnsi="微软雅黑" w:eastAsia="微软雅黑"/>
        </w:rPr>
        <w:t>。</w:t>
      </w:r>
    </w:p>
    <w:p w14:paraId="61AFAF4F">
      <w:r>
        <w:rPr>
          <w:rFonts w:ascii="微软雅黑" w:hAnsi="微软雅黑" w:eastAsia="微软雅黑"/>
        </w:rPr>
        <w:t xml:space="preserve">本轮对抗性审查方法参考：Kassis, T., Agarwal, V., He, Y., Patel, D., &amp; Brueckner, A. M. (2026). </w:t>
      </w:r>
      <w:r>
        <w:rPr>
          <w:rFonts w:ascii="微软雅黑" w:hAnsi="微软雅黑" w:eastAsia="微软雅黑"/>
          <w:i/>
        </w:rPr>
        <w:t>Scientific Agent Skills: A Library of Procedural Knowledge for Research Agents</w:t>
      </w:r>
      <w:r>
        <w:rPr>
          <w:rFonts w:ascii="微软雅黑" w:hAnsi="微软雅黑" w:eastAsia="微软雅黑"/>
        </w:rPr>
        <w:t xml:space="preserve">. </w:t>
      </w:r>
      <w:r>
        <w:fldChar w:fldCharType="begin"/>
      </w:r>
      <w:r>
        <w:instrText xml:space="preserve"> HYPERLINK "https://doi.org/10.48550/arXiv.2609.00065" \h </w:instrText>
      </w:r>
      <w:r>
        <w:fldChar w:fldCharType="separate"/>
      </w:r>
      <w:r>
        <w:rPr>
          <w:rFonts w:ascii="微软雅黑" w:hAnsi="微软雅黑" w:eastAsia="微软雅黑"/>
          <w:color w:val="205493"/>
        </w:rPr>
        <w:t>arXiv:2609.00065</w:t>
      </w:r>
      <w:r>
        <w:rPr>
          <w:rFonts w:ascii="微软雅黑" w:hAnsi="微软雅黑" w:eastAsia="微软雅黑"/>
          <w:color w:val="205493"/>
        </w:rPr>
        <w:fldChar w:fldCharType="end"/>
      </w:r>
      <w:r>
        <w:rPr>
          <w:rFonts w:ascii="微软雅黑" w:hAnsi="微软雅黑" w:eastAsia="微软雅黑"/>
        </w:rPr>
        <w:t>。该引用说明审查程序来源，不为任何 PIC 物理结论背书。</w:t>
      </w:r>
    </w:p>
    <w:p w14:paraId="2C84DB3B">
      <w:pPr>
        <w:pStyle w:val="3"/>
      </w:pPr>
      <w:r>
        <w:rPr>
          <w:rFonts w:ascii="微软雅黑" w:hAnsi="微软雅黑" w:eastAsia="微软雅黑"/>
        </w:rPr>
        <w:t>附录 A：报告证据边界</w:t>
      </w:r>
    </w:p>
    <w:p w14:paraId="1AD2FB14">
      <w:pPr>
        <w:pStyle w:val="16"/>
        <w:spacing w:after="80"/>
      </w:pPr>
      <w:r>
        <w:rPr>
          <w:rFonts w:ascii="微软雅黑" w:hAnsi="微软雅黑" w:eastAsia="微软雅黑"/>
        </w:rPr>
        <w:t>本项目未运行论文代码、仿真器、DRC/LVS、benchmark 或物理实验。</w:t>
      </w:r>
    </w:p>
    <w:p w14:paraId="2E85F6D6">
      <w:pPr>
        <w:pStyle w:val="16"/>
        <w:spacing w:after="80"/>
      </w:pPr>
      <w:r>
        <w:rPr>
          <w:rFonts w:ascii="微软雅黑" w:hAnsi="微软雅黑" w:eastAsia="微软雅黑"/>
        </w:rPr>
        <w:t>外部论文指标均为作者报告，未在本项目复算。</w:t>
      </w:r>
    </w:p>
    <w:p w14:paraId="48BC28FC">
      <w:pPr>
        <w:pStyle w:val="16"/>
        <w:spacing w:after="80"/>
      </w:pPr>
      <w:r>
        <w:rPr>
          <w:rFonts w:ascii="微软雅黑" w:hAnsi="微软雅黑" w:eastAsia="微软雅黑"/>
        </w:rPr>
        <w:t xml:space="preserve">公开仓库只证明代码可见；只有固定提交范围内的只读审查可标记 </w:t>
      </w:r>
      <w:r>
        <w:rPr>
          <w:rFonts w:ascii="微软雅黑" w:hAnsi="微软雅黑" w:eastAsia="微软雅黑"/>
          <w:color w:val="44546A"/>
        </w:rPr>
        <w:t>CODE VERIFIED</w:t>
      </w:r>
      <w:r>
        <w:rPr>
          <w:rFonts w:ascii="微软雅黑" w:hAnsi="微软雅黑" w:eastAsia="微软雅黑"/>
        </w:rPr>
        <w:t>。</w:t>
      </w:r>
    </w:p>
    <w:p w14:paraId="3A0136A8">
      <w:pPr>
        <w:pStyle w:val="16"/>
        <w:spacing w:after="80"/>
      </w:pPr>
      <w:r>
        <w:rPr>
          <w:rFonts w:ascii="微软雅黑" w:hAnsi="微软雅黑" w:eastAsia="微软雅黑"/>
        </w:rPr>
        <w:t>Zotero 当前用于文献管理，不替代正文核读与仓库证据日志。</w:t>
      </w:r>
    </w:p>
    <w:p w14:paraId="28E79CF5">
      <w:pPr>
        <w:pStyle w:val="16"/>
        <w:spacing w:after="80"/>
      </w:pPr>
      <w:r>
        <w:rPr>
          <w:rFonts w:ascii="微软雅黑" w:hAnsi="微软雅黑" w:eastAsia="微软雅黑"/>
        </w:rPr>
        <w:t>本轮定向核验不构成穷尽式系统综述；证据截止后出现的新工作不在本报告覆盖范围。</w:t>
      </w:r>
    </w:p>
    <w:p>
      <w:pPr>
        <w:pStyle w:val="6"/>
        <w:keepNext/>
      </w:pPr>
      <w:r>
        <w:rPr>
          <w:rFonts w:ascii="Microsoft YaHei" w:hAnsi="Microsoft YaHei" w:eastAsia="Microsoft YaHei"/>
          <w:b/>
          <w:i w:val="0"/>
          <w:color w:val="000000"/>
          <w:sz w:val="20"/>
        </w:rPr>
        <w:t>附录 A.1 本轮未核实问题</w:t>
      </w:r>
    </w:p>
    <w:p>
      <w:pPr>
        <w:spacing w:after="120" w:line="278" w:lineRule="auto"/>
      </w:pPr>
      <w:r>
        <w:rPr>
          <w:rFonts w:ascii="Microsoft YaHei" w:hAnsi="Microsoft YaHei" w:eastAsia="Microsoft YaHei"/>
          <w:sz w:val="18"/>
        </w:rPr>
        <w:t>UNKNOWN：PhIDO 逐模型、逐等级的精确原始数值表未核得；不从 Fig. 5 柱形估算伪精度。</w:t>
      </w:r>
    </w:p>
    <w:p>
      <w:pPr>
        <w:spacing w:after="120" w:line="278" w:lineRule="auto"/>
      </w:pPr>
      <w:r>
        <w:rPr>
          <w:rFonts w:ascii="Microsoft YaHei" w:hAnsi="Microsoft YaHei" w:eastAsia="Microsoft YaHei"/>
          <w:sz w:val="18"/>
        </w:rPr>
        <w:t>UNKNOWN：PICopilot 的 48 项原始脚本与运行日志未由本项目独立重算。</w:t>
      </w:r>
    </w:p>
    <w:p>
      <w:pPr>
        <w:spacing w:after="120" w:line="278" w:lineRule="auto"/>
      </w:pPr>
      <w:r>
        <w:rPr>
          <w:rFonts w:ascii="Microsoft YaHei" w:hAnsi="Microsoft YaHei" w:eastAsia="Microsoft YaHei"/>
          <w:sz w:val="18"/>
        </w:rPr>
        <w:t>UNKNOWN：Kharel 的求解器原始网格、跨 PDK 迁移和实物制造结果未验证。</w:t>
      </w:r>
    </w:p>
    <w:p>
      <w:pPr>
        <w:spacing w:after="120" w:line="278" w:lineRule="auto"/>
      </w:pPr>
      <w:r>
        <w:rPr>
          <w:rFonts w:ascii="Microsoft YaHei" w:hAnsi="Microsoft YaHei" w:eastAsia="Microsoft YaHei"/>
          <w:sz w:val="18"/>
        </w:rPr>
        <w:t>UNKNOWN：Jin 系统原始波形与片外设备统一功耗、Sandmann 的同口径检测限尚缺。</w:t>
      </w:r>
    </w:p>
    <w:p>
      <w:pPr>
        <w:spacing w:after="120" w:line="278" w:lineRule="auto"/>
      </w:pPr>
      <w:r>
        <w:rPr>
          <w:rFonts w:ascii="Microsoft YaHei" w:hAnsi="Microsoft YaHei" w:eastAsia="Microsoft YaHei"/>
          <w:sz w:val="18"/>
        </w:rPr>
        <w:t>UNKNOWN：Ahmed 的统一墙插功耗与各任务 energy/inference 未从现有主文确定。</w:t>
      </w:r>
    </w:p>
    <w:p>
      <w:pPr>
        <w:spacing w:after="120" w:line="278" w:lineRule="auto"/>
      </w:pPr>
      <w:r>
        <w:rPr>
          <w:rFonts w:ascii="Microsoft YaHei" w:hAnsi="Microsoft YaHei" w:eastAsia="Microsoft YaHei"/>
          <w:sz w:val="19"/>
        </w:rPr>
        <w:t>完整数据条件、原文页码与图示来源见仓库 references/task-016-evidence/ 的 key-data.csv、figure-sources.md、evidence-log.md 和 source-manifest.md。</w:t>
      </w:r>
    </w:p>
    <w:p w14:paraId="548F06A2">
      <w:pPr>
        <w:pStyle w:val="16"/>
        <w:numPr>
          <w:numId w:val="0"/>
        </w:numPr>
        <w:spacing w:after="80"/>
        <w:ind w:leftChars="0"/>
        <w:rPr>
          <w:rFonts w:ascii="微软雅黑" w:hAnsi="微软雅黑" w:eastAsia="微软雅黑"/>
        </w:rPr>
      </w:pPr>
    </w:p>
    <w:p w14:paraId="7BDF3E37">
      <w:pPr>
        <w:pStyle w:val="16"/>
        <w:numPr>
          <w:numId w:val="0"/>
        </w:numPr>
        <w:spacing w:after="80"/>
        <w:ind w:leftChars="0"/>
        <w:rPr>
          <w:rFonts w:ascii="微软雅黑" w:hAnsi="微软雅黑" w:eastAsia="微软雅黑"/>
        </w:rPr>
      </w:pPr>
    </w:p>
    <w:p w14:paraId="7ECD66F7">
      <w:pPr>
        <w:pStyle w:val="16"/>
        <w:numPr>
          <w:numId w:val="0"/>
        </w:numPr>
        <w:spacing w:after="80"/>
        <w:ind w:leftChars="0"/>
        <w:rPr>
          <w:rFonts w:ascii="微软雅黑" w:hAnsi="微软雅黑" w:eastAsia="微软雅黑"/>
        </w:rPr>
      </w:pPr>
    </w:p>
    <w:p w14:paraId="1AD841A2">
      <w:pPr>
        <w:pStyle w:val="16"/>
        <w:numPr>
          <w:numId w:val="0"/>
        </w:numPr>
        <w:spacing w:after="80"/>
        <w:ind w:leftChars="0"/>
        <w:rPr>
          <w:rFonts w:ascii="微软雅黑" w:hAnsi="微软雅黑" w:eastAsia="微软雅黑"/>
        </w:rPr>
      </w:pPr>
    </w:p>
    <w:p w14:paraId="1E11B3EB">
      <w:pPr>
        <w:pStyle w:val="16"/>
        <w:numPr>
          <w:numId w:val="0"/>
        </w:numPr>
        <w:spacing w:after="80"/>
        <w:ind w:leftChars="0"/>
        <w:rPr>
          <w:rFonts w:ascii="微软雅黑" w:hAnsi="微软雅黑" w:eastAsia="微软雅黑"/>
        </w:rPr>
      </w:pPr>
    </w:p>
    <w:p w14:paraId="3CB4861E">
      <w:pPr>
        <w:pStyle w:val="3"/>
      </w:pPr>
      <w:r>
        <w:rPr>
          <w:rFonts w:ascii="微软雅黑" w:hAnsi="微软雅黑" w:eastAsia="微软雅黑"/>
        </w:rPr>
        <w:t>附录 B：代表工作的最高系统层级</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2B457C78">
        <w:tblPrEx>
          <w:tblCellMar>
            <w:top w:w="0" w:type="dxa"/>
            <w:left w:w="108" w:type="dxa"/>
            <w:bottom w:w="0" w:type="dxa"/>
            <w:right w:w="108" w:type="dxa"/>
          </w:tblCellMar>
        </w:tblPrEx>
        <w:trPr>
          <w:cantSplit/>
          <w:tblHeader/>
        </w:trPr>
        <w:tc>
          <w:tcPr>
            <w:tcW w:w="2838"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333F39FC">
            <w:pPr>
              <w:spacing w:after="0" w:line="278" w:lineRule="auto"/>
            </w:pPr>
            <w:r>
              <w:rPr>
                <w:rFonts w:ascii="微软雅黑" w:hAnsi="微软雅黑" w:eastAsia="微软雅黑"/>
                <w:b/>
                <w:color w:val="FFFFFF"/>
                <w:sz w:val="17"/>
              </w:rPr>
              <w:t>代表工作</w:t>
            </w:r>
          </w:p>
        </w:tc>
        <w:tc>
          <w:tcPr>
            <w:tcW w:w="2783"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3A48FAA2">
            <w:pPr>
              <w:spacing w:after="0" w:line="278" w:lineRule="auto"/>
            </w:pPr>
            <w:r>
              <w:rPr>
                <w:rFonts w:ascii="微软雅黑" w:hAnsi="微软雅黑" w:eastAsia="微软雅黑"/>
                <w:b/>
                <w:color w:val="FFFFFF"/>
                <w:sz w:val="17"/>
              </w:rPr>
              <w:t>最高直接证据层级</w:t>
            </w:r>
          </w:p>
        </w:tc>
        <w:tc>
          <w:tcPr>
            <w:tcW w:w="4257" w:type="dxa"/>
            <w:tcBorders>
              <w:top w:val="single" w:color="D9D9D9" w:sz="4" w:space="0"/>
              <w:left w:val="single" w:color="D9D9D9" w:sz="4" w:space="0"/>
              <w:bottom w:val="single" w:color="D9D9D9" w:sz="4" w:space="0"/>
              <w:right w:val="single" w:color="D9D9D9" w:sz="4" w:space="0"/>
            </w:tcBorders>
            <w:shd w:val="clear" w:color="auto" w:fill="274766"/>
            <w:tcMar>
              <w:top w:w="95" w:type="dxa"/>
              <w:left w:w="85" w:type="dxa"/>
              <w:bottom w:w="95" w:type="dxa"/>
              <w:right w:w="85" w:type="dxa"/>
            </w:tcMar>
            <w:vAlign w:val="center"/>
          </w:tcPr>
          <w:p w14:paraId="6919BEBA">
            <w:pPr>
              <w:spacing w:after="0" w:line="278" w:lineRule="auto"/>
            </w:pPr>
            <w:r>
              <w:rPr>
                <w:rFonts w:ascii="微软雅黑" w:hAnsi="微软雅黑" w:eastAsia="微软雅黑"/>
                <w:b/>
                <w:color w:val="FFFFFF"/>
                <w:sz w:val="17"/>
              </w:rPr>
              <w:t>说明</w:t>
            </w:r>
          </w:p>
        </w:tc>
      </w:tr>
      <w:tr w14:paraId="4BC63439">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28C0471">
            <w:pPr>
              <w:spacing w:after="0" w:line="278" w:lineRule="auto"/>
            </w:pPr>
            <w:r>
              <w:rPr>
                <w:rFonts w:ascii="微软雅黑" w:hAnsi="微软雅黑" w:eastAsia="微软雅黑"/>
                <w:sz w:val="17"/>
              </w:rPr>
              <w:t>Cheng 2023 高 ER EOM</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3C507ACA">
            <w:pPr>
              <w:spacing w:after="0" w:line="278" w:lineRule="auto"/>
            </w:pPr>
            <w:r>
              <w:rPr>
                <w:rFonts w:ascii="微软雅黑" w:hAnsi="微软雅黑" w:eastAsia="微软雅黑"/>
                <w:sz w:val="17"/>
              </w:rPr>
              <w:t>器件/子模块 + DAS 台架替换</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18ABE91">
            <w:pPr>
              <w:spacing w:after="0" w:line="278" w:lineRule="auto"/>
            </w:pPr>
            <w:r>
              <w:rPr>
                <w:rFonts w:ascii="微软雅黑" w:hAnsi="微软雅黑" w:eastAsia="微软雅黑"/>
                <w:sz w:val="17"/>
              </w:rPr>
              <w:t>不是完整收发 PIC。</w:t>
            </w:r>
          </w:p>
        </w:tc>
      </w:tr>
      <w:tr w14:paraId="40CEF8C9">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4E773B8">
            <w:pPr>
              <w:spacing w:after="0" w:line="278" w:lineRule="auto"/>
            </w:pPr>
            <w:r>
              <w:rPr>
                <w:rFonts w:ascii="微软雅黑" w:hAnsi="微软雅黑" w:eastAsia="微软雅黑"/>
                <w:sz w:val="17"/>
              </w:rPr>
              <w:t>Jin 2024 SOI interrogator</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8E5AD72">
            <w:pPr>
              <w:spacing w:after="0" w:line="278" w:lineRule="auto"/>
            </w:pPr>
            <w:r>
              <w:rPr>
                <w:rFonts w:ascii="微软雅黑" w:hAnsi="微软雅黑" w:eastAsia="微软雅黑"/>
                <w:sz w:val="17"/>
              </w:rPr>
              <w:t>PIC + 真实 DAS 系统实验</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ABDA498">
            <w:pPr>
              <w:spacing w:after="0" w:line="278" w:lineRule="auto"/>
            </w:pPr>
            <w:r>
              <w:rPr>
                <w:rFonts w:ascii="微软雅黑" w:hAnsi="微软雅黑" w:eastAsia="微软雅黑"/>
                <w:sz w:val="17"/>
              </w:rPr>
              <w:t>多个关键组件仍片外。</w:t>
            </w:r>
          </w:p>
        </w:tc>
      </w:tr>
      <w:tr w14:paraId="3F798B37">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B680C2C">
            <w:pPr>
              <w:spacing w:after="0" w:line="278" w:lineRule="auto"/>
            </w:pPr>
            <w:r>
              <w:rPr>
                <w:rFonts w:ascii="微软雅黑" w:hAnsi="微软雅黑" w:eastAsia="微软雅黑"/>
                <w:sz w:val="17"/>
              </w:rPr>
              <w:t>Jin 2026 InP–SOI interrogator</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2C4BD3A">
            <w:pPr>
              <w:spacing w:after="0" w:line="278" w:lineRule="auto"/>
            </w:pPr>
            <w:r>
              <w:rPr>
                <w:rFonts w:ascii="微软雅黑" w:hAnsi="微软雅黑" w:eastAsia="微软雅黑"/>
                <w:sz w:val="17"/>
              </w:rPr>
              <w:t>光电混合模块 + 真实 DAS 系统实验</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2587594E">
            <w:pPr>
              <w:spacing w:after="0" w:line="278" w:lineRule="auto"/>
            </w:pPr>
            <w:r>
              <w:rPr>
                <w:rFonts w:ascii="微软雅黑" w:hAnsi="微软雅黑" w:eastAsia="微软雅黑"/>
                <w:sz w:val="17"/>
              </w:rPr>
              <w:t>激光/PIC/微光学/TEC 入模块，EDFA/电子/DSP 等外置。</w:t>
            </w:r>
          </w:p>
        </w:tc>
      </w:tr>
      <w:tr w14:paraId="0EEA846E">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77073482">
            <w:pPr>
              <w:spacing w:after="0" w:line="278" w:lineRule="auto"/>
            </w:pPr>
            <w:r>
              <w:rPr>
                <w:rFonts w:ascii="微软雅黑" w:hAnsi="微软雅黑" w:eastAsia="微软雅黑"/>
                <w:sz w:val="17"/>
              </w:rPr>
              <w:t>双微梳 DAS</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0110E3AB">
            <w:pPr>
              <w:spacing w:after="0" w:line="278" w:lineRule="auto"/>
            </w:pPr>
            <w:r>
              <w:rPr>
                <w:rFonts w:ascii="微软雅黑" w:hAnsi="微软雅黑" w:eastAsia="微软雅黑"/>
                <w:sz w:val="17"/>
              </w:rPr>
              <w:t>集成光源子系统 + 完整实验链路</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19CCF26">
            <w:pPr>
              <w:spacing w:after="0" w:line="278" w:lineRule="auto"/>
            </w:pPr>
            <w:r>
              <w:rPr>
                <w:rFonts w:ascii="微软雅黑" w:hAnsi="微软雅黑" w:eastAsia="微软雅黑"/>
                <w:sz w:val="17"/>
              </w:rPr>
              <w:t>系统复杂度和片外组件显著。</w:t>
            </w:r>
          </w:p>
        </w:tc>
      </w:tr>
      <w:tr w14:paraId="011D7AA4">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9E76364">
            <w:pPr>
              <w:spacing w:after="0" w:line="278" w:lineRule="auto"/>
            </w:pPr>
            <w:r>
              <w:rPr>
                <w:rFonts w:ascii="微软雅黑" w:hAnsi="微软雅黑" w:eastAsia="微软雅黑"/>
                <w:sz w:val="17"/>
              </w:rPr>
              <w:t>Ashtiani 2022 PDNN</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2953DB38">
            <w:pPr>
              <w:spacing w:after="0" w:line="278" w:lineRule="auto"/>
            </w:pPr>
            <w:r>
              <w:rPr>
                <w:rFonts w:ascii="微软雅黑" w:hAnsi="微软雅黑" w:eastAsia="微软雅黑"/>
                <w:sz w:val="17"/>
              </w:rPr>
              <w:t>芯片级网络实验</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6F476B80">
            <w:pPr>
              <w:spacing w:after="0" w:line="278" w:lineRule="auto"/>
            </w:pPr>
            <w:r>
              <w:rPr>
                <w:rFonts w:ascii="微软雅黑" w:hAnsi="微软雅黑" w:eastAsia="微软雅黑"/>
                <w:sz w:val="17"/>
              </w:rPr>
              <w:t>任务规模与外围边界需共同报告。</w:t>
            </w:r>
          </w:p>
        </w:tc>
      </w:tr>
      <w:tr w14:paraId="5643A1D1">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6BE7CE51">
            <w:pPr>
              <w:spacing w:after="0" w:line="278" w:lineRule="auto"/>
            </w:pPr>
            <w:r>
              <w:rPr>
                <w:rFonts w:ascii="微软雅黑" w:hAnsi="微软雅黑" w:eastAsia="微软雅黑"/>
                <w:sz w:val="17"/>
              </w:rPr>
              <w:t>Netcast</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7F5AA98">
            <w:pPr>
              <w:spacing w:after="0" w:line="278" w:lineRule="auto"/>
            </w:pPr>
            <w:r>
              <w:rPr>
                <w:rFonts w:ascii="微软雅黑" w:hAnsi="微软雅黑" w:eastAsia="微软雅黑"/>
                <w:sz w:val="17"/>
              </w:rPr>
              <w:t>分布式光电系统 + 任务级推理</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2253A43">
            <w:pPr>
              <w:spacing w:after="0" w:line="278" w:lineRule="auto"/>
            </w:pPr>
            <w:r>
              <w:rPr>
                <w:rFonts w:ascii="微软雅黑" w:hAnsi="微软雅黑" w:eastAsia="微软雅黑"/>
                <w:sz w:val="17"/>
              </w:rPr>
              <w:t>接收端光能不能代表墙插总能耗。</w:t>
            </w:r>
          </w:p>
        </w:tc>
      </w:tr>
      <w:tr w14:paraId="12490431">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AEFCB8D">
            <w:pPr>
              <w:spacing w:after="0" w:line="278" w:lineRule="auto"/>
            </w:pPr>
            <w:r>
              <w:rPr>
                <w:rFonts w:ascii="微软雅黑" w:hAnsi="微软雅黑" w:eastAsia="微软雅黑"/>
                <w:sz w:val="17"/>
              </w:rPr>
              <w:t>ACCEL</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1814F8D3">
            <w:pPr>
              <w:spacing w:after="0" w:line="278" w:lineRule="auto"/>
            </w:pPr>
            <w:r>
              <w:rPr>
                <w:rFonts w:ascii="微软雅黑" w:hAnsi="微软雅黑" w:eastAsia="微软雅黑"/>
                <w:sz w:val="17"/>
              </w:rPr>
              <w:t>光电混合系统 + 任务级视觉</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DC12E44">
            <w:pPr>
              <w:spacing w:after="0" w:line="278" w:lineRule="auto"/>
            </w:pPr>
            <w:r>
              <w:rPr>
                <w:rFonts w:ascii="微软雅黑" w:hAnsi="微软雅黑" w:eastAsia="微软雅黑"/>
                <w:sz w:val="17"/>
              </w:rPr>
              <w:t>任务专用、operation 口径需说明。</w:t>
            </w:r>
          </w:p>
        </w:tc>
      </w:tr>
      <w:tr w14:paraId="272DFDEA">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6FF445A">
            <w:pPr>
              <w:spacing w:after="0" w:line="278" w:lineRule="auto"/>
            </w:pPr>
            <w:r>
              <w:rPr>
                <w:rFonts w:ascii="微软雅黑" w:hAnsi="微软雅黑" w:eastAsia="微软雅黑"/>
                <w:sz w:val="17"/>
              </w:rPr>
              <w:t>Taichi</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1F29B9F9">
            <w:pPr>
              <w:spacing w:after="0" w:line="278" w:lineRule="auto"/>
            </w:pPr>
            <w:r>
              <w:rPr>
                <w:rFonts w:ascii="微软雅黑" w:hAnsi="微软雅黑" w:eastAsia="微软雅黑"/>
                <w:sz w:val="17"/>
              </w:rPr>
              <w:t>光子芯粒系统 + 任务演示</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69E17115">
            <w:pPr>
              <w:spacing w:after="0" w:line="278" w:lineRule="auto"/>
            </w:pPr>
            <w:r>
              <w:rPr>
                <w:rFonts w:ascii="微软雅黑" w:hAnsi="微软雅黑" w:eastAsia="微软雅黑"/>
                <w:sz w:val="17"/>
              </w:rPr>
              <w:t>AGI 为作者定位，不是通用智能验证。</w:t>
            </w:r>
          </w:p>
        </w:tc>
      </w:tr>
      <w:tr w14:paraId="088D9B83">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9EAABB4">
            <w:pPr>
              <w:spacing w:after="0" w:line="278" w:lineRule="auto"/>
            </w:pPr>
            <w:r>
              <w:rPr>
                <w:rFonts w:ascii="微软雅黑" w:hAnsi="微软雅黑" w:eastAsia="微软雅黑"/>
                <w:sz w:val="17"/>
              </w:rPr>
              <w:t>PACE</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1102EAC3">
            <w:pPr>
              <w:spacing w:after="0" w:line="278" w:lineRule="auto"/>
            </w:pPr>
            <w:r>
              <w:rPr>
                <w:rFonts w:ascii="微软雅黑" w:hAnsi="微软雅黑" w:eastAsia="微软雅黑"/>
                <w:sz w:val="17"/>
              </w:rPr>
              <w:t>2.5D 光电混合模块/系统 + 优化任务</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F4F0F2C">
            <w:pPr>
              <w:spacing w:after="0" w:line="278" w:lineRule="auto"/>
            </w:pPr>
            <w:r>
              <w:rPr>
                <w:rFonts w:ascii="微软雅黑" w:hAnsi="微软雅黑" w:eastAsia="微软雅黑"/>
                <w:sz w:val="17"/>
              </w:rPr>
              <w:t>不是通用 DNN 推理。</w:t>
            </w:r>
          </w:p>
        </w:tc>
      </w:tr>
      <w:tr w14:paraId="791E7303">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435EBA95">
            <w:pPr>
              <w:spacing w:after="0" w:line="278" w:lineRule="auto"/>
            </w:pPr>
            <w:r>
              <w:rPr>
                <w:rFonts w:ascii="微软雅黑" w:hAnsi="微软雅黑" w:eastAsia="微软雅黑"/>
                <w:sz w:val="17"/>
              </w:rPr>
              <w:t>通用光子 AI 加速器 2025</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7C76ED5F">
            <w:pPr>
              <w:spacing w:after="0" w:line="278" w:lineRule="auto"/>
            </w:pPr>
            <w:r>
              <w:rPr>
                <w:rFonts w:ascii="微软雅黑" w:hAnsi="微软雅黑" w:eastAsia="微软雅黑"/>
                <w:sz w:val="17"/>
              </w:rPr>
              <w:t>软硬件系统 + 多类真实模型</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2B077411">
            <w:pPr>
              <w:spacing w:after="0" w:line="278" w:lineRule="auto"/>
            </w:pPr>
            <w:r>
              <w:rPr>
                <w:rFonts w:ascii="微软雅黑" w:hAnsi="微软雅黑" w:eastAsia="微软雅黑"/>
                <w:sz w:val="17"/>
              </w:rPr>
              <w:t>不同任务精度损失不同。</w:t>
            </w:r>
          </w:p>
        </w:tc>
      </w:tr>
      <w:tr w14:paraId="24A78D83">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E0CD9D4">
            <w:pPr>
              <w:spacing w:after="0" w:line="278" w:lineRule="auto"/>
            </w:pPr>
            <w:r>
              <w:rPr>
                <w:rFonts w:ascii="微软雅黑" w:hAnsi="微软雅黑" w:eastAsia="微软雅黑"/>
                <w:sz w:val="17"/>
              </w:rPr>
              <w:t>PhIDO</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17A025DA">
            <w:pPr>
              <w:spacing w:after="0" w:line="278" w:lineRule="auto"/>
            </w:pPr>
            <w:r>
              <w:rPr>
                <w:rFonts w:ascii="微软雅黑" w:hAnsi="微软雅黑" w:eastAsia="微软雅黑"/>
                <w:sz w:val="17"/>
              </w:rPr>
              <w:t>研究级 PIC 结构/电路流程</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769301E">
            <w:pPr>
              <w:spacing w:after="0" w:line="278" w:lineRule="auto"/>
            </w:pPr>
            <w:r>
              <w:rPr>
                <w:rFonts w:ascii="微软雅黑" w:hAnsi="微软雅黑" w:eastAsia="微软雅黑"/>
                <w:sz w:val="17"/>
              </w:rPr>
              <w:t>GDS/DRC/SAX，不到 foundry signoff。</w:t>
            </w:r>
          </w:p>
        </w:tc>
      </w:tr>
      <w:tr w14:paraId="67397715">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0197046B">
            <w:pPr>
              <w:spacing w:after="0" w:line="278" w:lineRule="auto"/>
            </w:pPr>
            <w:r>
              <w:rPr>
                <w:rFonts w:ascii="微软雅黑" w:hAnsi="微软雅黑" w:eastAsia="微软雅黑"/>
                <w:sz w:val="17"/>
              </w:rPr>
              <w:t>AutoPhotonicDesign</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592F6EA0">
            <w:pPr>
              <w:spacing w:after="0" w:line="278" w:lineRule="auto"/>
            </w:pPr>
            <w:r>
              <w:rPr>
                <w:rFonts w:ascii="微软雅黑" w:hAnsi="微软雅黑" w:eastAsia="微软雅黑"/>
                <w:sz w:val="17"/>
              </w:rPr>
              <w:t>人类配置后的器件仿真在环</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0A4D4D27">
            <w:pPr>
              <w:spacing w:after="0" w:line="278" w:lineRule="auto"/>
            </w:pPr>
            <w:r>
              <w:rPr>
                <w:rFonts w:ascii="微软雅黑" w:hAnsi="微软雅黑" w:eastAsia="微软雅黑"/>
                <w:sz w:val="17"/>
              </w:rPr>
              <w:t>真实 solver，但非无条件端到端自治。</w:t>
            </w:r>
          </w:p>
        </w:tc>
      </w:tr>
      <w:tr w14:paraId="75C65697">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5E5E042">
            <w:pPr>
              <w:spacing w:after="0" w:line="278" w:lineRule="auto"/>
            </w:pPr>
            <w:r>
              <w:rPr>
                <w:rFonts w:ascii="微软雅黑" w:hAnsi="微软雅黑" w:eastAsia="微软雅黑"/>
                <w:sz w:val="17"/>
              </w:rPr>
              <w:t>PICBench</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7C2114B2">
            <w:pPr>
              <w:spacing w:after="0" w:line="278" w:lineRule="auto"/>
            </w:pPr>
            <w:r>
              <w:rPr>
                <w:rFonts w:ascii="微软雅黑" w:hAnsi="微软雅黑" w:eastAsia="微软雅黑"/>
                <w:sz w:val="17"/>
              </w:rPr>
              <w:t>电路级自动评价基准</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0F75B4D0">
            <w:pPr>
              <w:spacing w:after="0" w:line="278" w:lineRule="auto"/>
            </w:pPr>
            <w:r>
              <w:rPr>
                <w:rFonts w:ascii="微软雅黑" w:hAnsi="微软雅黑" w:eastAsia="微软雅黑"/>
                <w:sz w:val="17"/>
              </w:rPr>
              <w:t>SAX 紧凑模型，不含全波/版图签核。</w:t>
            </w:r>
          </w:p>
        </w:tc>
      </w:tr>
      <w:tr w14:paraId="703D4CA9">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762709C">
            <w:pPr>
              <w:spacing w:after="0" w:line="278" w:lineRule="auto"/>
            </w:pPr>
            <w:r>
              <w:rPr>
                <w:rFonts w:ascii="微软雅黑" w:hAnsi="微软雅黑" w:eastAsia="微软雅黑"/>
                <w:sz w:val="17"/>
              </w:rPr>
              <w:t>PICopilot</w:t>
            </w:r>
          </w:p>
        </w:tc>
        <w:tc>
          <w:tcPr>
            <w:tcW w:w="2783"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3314871F">
            <w:pPr>
              <w:spacing w:after="0" w:line="278" w:lineRule="auto"/>
            </w:pPr>
            <w:r>
              <w:rPr>
                <w:rFonts w:ascii="微软雅黑" w:hAnsi="微软雅黑" w:eastAsia="微软雅黑"/>
                <w:sz w:val="17"/>
              </w:rPr>
              <w:t>脚本生成与输出评价</w:t>
            </w:r>
          </w:p>
        </w:tc>
        <w:tc>
          <w:tcPr>
            <w:tcW w:w="4257" w:type="dxa"/>
            <w:tcBorders>
              <w:top w:val="single" w:color="D9D9D9" w:sz="4" w:space="0"/>
              <w:left w:val="single" w:color="D9D9D9" w:sz="4" w:space="0"/>
              <w:bottom w:val="single" w:color="D9D9D9" w:sz="4" w:space="0"/>
              <w:right w:val="single" w:color="D9D9D9" w:sz="4" w:space="0"/>
            </w:tcBorders>
            <w:shd w:val="clear" w:color="auto" w:fill="F4F7FA"/>
            <w:tcMar>
              <w:top w:w="95" w:type="dxa"/>
              <w:left w:w="85" w:type="dxa"/>
              <w:bottom w:w="95" w:type="dxa"/>
              <w:right w:w="85" w:type="dxa"/>
            </w:tcMar>
            <w:vAlign w:val="center"/>
          </w:tcPr>
          <w:p w14:paraId="4F4F5F4E">
            <w:pPr>
              <w:spacing w:after="0" w:line="278" w:lineRule="auto"/>
            </w:pPr>
            <w:r>
              <w:rPr>
                <w:rFonts w:ascii="微软雅黑" w:hAnsi="微软雅黑" w:eastAsia="微软雅黑"/>
                <w:sz w:val="17"/>
              </w:rPr>
              <w:t>无公开实现核验。</w:t>
            </w:r>
          </w:p>
        </w:tc>
      </w:tr>
      <w:tr w14:paraId="64C4BBA7">
        <w:tblPrEx>
          <w:tblCellMar>
            <w:top w:w="0" w:type="dxa"/>
            <w:left w:w="108" w:type="dxa"/>
            <w:bottom w:w="0" w:type="dxa"/>
            <w:right w:w="108" w:type="dxa"/>
          </w:tblCellMar>
        </w:tblPrEx>
        <w:trPr>
          <w:cantSplit/>
        </w:trPr>
        <w:tc>
          <w:tcPr>
            <w:tcW w:w="2838"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47FB3C93">
            <w:pPr>
              <w:spacing w:after="0" w:line="278" w:lineRule="auto"/>
            </w:pPr>
            <w:r>
              <w:rPr>
                <w:rFonts w:ascii="微软雅黑" w:hAnsi="微软雅黑" w:eastAsia="微软雅黑"/>
                <w:sz w:val="17"/>
              </w:rPr>
              <w:t>PICasso</w:t>
            </w:r>
          </w:p>
        </w:tc>
        <w:tc>
          <w:tcPr>
            <w:tcW w:w="2783"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564CAFDC">
            <w:pPr>
              <w:spacing w:after="0" w:line="278" w:lineRule="auto"/>
            </w:pPr>
            <w:r>
              <w:rPr>
                <w:rFonts w:ascii="微软雅黑" w:hAnsi="微软雅黑" w:eastAsia="微软雅黑"/>
                <w:sz w:val="17"/>
              </w:rPr>
              <w:t>论文描述的流程</w:t>
            </w:r>
          </w:p>
        </w:tc>
        <w:tc>
          <w:tcPr>
            <w:tcW w:w="4257" w:type="dxa"/>
            <w:tcBorders>
              <w:top w:val="single" w:color="D9D9D9" w:sz="4" w:space="0"/>
              <w:left w:val="single" w:color="D9D9D9" w:sz="4" w:space="0"/>
              <w:bottom w:val="single" w:color="D9D9D9" w:sz="4" w:space="0"/>
              <w:right w:val="single" w:color="D9D9D9" w:sz="4" w:space="0"/>
            </w:tcBorders>
            <w:tcMar>
              <w:top w:w="95" w:type="dxa"/>
              <w:left w:w="85" w:type="dxa"/>
              <w:bottom w:w="95" w:type="dxa"/>
              <w:right w:w="85" w:type="dxa"/>
            </w:tcMar>
            <w:vAlign w:val="center"/>
          </w:tcPr>
          <w:p w14:paraId="2AB2983F">
            <w:pPr>
              <w:spacing w:after="0" w:line="278" w:lineRule="auto"/>
            </w:pPr>
            <w:r>
              <w:rPr>
                <w:rFonts w:ascii="微软雅黑" w:hAnsi="微软雅黑" w:eastAsia="微软雅黑"/>
                <w:sz w:val="17"/>
              </w:rPr>
              <w:t>无公开实现，全部保持作者主张。</w:t>
            </w:r>
          </w:p>
        </w:tc>
      </w:tr>
    </w:tbl>
    <w:p w14:paraId="700C9699">
      <w:pPr>
        <w:pStyle w:val="3"/>
        <w:rPr>
          <w:rFonts w:ascii="微软雅黑" w:hAnsi="微软雅黑" w:eastAsia="微软雅黑"/>
        </w:rPr>
      </w:pPr>
    </w:p>
    <w:p w14:paraId="58908D2C">
      <w:pPr>
        <w:rPr>
          <w:rFonts w:ascii="微软雅黑" w:hAnsi="微软雅黑" w:eastAsia="微软雅黑"/>
        </w:rPr>
      </w:pPr>
    </w:p>
    <w:p w14:paraId="5C867A81">
      <w:pPr>
        <w:rPr>
          <w:rFonts w:ascii="微软雅黑" w:hAnsi="微软雅黑" w:eastAsia="微软雅黑"/>
        </w:rPr>
      </w:pPr>
    </w:p>
    <w:p w14:paraId="3788B748">
      <w:pPr>
        <w:pStyle w:val="3"/>
        <w:rPr>
          <w:rFonts w:ascii="微软雅黑" w:hAnsi="微软雅黑" w:eastAsia="微软雅黑"/>
        </w:rPr>
      </w:pPr>
      <w:r>
        <w:rPr>
          <w:rFonts w:ascii="微软雅黑" w:hAnsi="微软雅黑" w:eastAsia="微软雅黑"/>
        </w:rPr>
        <w:t>附录 C 论文与项目出处索引</w:t>
      </w:r>
    </w:p>
    <w:p w14:paraId="2B3D9750">
      <w:r>
        <w:rPr>
          <w:rFonts w:ascii="微软雅黑" w:hAnsi="微软雅黑" w:eastAsia="微软雅黑"/>
        </w:rPr>
        <w:t>以下条目依据已验收的论文与项目出处索引整理，提供可点击的一手论文和仓库入口。出处链接不意味着本项目复算或复现作者结果。</w:t>
      </w:r>
    </w:p>
    <w:p w14:paraId="62AE01C8">
      <w:pPr>
        <w:pStyle w:val="4"/>
      </w:pPr>
      <w:r>
        <w:t>面向智能体的 PIC 设计与方法论文</w:t>
      </w:r>
    </w:p>
    <w:p w14:paraId="59E65663">
      <w:pPr>
        <w:spacing w:after="40"/>
        <w:ind w:left="259" w:hanging="259"/>
      </w:pPr>
      <w:r>
        <w:rPr>
          <w:rFonts w:ascii="微软雅黑" w:hAnsi="微软雅黑" w:eastAsia="微软雅黑"/>
          <w:sz w:val="17"/>
        </w:rPr>
        <w:t xml:space="preserve">1. </w:t>
      </w:r>
      <w:r>
        <w:fldChar w:fldCharType="begin"/>
      </w:r>
      <w:r>
        <w:instrText xml:space="preserve"> HYPERLINK "https://doi.org/10.1063/5.0300741" \h </w:instrText>
      </w:r>
      <w:r>
        <w:fldChar w:fldCharType="separate"/>
      </w:r>
      <w:r>
        <w:rPr>
          <w:rFonts w:ascii="微软雅黑" w:hAnsi="微软雅黑" w:eastAsia="微软雅黑"/>
          <w:color w:val="205493"/>
        </w:rPr>
        <w:t>PhIDO</w:t>
      </w:r>
      <w:r>
        <w:rPr>
          <w:rFonts w:ascii="微软雅黑" w:hAnsi="微软雅黑" w:eastAsia="微软雅黑"/>
          <w:color w:val="205493"/>
        </w:rPr>
        <w:fldChar w:fldCharType="end"/>
      </w:r>
      <w:r>
        <w:rPr>
          <w:rFonts w:ascii="微软雅黑" w:hAnsi="微软雅黑" w:eastAsia="微软雅黑"/>
          <w:sz w:val="17"/>
        </w:rPr>
        <w:t xml:space="preserve"> · APL Machine Learning, 2025 · </w:t>
      </w:r>
      <w:r>
        <w:fldChar w:fldCharType="begin"/>
      </w:r>
      <w:r>
        <w:instrText xml:space="preserve"> HYPERLINK "https://github.com/JPPhotonics/PhIDO-Release/tree/6a8b8d695f0af9247db1a9bbe0511307a8301b4d" \h </w:instrText>
      </w:r>
      <w:r>
        <w:fldChar w:fldCharType="separate"/>
      </w:r>
      <w:r>
        <w:rPr>
          <w:rFonts w:ascii="微软雅黑" w:hAnsi="微软雅黑" w:eastAsia="微软雅黑"/>
          <w:color w:val="205493"/>
        </w:rPr>
        <w:t>PhIDO-Release 6a8b8d6</w:t>
      </w:r>
      <w:r>
        <w:rPr>
          <w:rFonts w:ascii="微软雅黑" w:hAnsi="微软雅黑" w:eastAsia="微软雅黑"/>
          <w:color w:val="205493"/>
        </w:rPr>
        <w:fldChar w:fldCharType="end"/>
      </w:r>
      <w:r>
        <w:rPr>
          <w:rFonts w:ascii="微软雅黑" w:hAnsi="微软雅黑" w:eastAsia="微软雅黑"/>
          <w:sz w:val="17"/>
        </w:rPr>
        <w:t xml:space="preserve"> · Zotero 已有；MIT</w:t>
      </w:r>
    </w:p>
    <w:p w14:paraId="6592C67A">
      <w:pPr>
        <w:spacing w:after="40"/>
        <w:ind w:left="259" w:hanging="259"/>
      </w:pPr>
      <w:r>
        <w:rPr>
          <w:rFonts w:ascii="微软雅黑" w:hAnsi="微软雅黑" w:eastAsia="微软雅黑"/>
          <w:sz w:val="17"/>
        </w:rPr>
        <w:t xml:space="preserve">2. </w:t>
      </w:r>
      <w:r>
        <w:fldChar w:fldCharType="begin"/>
      </w:r>
      <w:r>
        <w:instrText xml:space="preserve"> HYPERLINK "https://arxiv.org/abs/2606.00915" \h </w:instrText>
      </w:r>
      <w:r>
        <w:fldChar w:fldCharType="separate"/>
      </w:r>
      <w:r>
        <w:rPr>
          <w:rFonts w:ascii="微软雅黑" w:hAnsi="微软雅黑" w:eastAsia="微软雅黑"/>
          <w:color w:val="205493"/>
        </w:rPr>
        <w:t>AutoPhotonicDesign</w:t>
      </w:r>
      <w:r>
        <w:rPr>
          <w:rFonts w:ascii="微软雅黑" w:hAnsi="微软雅黑" w:eastAsia="微软雅黑"/>
          <w:color w:val="205493"/>
        </w:rPr>
        <w:fldChar w:fldCharType="end"/>
      </w:r>
      <w:r>
        <w:rPr>
          <w:rFonts w:ascii="微软雅黑" w:hAnsi="微软雅黑" w:eastAsia="微软雅黑"/>
          <w:sz w:val="17"/>
        </w:rPr>
        <w:t xml:space="preserve"> · arXiv:2606.00915 · </w:t>
      </w:r>
      <w:r>
        <w:fldChar w:fldCharType="begin"/>
      </w:r>
      <w:r>
        <w:instrText xml:space="preserve"> HYPERLINK "https://github.com/flexcompute/autophotonicdesign/tree/3b265056586a2923b58f60fd9efe73530a03b1d4" \h </w:instrText>
      </w:r>
      <w:r>
        <w:fldChar w:fldCharType="separate"/>
      </w:r>
      <w:r>
        <w:rPr>
          <w:rFonts w:ascii="微软雅黑" w:hAnsi="微软雅黑" w:eastAsia="微软雅黑"/>
          <w:color w:val="205493"/>
        </w:rPr>
        <w:t>固定提交 3b26505</w:t>
      </w:r>
      <w:r>
        <w:rPr>
          <w:rFonts w:ascii="微软雅黑" w:hAnsi="微软雅黑" w:eastAsia="微软雅黑"/>
          <w:color w:val="205493"/>
        </w:rPr>
        <w:fldChar w:fldCharType="end"/>
      </w:r>
      <w:r>
        <w:rPr>
          <w:rFonts w:ascii="微软雅黑" w:hAnsi="微软雅黑" w:eastAsia="微软雅黑"/>
          <w:sz w:val="17"/>
        </w:rPr>
        <w:t xml:space="preserve"> · 预印本；MIT</w:t>
      </w:r>
    </w:p>
    <w:p w14:paraId="59A894C7">
      <w:pPr>
        <w:spacing w:after="40"/>
        <w:ind w:left="259" w:hanging="259"/>
      </w:pPr>
      <w:r>
        <w:rPr>
          <w:rFonts w:ascii="微软雅黑" w:hAnsi="微软雅黑" w:eastAsia="微软雅黑"/>
          <w:sz w:val="17"/>
        </w:rPr>
        <w:t xml:space="preserve">3. </w:t>
      </w:r>
      <w:r>
        <w:fldChar w:fldCharType="begin"/>
      </w:r>
      <w:r>
        <w:instrText xml:space="preserve"> HYPERLINK "https://arxiv.org/abs/2502.03159" \h </w:instrText>
      </w:r>
      <w:r>
        <w:fldChar w:fldCharType="separate"/>
      </w:r>
      <w:r>
        <w:rPr>
          <w:rFonts w:ascii="微软雅黑" w:hAnsi="微软雅黑" w:eastAsia="微软雅黑"/>
          <w:color w:val="205493"/>
        </w:rPr>
        <w:t>PICBench</w:t>
      </w:r>
      <w:r>
        <w:rPr>
          <w:rFonts w:ascii="微软雅黑" w:hAnsi="微软雅黑" w:eastAsia="微软雅黑"/>
          <w:color w:val="205493"/>
        </w:rPr>
        <w:fldChar w:fldCharType="end"/>
      </w:r>
      <w:r>
        <w:rPr>
          <w:rFonts w:ascii="微软雅黑" w:hAnsi="微软雅黑" w:eastAsia="微软雅黑"/>
          <w:sz w:val="17"/>
        </w:rPr>
        <w:t xml:space="preserve"> · arXiv:2502.03159 · </w:t>
      </w:r>
      <w:r>
        <w:fldChar w:fldCharType="begin"/>
      </w:r>
      <w:r>
        <w:instrText xml:space="preserve"> HYPERLINK "https://github.com/PICDA/PICBench/tree/ae1fb905860bcfcc9a6c439795911266414274ff" \h </w:instrText>
      </w:r>
      <w:r>
        <w:fldChar w:fldCharType="separate"/>
      </w:r>
      <w:r>
        <w:rPr>
          <w:rFonts w:ascii="微软雅黑" w:hAnsi="微软雅黑" w:eastAsia="微软雅黑"/>
          <w:color w:val="205493"/>
        </w:rPr>
        <w:t>固定提交 ae1fb90</w:t>
      </w:r>
      <w:r>
        <w:rPr>
          <w:rFonts w:ascii="微软雅黑" w:hAnsi="微软雅黑" w:eastAsia="微软雅黑"/>
          <w:color w:val="205493"/>
        </w:rPr>
        <w:fldChar w:fldCharType="end"/>
      </w:r>
      <w:r>
        <w:rPr>
          <w:rFonts w:ascii="微软雅黑" w:hAnsi="微软雅黑" w:eastAsia="微软雅黑"/>
          <w:sz w:val="17"/>
        </w:rPr>
        <w:t xml:space="preserve"> · 预印本；MIT</w:t>
      </w:r>
    </w:p>
    <w:p w14:paraId="3BB1B289">
      <w:pPr>
        <w:spacing w:after="40"/>
        <w:ind w:left="259" w:hanging="259"/>
      </w:pPr>
      <w:r>
        <w:rPr>
          <w:rFonts w:ascii="微软雅黑" w:hAnsi="微软雅黑" w:eastAsia="微软雅黑"/>
          <w:sz w:val="17"/>
        </w:rPr>
        <w:t xml:space="preserve">4. </w:t>
      </w:r>
      <w:r>
        <w:fldChar w:fldCharType="begin"/>
      </w:r>
      <w:r>
        <w:instrText xml:space="preserve"> HYPERLINK "https://arxiv.org/abs/2608.01791" \h </w:instrText>
      </w:r>
      <w:r>
        <w:fldChar w:fldCharType="separate"/>
      </w:r>
      <w:r>
        <w:rPr>
          <w:rFonts w:ascii="微软雅黑" w:hAnsi="微软雅黑" w:eastAsia="微软雅黑"/>
          <w:color w:val="205493"/>
        </w:rPr>
        <w:t>PICopilot</w:t>
      </w:r>
      <w:r>
        <w:rPr>
          <w:rFonts w:ascii="微软雅黑" w:hAnsi="微软雅黑" w:eastAsia="微软雅黑"/>
          <w:color w:val="205493"/>
        </w:rPr>
        <w:fldChar w:fldCharType="end"/>
      </w:r>
      <w:r>
        <w:rPr>
          <w:rFonts w:ascii="微软雅黑" w:hAnsi="微软雅黑" w:eastAsia="微软雅黑"/>
          <w:sz w:val="17"/>
        </w:rPr>
        <w:t xml:space="preserve"> · arXiv:2608.01791 · 未核验到公开实现 · 预印本</w:t>
      </w:r>
    </w:p>
    <w:p w14:paraId="57E8BBC2">
      <w:pPr>
        <w:spacing w:after="40"/>
        <w:ind w:left="259" w:hanging="259"/>
      </w:pPr>
      <w:r>
        <w:rPr>
          <w:rFonts w:ascii="微软雅黑" w:hAnsi="微软雅黑" w:eastAsia="微软雅黑"/>
          <w:sz w:val="17"/>
        </w:rPr>
        <w:t xml:space="preserve">5. </w:t>
      </w:r>
      <w:r>
        <w:fldChar w:fldCharType="begin"/>
      </w:r>
      <w:r>
        <w:instrText xml:space="preserve"> HYPERLINK "https://arxiv.org/abs/2608.26113" \h </w:instrText>
      </w:r>
      <w:r>
        <w:fldChar w:fldCharType="separate"/>
      </w:r>
      <w:r>
        <w:rPr>
          <w:rFonts w:ascii="微软雅黑" w:hAnsi="微软雅黑" w:eastAsia="微软雅黑"/>
          <w:color w:val="205493"/>
        </w:rPr>
        <w:t>PICasso</w:t>
      </w:r>
      <w:r>
        <w:rPr>
          <w:rFonts w:ascii="微软雅黑" w:hAnsi="微软雅黑" w:eastAsia="微软雅黑"/>
          <w:color w:val="205493"/>
        </w:rPr>
        <w:fldChar w:fldCharType="end"/>
      </w:r>
      <w:r>
        <w:rPr>
          <w:rFonts w:ascii="微软雅黑" w:hAnsi="微软雅黑" w:eastAsia="微软雅黑"/>
          <w:sz w:val="17"/>
        </w:rPr>
        <w:t xml:space="preserve"> · arXiv:2608.26113 · 未核验到公开实现 · 预印本</w:t>
      </w:r>
    </w:p>
    <w:p w14:paraId="153F3E52">
      <w:pPr>
        <w:spacing w:after="40"/>
        <w:ind w:left="259" w:hanging="259"/>
      </w:pPr>
      <w:r>
        <w:rPr>
          <w:rFonts w:ascii="微软雅黑" w:hAnsi="微软雅黑" w:eastAsia="微软雅黑"/>
          <w:sz w:val="17"/>
        </w:rPr>
        <w:t xml:space="preserve">6. </w:t>
      </w:r>
      <w:r>
        <w:fldChar w:fldCharType="begin"/>
      </w:r>
      <w:r>
        <w:instrText xml:space="preserve"> HYPERLINK "https://doi.org/10.1126/sciadv.adx8006" \h </w:instrText>
      </w:r>
      <w:r>
        <w:fldChar w:fldCharType="separate"/>
      </w:r>
      <w:r>
        <w:rPr>
          <w:rFonts w:ascii="微软雅黑" w:hAnsi="微软雅黑" w:eastAsia="微软雅黑"/>
          <w:color w:val="205493"/>
        </w:rPr>
        <w:t>MetaChat</w:t>
      </w:r>
      <w:r>
        <w:rPr>
          <w:rFonts w:ascii="微软雅黑" w:hAnsi="微软雅黑" w:eastAsia="微软雅黑"/>
          <w:color w:val="205493"/>
        </w:rPr>
        <w:fldChar w:fldCharType="end"/>
      </w:r>
      <w:r>
        <w:rPr>
          <w:rFonts w:ascii="微软雅黑" w:hAnsi="微软雅黑" w:eastAsia="微软雅黑"/>
          <w:sz w:val="17"/>
        </w:rPr>
        <w:t xml:space="preserve"> · Science Advances, 2025 · </w:t>
      </w:r>
      <w:r>
        <w:fldChar w:fldCharType="begin"/>
      </w:r>
      <w:r>
        <w:instrText xml:space="preserve"> HYPERLINK "https://github.com/jonfanlab/metachat/tree/e66deddbc96e4fe3e78837e069c44a4d15cf558c" \h </w:instrText>
      </w:r>
      <w:r>
        <w:fldChar w:fldCharType="separate"/>
      </w:r>
      <w:r>
        <w:rPr>
          <w:rFonts w:ascii="微软雅黑" w:hAnsi="微软雅黑" w:eastAsia="微软雅黑"/>
          <w:color w:val="205493"/>
        </w:rPr>
        <w:t>固定提交 e66dedb</w:t>
      </w:r>
      <w:r>
        <w:rPr>
          <w:rFonts w:ascii="微软雅黑" w:hAnsi="微软雅黑" w:eastAsia="微软雅黑"/>
          <w:color w:val="205493"/>
        </w:rPr>
        <w:fldChar w:fldCharType="end"/>
      </w:r>
      <w:r>
        <w:rPr>
          <w:rFonts w:ascii="微软雅黑" w:hAnsi="微软雅黑" w:eastAsia="微软雅黑"/>
          <w:sz w:val="17"/>
        </w:rPr>
        <w:t xml:space="preserve"> · 未发现根许可证</w:t>
      </w:r>
    </w:p>
    <w:p w14:paraId="321E7779">
      <w:pPr>
        <w:spacing w:after="40"/>
        <w:ind w:left="259" w:hanging="259"/>
      </w:pPr>
      <w:r>
        <w:rPr>
          <w:rFonts w:ascii="微软雅黑" w:hAnsi="微软雅黑" w:eastAsia="微软雅黑"/>
          <w:sz w:val="17"/>
        </w:rPr>
        <w:t xml:space="preserve">7. </w:t>
      </w:r>
      <w:r>
        <w:fldChar w:fldCharType="begin"/>
      </w:r>
      <w:r>
        <w:instrText xml:space="preserve"> HYPERLINK "https://doi.org/10.1002/lpor.71739" \h </w:instrText>
      </w:r>
      <w:r>
        <w:fldChar w:fldCharType="separate"/>
      </w:r>
      <w:r>
        <w:rPr>
          <w:rFonts w:ascii="微软雅黑" w:hAnsi="微软雅黑" w:eastAsia="微软雅黑"/>
          <w:color w:val="205493"/>
        </w:rPr>
        <w:t>evo-metaoptics</w:t>
      </w:r>
      <w:r>
        <w:rPr>
          <w:rFonts w:ascii="微软雅黑" w:hAnsi="微软雅黑" w:eastAsia="微软雅黑"/>
          <w:color w:val="205493"/>
        </w:rPr>
        <w:fldChar w:fldCharType="end"/>
      </w:r>
      <w:r>
        <w:rPr>
          <w:rFonts w:ascii="微软雅黑" w:hAnsi="微软雅黑" w:eastAsia="微软雅黑"/>
          <w:sz w:val="17"/>
        </w:rPr>
        <w:t xml:space="preserve"> · Laser &amp; Photonics Reviews, 2026 · </w:t>
      </w:r>
      <w:r>
        <w:fldChar w:fldCharType="begin"/>
      </w:r>
      <w:r>
        <w:instrText xml:space="preserve"> HYPERLINK "https://github.com/yi-huang-1/evo-metaoptics" \h </w:instrText>
      </w:r>
      <w:r>
        <w:fldChar w:fldCharType="separate"/>
      </w:r>
      <w:r>
        <w:rPr>
          <w:rFonts w:ascii="微软雅黑" w:hAnsi="微软雅黑" w:eastAsia="微软雅黑"/>
          <w:color w:val="205493"/>
        </w:rPr>
        <w:t>官方仓库</w:t>
      </w:r>
      <w:r>
        <w:rPr>
          <w:rFonts w:ascii="微软雅黑" w:hAnsi="微软雅黑" w:eastAsia="微软雅黑"/>
          <w:color w:val="205493"/>
        </w:rPr>
        <w:fldChar w:fldCharType="end"/>
      </w:r>
      <w:r>
        <w:rPr>
          <w:rFonts w:ascii="微软雅黑" w:hAnsi="微软雅黑" w:eastAsia="微软雅黑"/>
          <w:sz w:val="17"/>
        </w:rPr>
        <w:t xml:space="preserve"> · MIT；当前调研未固定提交</w:t>
      </w:r>
    </w:p>
    <w:p w14:paraId="2B749B36">
      <w:pPr>
        <w:spacing w:after="40"/>
        <w:ind w:left="259" w:hanging="259"/>
      </w:pPr>
      <w:r>
        <w:rPr>
          <w:rFonts w:ascii="微软雅黑" w:hAnsi="微软雅黑" w:eastAsia="微软雅黑"/>
          <w:sz w:val="17"/>
        </w:rPr>
        <w:t xml:space="preserve">8. </w:t>
      </w:r>
      <w:r>
        <w:fldChar w:fldCharType="begin"/>
      </w:r>
      <w:r>
        <w:instrText xml:space="preserve"> HYPERLINK "https://arxiv.org/abs/2604.03460" \h </w:instrText>
      </w:r>
      <w:r>
        <w:fldChar w:fldCharType="separate"/>
      </w:r>
      <w:r>
        <w:rPr>
          <w:rFonts w:ascii="微软雅黑" w:hAnsi="微软雅黑" w:eastAsia="微软雅黑"/>
          <w:color w:val="205493"/>
        </w:rPr>
        <w:t>FermiLink</w:t>
      </w:r>
      <w:r>
        <w:rPr>
          <w:rFonts w:ascii="微软雅黑" w:hAnsi="微软雅黑" w:eastAsia="微软雅黑"/>
          <w:color w:val="205493"/>
        </w:rPr>
        <w:fldChar w:fldCharType="end"/>
      </w:r>
      <w:r>
        <w:rPr>
          <w:rFonts w:ascii="微软雅黑" w:hAnsi="微软雅黑" w:eastAsia="微软雅黑"/>
          <w:sz w:val="17"/>
        </w:rPr>
        <w:t xml:space="preserve"> · arXiv:2604.03460 · </w:t>
      </w:r>
      <w:r>
        <w:fldChar w:fldCharType="begin"/>
      </w:r>
      <w:r>
        <w:instrText xml:space="preserve"> HYPERLINK "https://github.com/TaoELi/FermiLink" \h </w:instrText>
      </w:r>
      <w:r>
        <w:fldChar w:fldCharType="separate"/>
      </w:r>
      <w:r>
        <w:rPr>
          <w:rFonts w:ascii="微软雅黑" w:hAnsi="微软雅黑" w:eastAsia="微软雅黑"/>
          <w:color w:val="205493"/>
        </w:rPr>
        <w:t>官方仓库</w:t>
      </w:r>
      <w:r>
        <w:rPr>
          <w:rFonts w:ascii="微软雅黑" w:hAnsi="微软雅黑" w:eastAsia="微软雅黑"/>
          <w:color w:val="205493"/>
        </w:rPr>
        <w:fldChar w:fldCharType="end"/>
      </w:r>
      <w:r>
        <w:rPr>
          <w:rFonts w:ascii="微软雅黑" w:hAnsi="微软雅黑" w:eastAsia="微软雅黑"/>
          <w:sz w:val="17"/>
        </w:rPr>
        <w:t xml:space="preserve"> · AGPL-3.0；当前调研未固定提交</w:t>
      </w:r>
    </w:p>
    <w:p w14:paraId="3C10E908">
      <w:pPr>
        <w:spacing w:after="40"/>
        <w:ind w:left="259" w:hanging="259"/>
      </w:pPr>
      <w:r>
        <w:rPr>
          <w:rFonts w:ascii="微软雅黑" w:hAnsi="微软雅黑" w:eastAsia="微软雅黑"/>
          <w:sz w:val="17"/>
        </w:rPr>
        <w:t xml:space="preserve">9. </w:t>
      </w:r>
      <w:r>
        <w:fldChar w:fldCharType="begin"/>
      </w:r>
      <w:r>
        <w:instrText xml:space="preserve"> HYPERLINK "https://arxiv.org/abs/2507.19570" \h </w:instrText>
      </w:r>
      <w:r>
        <w:fldChar w:fldCharType="separate"/>
      </w:r>
      <w:r>
        <w:rPr>
          <w:rFonts w:ascii="微软雅黑" w:hAnsi="微软雅黑" w:eastAsia="微软雅黑"/>
          <w:color w:val="205493"/>
        </w:rPr>
        <w:t>MCP4EDA</w:t>
      </w:r>
      <w:r>
        <w:rPr>
          <w:rFonts w:ascii="微软雅黑" w:hAnsi="微软雅黑" w:eastAsia="微软雅黑"/>
          <w:color w:val="205493"/>
        </w:rPr>
        <w:fldChar w:fldCharType="end"/>
      </w:r>
      <w:r>
        <w:rPr>
          <w:rFonts w:ascii="微软雅黑" w:hAnsi="微软雅黑" w:eastAsia="微软雅黑"/>
          <w:sz w:val="17"/>
        </w:rPr>
        <w:t xml:space="preserve"> · arXiv:2507.19570 · </w:t>
      </w:r>
      <w:r>
        <w:fldChar w:fldCharType="begin"/>
      </w:r>
      <w:r>
        <w:instrText xml:space="preserve"> HYPERLINK "https://github.com/NellyW8/MCP4EDA" \h </w:instrText>
      </w:r>
      <w:r>
        <w:fldChar w:fldCharType="separate"/>
      </w:r>
      <w:r>
        <w:rPr>
          <w:rFonts w:ascii="微软雅黑" w:hAnsi="微软雅黑" w:eastAsia="微软雅黑"/>
          <w:color w:val="205493"/>
        </w:rPr>
        <w:t>官方仓库</w:t>
      </w:r>
      <w:r>
        <w:rPr>
          <w:rFonts w:ascii="微软雅黑" w:hAnsi="微软雅黑" w:eastAsia="微软雅黑"/>
          <w:color w:val="205493"/>
        </w:rPr>
        <w:fldChar w:fldCharType="end"/>
      </w:r>
      <w:r>
        <w:rPr>
          <w:rFonts w:ascii="微软雅黑" w:hAnsi="微软雅黑" w:eastAsia="微软雅黑"/>
          <w:sz w:val="17"/>
        </w:rPr>
        <w:t xml:space="preserve"> · 未识别根许可证</w:t>
      </w:r>
    </w:p>
    <w:p w14:paraId="65648791">
      <w:pPr>
        <w:spacing w:after="40"/>
        <w:ind w:left="259" w:hanging="259"/>
      </w:pPr>
      <w:r>
        <w:rPr>
          <w:rFonts w:ascii="微软雅黑" w:hAnsi="微软雅黑" w:eastAsia="微软雅黑"/>
          <w:sz w:val="17"/>
        </w:rPr>
        <w:t xml:space="preserve">10. </w:t>
      </w:r>
      <w:r>
        <w:fldChar w:fldCharType="begin"/>
      </w:r>
      <w:r>
        <w:instrText xml:space="preserve"> HYPERLINK "https://arxiv.org/abs/2311.16543" \h </w:instrText>
      </w:r>
      <w:r>
        <w:fldChar w:fldCharType="separate"/>
      </w:r>
      <w:r>
        <w:rPr>
          <w:rFonts w:ascii="微软雅黑" w:hAnsi="微软雅黑" w:eastAsia="微软雅黑"/>
          <w:color w:val="205493"/>
        </w:rPr>
        <w:t>RTLFixer</w:t>
      </w:r>
      <w:r>
        <w:rPr>
          <w:rFonts w:ascii="微软雅黑" w:hAnsi="微软雅黑" w:eastAsia="微软雅黑"/>
          <w:color w:val="205493"/>
        </w:rPr>
        <w:fldChar w:fldCharType="end"/>
      </w:r>
      <w:r>
        <w:rPr>
          <w:rFonts w:ascii="微软雅黑" w:hAnsi="微软雅黑" w:eastAsia="微软雅黑"/>
          <w:sz w:val="17"/>
        </w:rPr>
        <w:t xml:space="preserve"> · arXiv:2311.16543 · </w:t>
      </w:r>
      <w:r>
        <w:fldChar w:fldCharType="begin"/>
      </w:r>
      <w:r>
        <w:instrText xml:space="preserve"> HYPERLINK "https://github.com/NVlabs/RTLFixer" \h </w:instrText>
      </w:r>
      <w:r>
        <w:fldChar w:fldCharType="separate"/>
      </w:r>
      <w:r>
        <w:rPr>
          <w:rFonts w:ascii="微软雅黑" w:hAnsi="微软雅黑" w:eastAsia="微软雅黑"/>
          <w:color w:val="205493"/>
        </w:rPr>
        <w:t>官方仓库</w:t>
      </w:r>
      <w:r>
        <w:rPr>
          <w:rFonts w:ascii="微软雅黑" w:hAnsi="微软雅黑" w:eastAsia="微软雅黑"/>
          <w:color w:val="205493"/>
        </w:rPr>
        <w:fldChar w:fldCharType="end"/>
      </w:r>
      <w:r>
        <w:rPr>
          <w:rFonts w:ascii="微软雅黑" w:hAnsi="微软雅黑" w:eastAsia="微软雅黑"/>
          <w:sz w:val="17"/>
        </w:rPr>
        <w:t xml:space="preserve"> · MIT；当前调研未固定提交</w:t>
      </w:r>
    </w:p>
    <w:p w14:paraId="6ADEE05A">
      <w:pPr>
        <w:spacing w:after="40"/>
        <w:ind w:left="259" w:hanging="259"/>
      </w:pPr>
      <w:r>
        <w:rPr>
          <w:rFonts w:ascii="微软雅黑" w:hAnsi="微软雅黑" w:eastAsia="微软雅黑"/>
          <w:sz w:val="17"/>
        </w:rPr>
        <w:t xml:space="preserve">11. </w:t>
      </w:r>
      <w:r>
        <w:fldChar w:fldCharType="begin"/>
      </w:r>
      <w:r>
        <w:instrText xml:space="preserve"> HYPERLINK "https://doi.org/10.1038/s41586-026-11044-y" \h </w:instrText>
      </w:r>
      <w:r>
        <w:fldChar w:fldCharType="separate"/>
      </w:r>
      <w:r>
        <w:rPr>
          <w:rFonts w:ascii="微软雅黑" w:hAnsi="微软雅黑" w:eastAsia="微软雅黑"/>
          <w:color w:val="205493"/>
        </w:rPr>
        <w:t>Paper2Agent</w:t>
      </w:r>
      <w:r>
        <w:rPr>
          <w:rFonts w:ascii="微软雅黑" w:hAnsi="微软雅黑" w:eastAsia="微软雅黑"/>
          <w:color w:val="205493"/>
        </w:rPr>
        <w:fldChar w:fldCharType="end"/>
      </w:r>
      <w:r>
        <w:rPr>
          <w:rFonts w:ascii="微软雅黑" w:hAnsi="微软雅黑" w:eastAsia="微软雅黑"/>
          <w:sz w:val="17"/>
        </w:rPr>
        <w:t xml:space="preserve"> · Nature, 2026 · </w:t>
      </w:r>
      <w:r>
        <w:fldChar w:fldCharType="begin"/>
      </w:r>
      <w:r>
        <w:instrText xml:space="preserve"> HYPERLINK "https://github.com/jmiao24/Paper2Agent/tree/8c2d059165ef8cdcb70dbea76655b9c2b55b38e6" \h </w:instrText>
      </w:r>
      <w:r>
        <w:fldChar w:fldCharType="separate"/>
      </w:r>
      <w:r>
        <w:rPr>
          <w:rFonts w:ascii="微软雅黑" w:hAnsi="微软雅黑" w:eastAsia="微软雅黑"/>
          <w:color w:val="205493"/>
        </w:rPr>
        <w:t>固定提交 8c2d059</w:t>
      </w:r>
      <w:r>
        <w:rPr>
          <w:rFonts w:ascii="微软雅黑" w:hAnsi="微软雅黑" w:eastAsia="微软雅黑"/>
          <w:color w:val="205493"/>
        </w:rPr>
        <w:fldChar w:fldCharType="end"/>
      </w:r>
      <w:r>
        <w:rPr>
          <w:rFonts w:ascii="微软雅黑" w:hAnsi="微软雅黑" w:eastAsia="微软雅黑"/>
          <w:sz w:val="17"/>
        </w:rPr>
        <w:t xml:space="preserve"> · MIT</w:t>
      </w:r>
    </w:p>
    <w:p w14:paraId="394958C6">
      <w:pPr>
        <w:spacing w:after="40"/>
        <w:ind w:left="259" w:hanging="259"/>
      </w:pPr>
      <w:r>
        <w:rPr>
          <w:rFonts w:ascii="微软雅黑" w:hAnsi="微软雅黑" w:eastAsia="微软雅黑"/>
          <w:sz w:val="17"/>
        </w:rPr>
        <w:t xml:space="preserve">12. </w:t>
      </w:r>
      <w:r>
        <w:fldChar w:fldCharType="begin"/>
      </w:r>
      <w:r>
        <w:instrText xml:space="preserve"> HYPERLINK "https://arxiv.org/abs/2609.00065" \h </w:instrText>
      </w:r>
      <w:r>
        <w:fldChar w:fldCharType="separate"/>
      </w:r>
      <w:r>
        <w:rPr>
          <w:rFonts w:ascii="微软雅黑" w:hAnsi="微软雅黑" w:eastAsia="微软雅黑"/>
          <w:color w:val="205493"/>
        </w:rPr>
        <w:t>Scientific Agent Skills</w:t>
      </w:r>
      <w:r>
        <w:rPr>
          <w:rFonts w:ascii="微软雅黑" w:hAnsi="微软雅黑" w:eastAsia="微软雅黑"/>
          <w:color w:val="205493"/>
        </w:rPr>
        <w:fldChar w:fldCharType="end"/>
      </w:r>
      <w:r>
        <w:rPr>
          <w:rFonts w:ascii="微软雅黑" w:hAnsi="微软雅黑" w:eastAsia="微软雅黑"/>
          <w:sz w:val="17"/>
        </w:rPr>
        <w:t xml:space="preserve"> · arXiv:2609.00065 · </w:t>
      </w:r>
      <w:r>
        <w:fldChar w:fldCharType="begin"/>
      </w:r>
      <w:r>
        <w:instrText xml:space="preserve"> HYPERLINK "https://github.com/K-Dense-AI/claude-scientific-skills" \h </w:instrText>
      </w:r>
      <w:r>
        <w:fldChar w:fldCharType="separate"/>
      </w:r>
      <w:r>
        <w:rPr>
          <w:rFonts w:ascii="微软雅黑" w:hAnsi="微软雅黑" w:eastAsia="微软雅黑"/>
          <w:color w:val="205493"/>
        </w:rPr>
        <w:t>官方仓库</w:t>
      </w:r>
      <w:r>
        <w:rPr>
          <w:rFonts w:ascii="微软雅黑" w:hAnsi="微软雅黑" w:eastAsia="微软雅黑"/>
          <w:color w:val="205493"/>
        </w:rPr>
        <w:fldChar w:fldCharType="end"/>
      </w:r>
      <w:r>
        <w:rPr>
          <w:rFonts w:ascii="微软雅黑" w:hAnsi="微软雅黑" w:eastAsia="微软雅黑"/>
          <w:sz w:val="17"/>
        </w:rPr>
        <w:t xml:space="preserve"> · 方法引用；不作为 PIC 实现证据</w:t>
      </w:r>
    </w:p>
    <w:p w14:paraId="314684E3">
      <w:pPr>
        <w:pStyle w:val="4"/>
      </w:pPr>
      <w:r>
        <w:t>DAS 光电混合集成论文</w:t>
      </w:r>
    </w:p>
    <w:p w14:paraId="6B884F24">
      <w:pPr>
        <w:spacing w:after="40"/>
        <w:ind w:left="259" w:hanging="259"/>
      </w:pPr>
      <w:r>
        <w:rPr>
          <w:rFonts w:ascii="微软雅黑" w:hAnsi="微软雅黑" w:eastAsia="微软雅黑"/>
          <w:sz w:val="17"/>
        </w:rPr>
        <w:t xml:space="preserve">13. </w:t>
      </w:r>
      <w:r>
        <w:fldChar w:fldCharType="begin"/>
      </w:r>
      <w:r>
        <w:instrText xml:space="preserve"> HYPERLINK "https://doi.org/10.1364/PRJ.512298" \h </w:instrText>
      </w:r>
      <w:r>
        <w:fldChar w:fldCharType="separate"/>
      </w:r>
      <w:r>
        <w:rPr>
          <w:rFonts w:ascii="微软雅黑" w:hAnsi="微软雅黑" w:eastAsia="微软雅黑"/>
          <w:color w:val="205493"/>
        </w:rPr>
        <w:t>硅光集成 DAS 解调器</w:t>
      </w:r>
      <w:r>
        <w:rPr>
          <w:rFonts w:ascii="微软雅黑" w:hAnsi="微软雅黑" w:eastAsia="微软雅黑"/>
          <w:color w:val="205493"/>
        </w:rPr>
        <w:fldChar w:fldCharType="end"/>
      </w:r>
      <w:r>
        <w:rPr>
          <w:rFonts w:ascii="微软雅黑" w:hAnsi="微软雅黑" w:eastAsia="微软雅黑"/>
          <w:sz w:val="17"/>
        </w:rPr>
        <w:t xml:space="preserve"> · Photonics Research, 2024 · SOI 集成 interrogator 主基线</w:t>
      </w:r>
    </w:p>
    <w:p w14:paraId="46CCCAD1">
      <w:pPr>
        <w:spacing w:after="40"/>
        <w:ind w:left="259" w:hanging="259"/>
      </w:pPr>
      <w:r>
        <w:rPr>
          <w:rFonts w:ascii="微软雅黑" w:hAnsi="微软雅黑" w:eastAsia="微软雅黑"/>
          <w:sz w:val="17"/>
        </w:rPr>
        <w:t xml:space="preserve">14. </w:t>
      </w:r>
      <w:r>
        <w:fldChar w:fldCharType="begin"/>
      </w:r>
      <w:r>
        <w:instrText xml:space="preserve"> HYPERLINK "https://doi.org/10.1038/s41467-023-43244-9" \h </w:instrText>
      </w:r>
      <w:r>
        <w:fldChar w:fldCharType="separate"/>
      </w:r>
      <w:r>
        <w:rPr>
          <w:rFonts w:ascii="微软雅黑" w:hAnsi="微软雅黑" w:eastAsia="微软雅黑"/>
          <w:color w:val="205493"/>
        </w:rPr>
        <w:t>超高消光比硅基电光调制器</w:t>
      </w:r>
      <w:r>
        <w:rPr>
          <w:rFonts w:ascii="微软雅黑" w:hAnsi="微软雅黑" w:eastAsia="微软雅黑"/>
          <w:color w:val="205493"/>
        </w:rPr>
        <w:fldChar w:fldCharType="end"/>
      </w:r>
      <w:r>
        <w:rPr>
          <w:rFonts w:ascii="微软雅黑" w:hAnsi="微软雅黑" w:eastAsia="微软雅黑"/>
          <w:sz w:val="17"/>
        </w:rPr>
        <w:t xml:space="preserve"> · Nature Communications, 2023 · 器件/子模块证据</w:t>
      </w:r>
    </w:p>
    <w:p w14:paraId="6C288175">
      <w:pPr>
        <w:spacing w:after="40"/>
        <w:ind w:left="259" w:hanging="259"/>
      </w:pPr>
      <w:r>
        <w:rPr>
          <w:rFonts w:ascii="微软雅黑" w:hAnsi="微软雅黑" w:eastAsia="微软雅黑"/>
          <w:sz w:val="17"/>
        </w:rPr>
        <w:t xml:space="preserve">15. </w:t>
      </w:r>
      <w:r>
        <w:fldChar w:fldCharType="begin"/>
      </w:r>
      <w:r>
        <w:instrText xml:space="preserve"> HYPERLINK "https://arxiv.org/abs/2306.04199" \h </w:instrText>
      </w:r>
      <w:r>
        <w:fldChar w:fldCharType="separate"/>
      </w:r>
      <w:r>
        <w:rPr>
          <w:rFonts w:ascii="微软雅黑" w:hAnsi="微软雅黑" w:eastAsia="微软雅黑"/>
          <w:color w:val="205493"/>
        </w:rPr>
        <w:t>通信相干收发芯片用于声学传感</w:t>
      </w:r>
      <w:r>
        <w:rPr>
          <w:rFonts w:ascii="微软雅黑" w:hAnsi="微软雅黑" w:eastAsia="微软雅黑"/>
          <w:color w:val="205493"/>
        </w:rPr>
        <w:fldChar w:fldCharType="end"/>
      </w:r>
      <w:r>
        <w:rPr>
          <w:rFonts w:ascii="微软雅黑" w:hAnsi="微软雅黑" w:eastAsia="微软雅黑"/>
          <w:sz w:val="17"/>
        </w:rPr>
        <w:t xml:space="preserve"> · arXiv:2306.04199, 2023 · 预印本/会议级 proof-of-concept</w:t>
      </w:r>
    </w:p>
    <w:p w14:paraId="5E2AFB6D">
      <w:pPr>
        <w:spacing w:after="40"/>
        <w:ind w:left="259" w:hanging="259"/>
      </w:pPr>
      <w:r>
        <w:rPr>
          <w:rFonts w:ascii="微软雅黑" w:hAnsi="微软雅黑" w:eastAsia="微软雅黑"/>
          <w:sz w:val="17"/>
        </w:rPr>
        <w:t xml:space="preserve">16. </w:t>
      </w:r>
      <w:r>
        <w:fldChar w:fldCharType="begin"/>
      </w:r>
      <w:r>
        <w:instrText xml:space="preserve"> HYPERLINK "https://doi.org/10.1126/sciadv.adf8666" \h </w:instrText>
      </w:r>
      <w:r>
        <w:fldChar w:fldCharType="separate"/>
      </w:r>
      <w:r>
        <w:rPr>
          <w:rFonts w:ascii="微软雅黑" w:hAnsi="微软雅黑" w:eastAsia="微软雅黑"/>
          <w:color w:val="205493"/>
        </w:rPr>
        <w:t>双微梳并行 DAS</w:t>
      </w:r>
      <w:r>
        <w:rPr>
          <w:rFonts w:ascii="微软雅黑" w:hAnsi="微软雅黑" w:eastAsia="微软雅黑"/>
          <w:color w:val="205493"/>
        </w:rPr>
        <w:fldChar w:fldCharType="end"/>
      </w:r>
      <w:r>
        <w:rPr>
          <w:rFonts w:ascii="微软雅黑" w:hAnsi="微软雅黑" w:eastAsia="微软雅黑"/>
          <w:sz w:val="17"/>
        </w:rPr>
        <w:t xml:space="preserve"> · Science Advances, 2024 · 高性能系统基线</w:t>
      </w:r>
    </w:p>
    <w:p w14:paraId="6371BC51">
      <w:pPr>
        <w:spacing w:after="40"/>
        <w:ind w:left="259" w:hanging="259"/>
      </w:pPr>
      <w:r>
        <w:rPr>
          <w:rFonts w:ascii="微软雅黑" w:hAnsi="微软雅黑" w:eastAsia="微软雅黑"/>
          <w:sz w:val="17"/>
        </w:rPr>
        <w:t xml:space="preserve">17. </w:t>
      </w:r>
      <w:r>
        <w:fldChar w:fldCharType="begin"/>
      </w:r>
      <w:r>
        <w:instrText xml:space="preserve"> HYPERLINK "https://doi.org/10.1364/OFC.2025.Tu2K.5" \h </w:instrText>
      </w:r>
      <w:r>
        <w:fldChar w:fldCharType="separate"/>
      </w:r>
      <w:r>
        <w:rPr>
          <w:rFonts w:ascii="微软雅黑" w:hAnsi="微软雅黑" w:eastAsia="微软雅黑"/>
          <w:color w:val="205493"/>
        </w:rPr>
        <w:t>混合集成双波长激光与 φ-OFDR</w:t>
      </w:r>
      <w:r>
        <w:rPr>
          <w:rFonts w:ascii="微软雅黑" w:hAnsi="微软雅黑" w:eastAsia="微软雅黑"/>
          <w:color w:val="205493"/>
        </w:rPr>
        <w:fldChar w:fldCharType="end"/>
      </w:r>
      <w:r>
        <w:rPr>
          <w:rFonts w:ascii="微软雅黑" w:hAnsi="微软雅黑" w:eastAsia="微软雅黑"/>
          <w:sz w:val="17"/>
        </w:rPr>
        <w:t xml:space="preserve"> · OFC 2025 · 会议论文；对应 arXiv:2411.00237</w:t>
      </w:r>
    </w:p>
    <w:p w14:paraId="192FFB26">
      <w:pPr>
        <w:spacing w:after="40"/>
        <w:ind w:left="259" w:hanging="259"/>
      </w:pPr>
      <w:r>
        <w:rPr>
          <w:rFonts w:ascii="微软雅黑" w:hAnsi="微软雅黑" w:eastAsia="微软雅黑"/>
          <w:sz w:val="17"/>
        </w:rPr>
        <w:t xml:space="preserve">18. </w:t>
      </w:r>
      <w:r>
        <w:fldChar w:fldCharType="begin"/>
      </w:r>
      <w:r>
        <w:instrText xml:space="preserve"> HYPERLINK "https://doi.org/10.1364/OFC.2026.W4D.2" \h </w:instrText>
      </w:r>
      <w:r>
        <w:fldChar w:fldCharType="separate"/>
      </w:r>
      <w:r>
        <w:rPr>
          <w:rFonts w:ascii="微软雅黑" w:hAnsi="微软雅黑" w:eastAsia="微软雅黑"/>
          <w:color w:val="205493"/>
        </w:rPr>
        <w:t>InP–SOI 混合集成解调器</w:t>
      </w:r>
      <w:r>
        <w:rPr>
          <w:rFonts w:ascii="微软雅黑" w:hAnsi="微软雅黑" w:eastAsia="微软雅黑"/>
          <w:color w:val="205493"/>
        </w:rPr>
        <w:fldChar w:fldCharType="end"/>
      </w:r>
      <w:r>
        <w:rPr>
          <w:rFonts w:ascii="微软雅黑" w:hAnsi="微软雅黑" w:eastAsia="微软雅黑"/>
          <w:sz w:val="17"/>
        </w:rPr>
        <w:t xml:space="preserve"> · OFC 2026 · 会议短文；用户提供原文已完成页级核读</w:t>
      </w:r>
    </w:p>
    <w:p w14:paraId="38E77B54">
      <w:pPr>
        <w:spacing w:after="40"/>
        <w:ind w:left="259" w:hanging="259"/>
      </w:pPr>
      <w:r>
        <w:rPr>
          <w:rFonts w:ascii="微软雅黑" w:hAnsi="微软雅黑" w:eastAsia="微软雅黑"/>
          <w:sz w:val="17"/>
        </w:rPr>
        <w:t xml:space="preserve">19. </w:t>
      </w:r>
      <w:r>
        <w:fldChar w:fldCharType="begin"/>
      </w:r>
      <w:r>
        <w:instrText xml:space="preserve"> HYPERLINK "https://doi.org/10.1109/JLT.2022.3219369" \h </w:instrText>
      </w:r>
      <w:r>
        <w:fldChar w:fldCharType="separate"/>
      </w:r>
      <w:r>
        <w:rPr>
          <w:rFonts w:ascii="微软雅黑" w:hAnsi="微软雅黑" w:eastAsia="微软雅黑"/>
          <w:color w:val="205493"/>
        </w:rPr>
        <w:t>1007 km DAS 非 PIC 反例</w:t>
      </w:r>
      <w:r>
        <w:rPr>
          <w:rFonts w:ascii="微软雅黑" w:hAnsi="微软雅黑" w:eastAsia="微软雅黑"/>
          <w:color w:val="205493"/>
        </w:rPr>
        <w:fldChar w:fldCharType="end"/>
      </w:r>
      <w:r>
        <w:rPr>
          <w:rFonts w:ascii="微软雅黑" w:hAnsi="微软雅黑" w:eastAsia="微软雅黑"/>
          <w:sz w:val="17"/>
        </w:rPr>
        <w:t xml:space="preserve"> · Journal of Lightwave Technology, 2022 · 距离不由 PIC 集成自然带来</w:t>
      </w:r>
    </w:p>
    <w:p w14:paraId="1B0439E6">
      <w:pPr>
        <w:spacing w:after="40"/>
        <w:ind w:left="259" w:hanging="259"/>
      </w:pPr>
      <w:r>
        <w:rPr>
          <w:rFonts w:ascii="微软雅黑" w:hAnsi="微软雅黑" w:eastAsia="微软雅黑"/>
          <w:sz w:val="17"/>
        </w:rPr>
        <w:t xml:space="preserve">20. </w:t>
      </w:r>
      <w:r>
        <w:fldChar w:fldCharType="begin"/>
      </w:r>
      <w:r>
        <w:instrText xml:space="preserve"> HYPERLINK "https://doi.org/10.1364/OL.460314" \h </w:instrText>
      </w:r>
      <w:r>
        <w:fldChar w:fldCharType="separate"/>
      </w:r>
      <w:r>
        <w:rPr>
          <w:rFonts w:ascii="微软雅黑" w:hAnsi="微软雅黑" w:eastAsia="微软雅黑"/>
          <w:color w:val="205493"/>
        </w:rPr>
        <w:t>PIC 光纤温度/应变传感阴性对照</w:t>
      </w:r>
      <w:r>
        <w:rPr>
          <w:rFonts w:ascii="微软雅黑" w:hAnsi="微软雅黑" w:eastAsia="微软雅黑"/>
          <w:color w:val="205493"/>
        </w:rPr>
        <w:fldChar w:fldCharType="end"/>
      </w:r>
      <w:r>
        <w:rPr>
          <w:rFonts w:ascii="微软雅黑" w:hAnsi="微软雅黑" w:eastAsia="微软雅黑"/>
          <w:sz w:val="17"/>
        </w:rPr>
        <w:t xml:space="preserve"> · Optics Letters, 2022 · FBG interrogator，不是 Rayleigh DAS</w:t>
      </w:r>
    </w:p>
    <w:p w14:paraId="785E0104">
      <w:pPr>
        <w:pStyle w:val="4"/>
      </w:pPr>
      <w:r>
        <w:t>光子人工智能计算论文</w:t>
      </w:r>
    </w:p>
    <w:p w14:paraId="712A54AF">
      <w:pPr>
        <w:spacing w:after="40"/>
        <w:ind w:left="259" w:hanging="259"/>
      </w:pPr>
      <w:r>
        <w:rPr>
          <w:rFonts w:ascii="微软雅黑" w:hAnsi="微软雅黑" w:eastAsia="微软雅黑"/>
          <w:sz w:val="17"/>
        </w:rPr>
        <w:t xml:space="preserve">21. </w:t>
      </w:r>
      <w:r>
        <w:fldChar w:fldCharType="begin"/>
      </w:r>
      <w:r>
        <w:instrText xml:space="preserve"> HYPERLINK "https://doi.org/10.1038/s41586-020-03063-0" \h </w:instrText>
      </w:r>
      <w:r>
        <w:fldChar w:fldCharType="separate"/>
      </w:r>
      <w:r>
        <w:rPr>
          <w:rFonts w:ascii="微软雅黑" w:hAnsi="微软雅黑" w:eastAsia="微软雅黑"/>
          <w:color w:val="205493"/>
        </w:rPr>
        <w:t>微梳光子卷积加速器</w:t>
      </w:r>
      <w:r>
        <w:rPr>
          <w:rFonts w:ascii="微软雅黑" w:hAnsi="微软雅黑" w:eastAsia="微软雅黑"/>
          <w:color w:val="205493"/>
        </w:rPr>
        <w:fldChar w:fldCharType="end"/>
      </w:r>
      <w:r>
        <w:rPr>
          <w:rFonts w:ascii="微软雅黑" w:hAnsi="微软雅黑" w:eastAsia="微软雅黑"/>
          <w:sz w:val="17"/>
        </w:rPr>
        <w:t xml:space="preserve"> · Nature, 2021 · 未登记官方仓库</w:t>
      </w:r>
    </w:p>
    <w:p w14:paraId="0E7A0798">
      <w:pPr>
        <w:spacing w:after="40"/>
        <w:ind w:left="259" w:hanging="259"/>
      </w:pPr>
      <w:r>
        <w:rPr>
          <w:rFonts w:ascii="微软雅黑" w:hAnsi="微软雅黑" w:eastAsia="微软雅黑"/>
          <w:sz w:val="17"/>
        </w:rPr>
        <w:t xml:space="preserve">22. </w:t>
      </w:r>
      <w:r>
        <w:fldChar w:fldCharType="begin"/>
      </w:r>
      <w:r>
        <w:instrText xml:space="preserve"> HYPERLINK "https://doi.org/10.1038/s41586-020-03070-1" \h </w:instrText>
      </w:r>
      <w:r>
        <w:fldChar w:fldCharType="separate"/>
      </w:r>
      <w:r>
        <w:rPr>
          <w:rFonts w:ascii="微软雅黑" w:hAnsi="微软雅黑" w:eastAsia="微软雅黑"/>
          <w:color w:val="205493"/>
        </w:rPr>
        <w:t>相变材料光子张量核</w:t>
      </w:r>
      <w:r>
        <w:rPr>
          <w:rFonts w:ascii="微软雅黑" w:hAnsi="微软雅黑" w:eastAsia="微软雅黑"/>
          <w:color w:val="205493"/>
        </w:rPr>
        <w:fldChar w:fldCharType="end"/>
      </w:r>
      <w:r>
        <w:rPr>
          <w:rFonts w:ascii="微软雅黑" w:hAnsi="微软雅黑" w:eastAsia="微软雅黑"/>
          <w:sz w:val="17"/>
        </w:rPr>
        <w:t xml:space="preserve"> · Nature, 2021 · 未登记官方仓库</w:t>
      </w:r>
    </w:p>
    <w:p w14:paraId="58743B67">
      <w:pPr>
        <w:spacing w:after="40"/>
        <w:ind w:left="259" w:hanging="259"/>
      </w:pPr>
      <w:r>
        <w:rPr>
          <w:rFonts w:ascii="微软雅黑" w:hAnsi="微软雅黑" w:eastAsia="微软雅黑"/>
          <w:sz w:val="17"/>
        </w:rPr>
        <w:t xml:space="preserve">23. </w:t>
      </w:r>
      <w:r>
        <w:fldChar w:fldCharType="begin"/>
      </w:r>
      <w:r>
        <w:instrText xml:space="preserve"> HYPERLINK "https://doi.org/10.1038/s41566-021-00796-w" \h </w:instrText>
      </w:r>
      <w:r>
        <w:fldChar w:fldCharType="separate"/>
      </w:r>
      <w:r>
        <w:rPr>
          <w:rFonts w:ascii="微软雅黑" w:hAnsi="微软雅黑" w:eastAsia="微软雅黑"/>
          <w:color w:val="205493"/>
        </w:rPr>
        <w:t>可重构衍射处理器</w:t>
      </w:r>
      <w:r>
        <w:rPr>
          <w:rFonts w:ascii="微软雅黑" w:hAnsi="微软雅黑" w:eastAsia="微软雅黑"/>
          <w:color w:val="205493"/>
        </w:rPr>
        <w:fldChar w:fldCharType="end"/>
      </w:r>
      <w:r>
        <w:rPr>
          <w:rFonts w:ascii="微软雅黑" w:hAnsi="微软雅黑" w:eastAsia="微软雅黑"/>
          <w:sz w:val="17"/>
        </w:rPr>
        <w:t xml:space="preserve"> · Nature Photonics, 2021 · 未登记官方仓库</w:t>
      </w:r>
    </w:p>
    <w:p w14:paraId="583A49D4">
      <w:pPr>
        <w:spacing w:after="40"/>
        <w:ind w:left="259" w:hanging="259"/>
      </w:pPr>
      <w:r>
        <w:rPr>
          <w:rFonts w:ascii="微软雅黑" w:hAnsi="微软雅黑" w:eastAsia="微软雅黑"/>
          <w:sz w:val="17"/>
        </w:rPr>
        <w:t xml:space="preserve">24. </w:t>
      </w:r>
      <w:r>
        <w:fldChar w:fldCharType="begin"/>
      </w:r>
      <w:r>
        <w:instrText xml:space="preserve"> HYPERLINK "https://doi.org/10.1038/s41586-022-04714-0" \h </w:instrText>
      </w:r>
      <w:r>
        <w:fldChar w:fldCharType="separate"/>
      </w:r>
      <w:r>
        <w:rPr>
          <w:rFonts w:ascii="微软雅黑" w:hAnsi="微软雅黑" w:eastAsia="微软雅黑"/>
          <w:color w:val="205493"/>
        </w:rPr>
        <w:t>片上光子深度神经网络</w:t>
      </w:r>
      <w:r>
        <w:rPr>
          <w:rFonts w:ascii="微软雅黑" w:hAnsi="微软雅黑" w:eastAsia="微软雅黑"/>
          <w:color w:val="205493"/>
        </w:rPr>
        <w:fldChar w:fldCharType="end"/>
      </w:r>
      <w:r>
        <w:rPr>
          <w:rFonts w:ascii="微软雅黑" w:hAnsi="微软雅黑" w:eastAsia="微软雅黑"/>
          <w:sz w:val="17"/>
        </w:rPr>
        <w:t xml:space="preserve"> · Nature, 2022 · 未登记官方仓库</w:t>
      </w:r>
    </w:p>
    <w:p w14:paraId="47BDAD94">
      <w:pPr>
        <w:spacing w:after="40"/>
        <w:ind w:left="259" w:hanging="259"/>
      </w:pPr>
      <w:r>
        <w:rPr>
          <w:rFonts w:ascii="微软雅黑" w:hAnsi="微软雅黑" w:eastAsia="微软雅黑"/>
          <w:sz w:val="17"/>
        </w:rPr>
        <w:t xml:space="preserve">25. </w:t>
      </w:r>
      <w:r>
        <w:fldChar w:fldCharType="begin"/>
      </w:r>
      <w:r>
        <w:instrText xml:space="preserve"> HYPERLINK "https://doi.org/10.1126/science.abq8271" \h </w:instrText>
      </w:r>
      <w:r>
        <w:fldChar w:fldCharType="separate"/>
      </w:r>
      <w:r>
        <w:rPr>
          <w:rFonts w:ascii="微软雅黑" w:hAnsi="微软雅黑" w:eastAsia="微软雅黑"/>
          <w:color w:val="205493"/>
        </w:rPr>
        <w:t>Netcast 分布式光子推理</w:t>
      </w:r>
      <w:r>
        <w:rPr>
          <w:rFonts w:ascii="微软雅黑" w:hAnsi="微软雅黑" w:eastAsia="微软雅黑"/>
          <w:color w:val="205493"/>
        </w:rPr>
        <w:fldChar w:fldCharType="end"/>
      </w:r>
      <w:r>
        <w:rPr>
          <w:rFonts w:ascii="微软雅黑" w:hAnsi="微软雅黑" w:eastAsia="微软雅黑"/>
          <w:sz w:val="17"/>
        </w:rPr>
        <w:t xml:space="preserve"> · Science, 2022 · </w:t>
      </w:r>
      <w:r>
        <w:fldChar w:fldCharType="begin"/>
      </w:r>
      <w:r>
        <w:instrText xml:space="preserve"> HYPERLINK "https://pubmed.ncbi.nlm.nih.gov/36264813/" \h </w:instrText>
      </w:r>
      <w:r>
        <w:fldChar w:fldCharType="separate"/>
      </w:r>
      <w:r>
        <w:rPr>
          <w:rFonts w:ascii="微软雅黑" w:hAnsi="微软雅黑" w:eastAsia="微软雅黑"/>
          <w:color w:val="205493"/>
        </w:rPr>
        <w:t>PubMed</w:t>
      </w:r>
      <w:r>
        <w:rPr>
          <w:rFonts w:ascii="微软雅黑" w:hAnsi="微软雅黑" w:eastAsia="微软雅黑"/>
          <w:color w:val="205493"/>
        </w:rPr>
        <w:fldChar w:fldCharType="end"/>
      </w:r>
    </w:p>
    <w:p w14:paraId="2A76BC90">
      <w:pPr>
        <w:spacing w:after="40"/>
        <w:ind w:left="259" w:hanging="259"/>
      </w:pPr>
      <w:r>
        <w:rPr>
          <w:rFonts w:ascii="微软雅黑" w:hAnsi="微软雅黑" w:eastAsia="微软雅黑"/>
          <w:sz w:val="17"/>
        </w:rPr>
        <w:t xml:space="preserve">26. </w:t>
      </w:r>
      <w:r>
        <w:fldChar w:fldCharType="begin"/>
      </w:r>
      <w:r>
        <w:instrText xml:space="preserve"> HYPERLINK "https://doi.org/10.1038/s41467-022-35506-9" \h </w:instrText>
      </w:r>
      <w:r>
        <w:fldChar w:fldCharType="separate"/>
      </w:r>
      <w:r>
        <w:rPr>
          <w:rFonts w:ascii="微软雅黑" w:hAnsi="微软雅黑" w:eastAsia="微软雅黑"/>
          <w:color w:val="205493"/>
        </w:rPr>
        <w:t>微梳集成光子处理单元</w:t>
      </w:r>
      <w:r>
        <w:rPr>
          <w:rFonts w:ascii="微软雅黑" w:hAnsi="微软雅黑" w:eastAsia="微软雅黑"/>
          <w:color w:val="205493"/>
        </w:rPr>
        <w:fldChar w:fldCharType="end"/>
      </w:r>
      <w:r>
        <w:rPr>
          <w:rFonts w:ascii="微软雅黑" w:hAnsi="微软雅黑" w:eastAsia="微软雅黑"/>
          <w:sz w:val="17"/>
        </w:rPr>
        <w:t xml:space="preserve"> · Nature Communications, 2023 · 未登记官方仓库</w:t>
      </w:r>
    </w:p>
    <w:p w14:paraId="159342AB">
      <w:pPr>
        <w:spacing w:after="40"/>
        <w:ind w:left="259" w:hanging="259"/>
      </w:pPr>
      <w:r>
        <w:rPr>
          <w:rFonts w:ascii="微软雅黑" w:hAnsi="微软雅黑" w:eastAsia="微软雅黑"/>
          <w:sz w:val="17"/>
        </w:rPr>
        <w:t xml:space="preserve">27. </w:t>
      </w:r>
      <w:r>
        <w:fldChar w:fldCharType="begin"/>
      </w:r>
      <w:r>
        <w:instrText xml:space="preserve"> HYPERLINK "https://doi.org/10.1038/s41586-023-06558-8" \h </w:instrText>
      </w:r>
      <w:r>
        <w:fldChar w:fldCharType="separate"/>
      </w:r>
      <w:r>
        <w:rPr>
          <w:rFonts w:ascii="微软雅黑" w:hAnsi="微软雅黑" w:eastAsia="微软雅黑"/>
          <w:color w:val="205493"/>
        </w:rPr>
        <w:t>ACCEL 全模拟光电视觉</w:t>
      </w:r>
      <w:r>
        <w:rPr>
          <w:rFonts w:ascii="微软雅黑" w:hAnsi="微软雅黑" w:eastAsia="微软雅黑"/>
          <w:color w:val="205493"/>
        </w:rPr>
        <w:fldChar w:fldCharType="end"/>
      </w:r>
      <w:r>
        <w:rPr>
          <w:rFonts w:ascii="微软雅黑" w:hAnsi="微软雅黑" w:eastAsia="微软雅黑"/>
          <w:sz w:val="17"/>
        </w:rPr>
        <w:t xml:space="preserve"> · Nature, 2023 · </w:t>
      </w:r>
      <w:r>
        <w:fldChar w:fldCharType="begin"/>
      </w:r>
      <w:r>
        <w:instrText xml:space="preserve"> HYPERLINK "https://pmc.ncbi.nlm.nih.gov/articles/PMC10620079/" \h </w:instrText>
      </w:r>
      <w:r>
        <w:fldChar w:fldCharType="separate"/>
      </w:r>
      <w:r>
        <w:rPr>
          <w:rFonts w:ascii="微软雅黑" w:hAnsi="微软雅黑" w:eastAsia="微软雅黑"/>
          <w:color w:val="205493"/>
        </w:rPr>
        <w:t>PMC 全文</w:t>
      </w:r>
      <w:r>
        <w:rPr>
          <w:rFonts w:ascii="微软雅黑" w:hAnsi="微软雅黑" w:eastAsia="微软雅黑"/>
          <w:color w:val="205493"/>
        </w:rPr>
        <w:fldChar w:fldCharType="end"/>
      </w:r>
    </w:p>
    <w:p w14:paraId="7D7BF0EE">
      <w:pPr>
        <w:spacing w:after="40"/>
        <w:ind w:left="259" w:hanging="259"/>
      </w:pPr>
      <w:r>
        <w:rPr>
          <w:rFonts w:ascii="微软雅黑" w:hAnsi="微软雅黑" w:eastAsia="微软雅黑"/>
          <w:sz w:val="17"/>
        </w:rPr>
        <w:t xml:space="preserve">28. </w:t>
      </w:r>
      <w:r>
        <w:fldChar w:fldCharType="begin"/>
      </w:r>
      <w:r>
        <w:instrText xml:space="preserve"> HYPERLINK "https://doi.org/10.1038/s41467-024-50677-3" \h </w:instrText>
      </w:r>
      <w:r>
        <w:fldChar w:fldCharType="separate"/>
      </w:r>
      <w:r>
        <w:rPr>
          <w:rFonts w:ascii="微软雅黑" w:hAnsi="微软雅黑" w:eastAsia="微软雅黑"/>
          <w:color w:val="205493"/>
        </w:rPr>
        <w:t>片上可训练衍射网络</w:t>
      </w:r>
      <w:r>
        <w:rPr>
          <w:rFonts w:ascii="微软雅黑" w:hAnsi="微软雅黑" w:eastAsia="微软雅黑"/>
          <w:color w:val="205493"/>
        </w:rPr>
        <w:fldChar w:fldCharType="end"/>
      </w:r>
      <w:r>
        <w:rPr>
          <w:rFonts w:ascii="微软雅黑" w:hAnsi="微软雅黑" w:eastAsia="微软雅黑"/>
          <w:sz w:val="17"/>
        </w:rPr>
        <w:t xml:space="preserve"> · Nature Communications, 2024 · 未登记官方仓库</w:t>
      </w:r>
    </w:p>
    <w:p w14:paraId="603E55F3">
      <w:pPr>
        <w:spacing w:after="40"/>
        <w:ind w:left="259" w:hanging="259"/>
      </w:pPr>
      <w:r>
        <w:rPr>
          <w:rFonts w:ascii="微软雅黑" w:hAnsi="微软雅黑" w:eastAsia="微软雅黑"/>
          <w:sz w:val="17"/>
        </w:rPr>
        <w:t xml:space="preserve">29. </w:t>
      </w:r>
      <w:r>
        <w:fldChar w:fldCharType="begin"/>
      </w:r>
      <w:r>
        <w:instrText xml:space="preserve"> HYPERLINK "https://doi.org/10.1126/science.adl1203" \h </w:instrText>
      </w:r>
      <w:r>
        <w:fldChar w:fldCharType="separate"/>
      </w:r>
      <w:r>
        <w:rPr>
          <w:rFonts w:ascii="微软雅黑" w:hAnsi="微软雅黑" w:eastAsia="微软雅黑"/>
          <w:color w:val="205493"/>
        </w:rPr>
        <w:t>Taichi 光子芯粒系统</w:t>
      </w:r>
      <w:r>
        <w:rPr>
          <w:rFonts w:ascii="微软雅黑" w:hAnsi="微软雅黑" w:eastAsia="微软雅黑"/>
          <w:color w:val="205493"/>
        </w:rPr>
        <w:fldChar w:fldCharType="end"/>
      </w:r>
      <w:r>
        <w:rPr>
          <w:rFonts w:ascii="微软雅黑" w:hAnsi="微软雅黑" w:eastAsia="微软雅黑"/>
          <w:sz w:val="17"/>
        </w:rPr>
        <w:t xml:space="preserve"> · Science, 2024 · </w:t>
      </w:r>
      <w:r>
        <w:fldChar w:fldCharType="begin"/>
      </w:r>
      <w:r>
        <w:instrText xml:space="preserve"> HYPERLINK "https://pubmed.ncbi.nlm.nih.gov/38603505/" \h </w:instrText>
      </w:r>
      <w:r>
        <w:fldChar w:fldCharType="separate"/>
      </w:r>
      <w:r>
        <w:rPr>
          <w:rFonts w:ascii="微软雅黑" w:hAnsi="微软雅黑" w:eastAsia="微软雅黑"/>
          <w:color w:val="205493"/>
        </w:rPr>
        <w:t>PubMed</w:t>
      </w:r>
      <w:r>
        <w:rPr>
          <w:rFonts w:ascii="微软雅黑" w:hAnsi="微软雅黑" w:eastAsia="微软雅黑"/>
          <w:color w:val="205493"/>
        </w:rPr>
        <w:fldChar w:fldCharType="end"/>
      </w:r>
    </w:p>
    <w:p w14:paraId="02C4E4F9">
      <w:pPr>
        <w:spacing w:after="40"/>
        <w:ind w:left="259" w:hanging="259"/>
      </w:pPr>
      <w:r>
        <w:rPr>
          <w:rFonts w:ascii="微软雅黑" w:hAnsi="微软雅黑" w:eastAsia="微软雅黑"/>
          <w:sz w:val="17"/>
        </w:rPr>
        <w:t xml:space="preserve">30. </w:t>
      </w:r>
      <w:r>
        <w:fldChar w:fldCharType="begin"/>
      </w:r>
      <w:r>
        <w:instrText xml:space="preserve"> HYPERLINK "https://doi.org/10.1038/s41586-025-08786-6" \h </w:instrText>
      </w:r>
      <w:r>
        <w:fldChar w:fldCharType="separate"/>
      </w:r>
      <w:r>
        <w:rPr>
          <w:rFonts w:ascii="微软雅黑" w:hAnsi="微软雅黑" w:eastAsia="微软雅黑"/>
          <w:color w:val="205493"/>
        </w:rPr>
        <w:t>PACE 光电混合计算引擎</w:t>
      </w:r>
      <w:r>
        <w:rPr>
          <w:rFonts w:ascii="微软雅黑" w:hAnsi="微软雅黑" w:eastAsia="微软雅黑"/>
          <w:color w:val="205493"/>
        </w:rPr>
        <w:fldChar w:fldCharType="end"/>
      </w:r>
      <w:r>
        <w:rPr>
          <w:rFonts w:ascii="微软雅黑" w:hAnsi="微软雅黑" w:eastAsia="微软雅黑"/>
          <w:sz w:val="17"/>
        </w:rPr>
        <w:t xml:space="preserve"> · Nature, 2025 · 未登记官方仓库</w:t>
      </w:r>
    </w:p>
    <w:p w14:paraId="12D8BE3B">
      <w:pPr>
        <w:spacing w:after="40"/>
        <w:ind w:left="259" w:hanging="259"/>
      </w:pPr>
      <w:r>
        <w:rPr>
          <w:rFonts w:ascii="微软雅黑" w:hAnsi="微软雅黑" w:eastAsia="微软雅黑"/>
          <w:sz w:val="17"/>
        </w:rPr>
        <w:t xml:space="preserve">31. </w:t>
      </w:r>
      <w:r>
        <w:fldChar w:fldCharType="begin"/>
      </w:r>
      <w:r>
        <w:instrText xml:space="preserve"> HYPERLINK "https://doi.org/10.1038/s41586-025-08854-x" \h </w:instrText>
      </w:r>
      <w:r>
        <w:fldChar w:fldCharType="separate"/>
      </w:r>
      <w:r>
        <w:rPr>
          <w:rFonts w:ascii="微软雅黑" w:hAnsi="微软雅黑" w:eastAsia="微软雅黑"/>
          <w:color w:val="205493"/>
        </w:rPr>
        <w:t>通用光子人工智能加速器原型</w:t>
      </w:r>
      <w:r>
        <w:rPr>
          <w:rFonts w:ascii="微软雅黑" w:hAnsi="微软雅黑" w:eastAsia="微软雅黑"/>
          <w:color w:val="205493"/>
        </w:rPr>
        <w:fldChar w:fldCharType="end"/>
      </w:r>
      <w:r>
        <w:rPr>
          <w:rFonts w:ascii="微软雅黑" w:hAnsi="微软雅黑" w:eastAsia="微软雅黑"/>
          <w:sz w:val="17"/>
        </w:rPr>
        <w:t xml:space="preserve"> · Nature, 2025 · </w:t>
      </w:r>
      <w:r>
        <w:fldChar w:fldCharType="begin"/>
      </w:r>
      <w:r>
        <w:instrText xml:space="preserve"> HYPERLINK "https://github.com/lightmatter-ai/upaia-paper-2025" \h </w:instrText>
      </w:r>
      <w:r>
        <w:fldChar w:fldCharType="separate"/>
      </w:r>
      <w:r>
        <w:rPr>
          <w:rFonts w:ascii="微软雅黑" w:hAnsi="微软雅黑" w:eastAsia="微软雅黑"/>
          <w:color w:val="205493"/>
        </w:rPr>
        <w:t>官方代码与数据</w:t>
      </w:r>
      <w:r>
        <w:rPr>
          <w:rFonts w:ascii="微软雅黑" w:hAnsi="微软雅黑" w:eastAsia="微软雅黑"/>
          <w:color w:val="205493"/>
        </w:rPr>
        <w:fldChar w:fldCharType="end"/>
      </w:r>
    </w:p>
    <w:p w14:paraId="21BFAD3C">
      <w:pPr>
        <w:spacing w:after="40"/>
        <w:ind w:left="259" w:hanging="259"/>
      </w:pPr>
      <w:r>
        <w:rPr>
          <w:rFonts w:ascii="微软雅黑" w:hAnsi="微软雅黑" w:eastAsia="微软雅黑"/>
          <w:sz w:val="17"/>
        </w:rPr>
        <w:t xml:space="preserve">32. </w:t>
      </w:r>
      <w:r>
        <w:fldChar w:fldCharType="begin"/>
      </w:r>
      <w:r>
        <w:instrText xml:space="preserve"> HYPERLINK "https://doi.org/10.1038/s41467-025-65356-0" \h </w:instrText>
      </w:r>
      <w:r>
        <w:fldChar w:fldCharType="separate"/>
      </w:r>
      <w:r>
        <w:rPr>
          <w:rFonts w:ascii="微软雅黑" w:hAnsi="微软雅黑" w:eastAsia="微软雅黑"/>
          <w:color w:val="205493"/>
        </w:rPr>
        <w:t>百层光子深度学习</w:t>
      </w:r>
      <w:r>
        <w:rPr>
          <w:rFonts w:ascii="微软雅黑" w:hAnsi="微软雅黑" w:eastAsia="微软雅黑"/>
          <w:color w:val="205493"/>
        </w:rPr>
        <w:fldChar w:fldCharType="end"/>
      </w:r>
      <w:r>
        <w:rPr>
          <w:rFonts w:ascii="微软雅黑" w:hAnsi="微软雅黑" w:eastAsia="微软雅黑"/>
          <w:sz w:val="17"/>
        </w:rPr>
        <w:t xml:space="preserve"> · Nature Communications, 2025 · 未登记官方仓库</w:t>
      </w:r>
    </w:p>
    <w:p w14:paraId="17BCA17D">
      <w:pPr>
        <w:pStyle w:val="4"/>
      </w:pPr>
      <w:r>
        <w:t>纯项目与工具出处</w:t>
      </w:r>
    </w:p>
    <w:p w14:paraId="2FD0077E">
      <w:pPr>
        <w:spacing w:after="40"/>
        <w:ind w:left="259" w:hanging="259"/>
      </w:pPr>
      <w:r>
        <w:rPr>
          <w:rFonts w:ascii="微软雅黑" w:hAnsi="微软雅黑" w:eastAsia="微软雅黑"/>
          <w:sz w:val="17"/>
        </w:rPr>
        <w:t xml:space="preserve">33. </w:t>
      </w:r>
      <w:r>
        <w:fldChar w:fldCharType="begin"/>
      </w:r>
      <w:r>
        <w:instrText xml:space="preserve"> HYPERLINK "https://github.com/JPPhotonics/PhIDO-Agentic/tree/4f4e671d0871188ff826273b1ad78d8a13180292" \h </w:instrText>
      </w:r>
      <w:r>
        <w:fldChar w:fldCharType="separate"/>
      </w:r>
      <w:r>
        <w:rPr>
          <w:rFonts w:ascii="微软雅黑" w:hAnsi="微软雅黑" w:eastAsia="微软雅黑"/>
          <w:color w:val="205493"/>
        </w:rPr>
        <w:t>PhIDO-Agentic</w:t>
      </w:r>
      <w:r>
        <w:rPr>
          <w:rFonts w:ascii="微软雅黑" w:hAnsi="微软雅黑" w:eastAsia="微软雅黑"/>
          <w:color w:val="205493"/>
        </w:rPr>
        <w:fldChar w:fldCharType="end"/>
      </w:r>
      <w:r>
        <w:rPr>
          <w:rFonts w:ascii="微软雅黑" w:hAnsi="微软雅黑" w:eastAsia="微软雅黑"/>
          <w:sz w:val="17"/>
        </w:rPr>
        <w:t xml:space="preserve"> · 固定提交 </w:t>
      </w:r>
      <w:r>
        <w:rPr>
          <w:rFonts w:ascii="微软雅黑" w:hAnsi="微软雅黑" w:eastAsia="微软雅黑"/>
          <w:color w:val="44546A"/>
          <w:sz w:val="17"/>
        </w:rPr>
        <w:t>4f4e671</w:t>
      </w:r>
      <w:r>
        <w:rPr>
          <w:rFonts w:ascii="微软雅黑" w:hAnsi="微软雅黑" w:eastAsia="微软雅黑"/>
          <w:sz w:val="17"/>
        </w:rPr>
        <w:t xml:space="preserve"> · MIT；无独立同行评审论文</w:t>
      </w:r>
    </w:p>
    <w:p w14:paraId="430480BD">
      <w:pPr>
        <w:spacing w:after="40"/>
        <w:ind w:left="259" w:hanging="259"/>
      </w:pPr>
      <w:r>
        <w:rPr>
          <w:rFonts w:ascii="微软雅黑" w:hAnsi="微软雅黑" w:eastAsia="微软雅黑"/>
          <w:sz w:val="17"/>
        </w:rPr>
        <w:t xml:space="preserve">34. </w:t>
      </w:r>
      <w:r>
        <w:fldChar w:fldCharType="begin"/>
      </w:r>
      <w:r>
        <w:instrText xml:space="preserve"> HYPERLINK "https://github.com/gdsfactory/gdsfactory/tree/4d31c842eb676abecd00e7b8e3a61c3883bfe6cd" \h </w:instrText>
      </w:r>
      <w:r>
        <w:fldChar w:fldCharType="separate"/>
      </w:r>
      <w:r>
        <w:rPr>
          <w:rFonts w:ascii="微软雅黑" w:hAnsi="微软雅黑" w:eastAsia="微软雅黑"/>
          <w:color w:val="205493"/>
        </w:rPr>
        <w:t>gdsfactory</w:t>
      </w:r>
      <w:r>
        <w:rPr>
          <w:rFonts w:ascii="微软雅黑" w:hAnsi="微软雅黑" w:eastAsia="微软雅黑"/>
          <w:color w:val="205493"/>
        </w:rPr>
        <w:fldChar w:fldCharType="end"/>
      </w:r>
      <w:r>
        <w:rPr>
          <w:rFonts w:ascii="微软雅黑" w:hAnsi="微软雅黑" w:eastAsia="微软雅黑"/>
          <w:sz w:val="17"/>
        </w:rPr>
        <w:t xml:space="preserve"> · 固定提交 </w:t>
      </w:r>
      <w:r>
        <w:rPr>
          <w:rFonts w:ascii="微软雅黑" w:hAnsi="微软雅黑" w:eastAsia="微软雅黑"/>
          <w:color w:val="44546A"/>
          <w:sz w:val="17"/>
        </w:rPr>
        <w:t>4d31c84</w:t>
      </w:r>
      <w:r>
        <w:rPr>
          <w:rFonts w:ascii="微软雅黑" w:hAnsi="微软雅黑" w:eastAsia="微软雅黑"/>
          <w:sz w:val="17"/>
        </w:rPr>
        <w:t xml:space="preserve"> · MIT；PIC Tool Layer</w:t>
      </w:r>
    </w:p>
    <w:p w14:paraId="2361DEE4">
      <w:pPr>
        <w:spacing w:after="40"/>
        <w:ind w:left="259" w:hanging="259"/>
      </w:pPr>
      <w:r>
        <w:rPr>
          <w:rFonts w:ascii="微软雅黑" w:hAnsi="微软雅黑" w:eastAsia="微软雅黑"/>
          <w:sz w:val="17"/>
        </w:rPr>
        <w:t xml:space="preserve">35. </w:t>
      </w:r>
      <w:r>
        <w:fldChar w:fldCharType="begin"/>
      </w:r>
      <w:r>
        <w:instrText xml:space="preserve"> HYPERLINK "https://github.com/gdsfactory/gplugins/tree/adc7b6fae66cc86f3ac98b8695564a8dbc695e37" \h </w:instrText>
      </w:r>
      <w:r>
        <w:fldChar w:fldCharType="separate"/>
      </w:r>
      <w:r>
        <w:rPr>
          <w:rFonts w:ascii="微软雅黑" w:hAnsi="微软雅黑" w:eastAsia="微软雅黑"/>
          <w:color w:val="205493"/>
        </w:rPr>
        <w:t>gplugins</w:t>
      </w:r>
      <w:r>
        <w:rPr>
          <w:rFonts w:ascii="微软雅黑" w:hAnsi="微软雅黑" w:eastAsia="微软雅黑"/>
          <w:color w:val="205493"/>
        </w:rPr>
        <w:fldChar w:fldCharType="end"/>
      </w:r>
      <w:r>
        <w:rPr>
          <w:rFonts w:ascii="微软雅黑" w:hAnsi="微软雅黑" w:eastAsia="微软雅黑"/>
          <w:sz w:val="17"/>
        </w:rPr>
        <w:t xml:space="preserve"> · 固定提交 </w:t>
      </w:r>
      <w:r>
        <w:rPr>
          <w:rFonts w:ascii="微软雅黑" w:hAnsi="微软雅黑" w:eastAsia="微软雅黑"/>
          <w:color w:val="44546A"/>
          <w:sz w:val="17"/>
        </w:rPr>
        <w:t>adc7b6f</w:t>
      </w:r>
      <w:r>
        <w:rPr>
          <w:rFonts w:ascii="微软雅黑" w:hAnsi="微软雅黑" w:eastAsia="微软雅黑"/>
          <w:sz w:val="17"/>
        </w:rPr>
        <w:t xml:space="preserve"> · MIT；solver/process adapter</w:t>
      </w:r>
    </w:p>
    <w:p w14:paraId="6F4352BD">
      <w:pPr>
        <w:spacing w:after="40"/>
        <w:ind w:left="259" w:hanging="259"/>
      </w:pPr>
      <w:r>
        <w:rPr>
          <w:rFonts w:ascii="微软雅黑" w:hAnsi="微软雅黑" w:eastAsia="微软雅黑"/>
          <w:sz w:val="17"/>
        </w:rPr>
        <w:t xml:space="preserve">36. </w:t>
      </w:r>
      <w:r>
        <w:fldChar w:fldCharType="begin"/>
      </w:r>
      <w:r>
        <w:instrText xml:space="preserve"> HYPERLINK "https://github.com/The-OpenROAD-Project/OpenROAD-MCP/tree/9dc80d3706fbcd8144cccb639fa21af7b933cbf5" \h </w:instrText>
      </w:r>
      <w:r>
        <w:fldChar w:fldCharType="separate"/>
      </w:r>
      <w:r>
        <w:rPr>
          <w:rFonts w:ascii="微软雅黑" w:hAnsi="微软雅黑" w:eastAsia="微软雅黑"/>
          <w:color w:val="205493"/>
        </w:rPr>
        <w:t>OpenROAD-MCP</w:t>
      </w:r>
      <w:r>
        <w:rPr>
          <w:rFonts w:ascii="微软雅黑" w:hAnsi="微软雅黑" w:eastAsia="微软雅黑"/>
          <w:color w:val="205493"/>
        </w:rPr>
        <w:fldChar w:fldCharType="end"/>
      </w:r>
      <w:r>
        <w:rPr>
          <w:rFonts w:ascii="微软雅黑" w:hAnsi="微软雅黑" w:eastAsia="微软雅黑"/>
          <w:sz w:val="17"/>
        </w:rPr>
        <w:t xml:space="preserve"> · 固定提交 </w:t>
      </w:r>
      <w:r>
        <w:rPr>
          <w:rFonts w:ascii="微软雅黑" w:hAnsi="微软雅黑" w:eastAsia="微软雅黑"/>
          <w:color w:val="44546A"/>
          <w:sz w:val="17"/>
        </w:rPr>
        <w:t>9dc80d3</w:t>
      </w:r>
      <w:r>
        <w:rPr>
          <w:rFonts w:ascii="微软雅黑" w:hAnsi="微软雅黑" w:eastAsia="微软雅黑"/>
          <w:sz w:val="17"/>
        </w:rPr>
        <w:t xml:space="preserve"> · BSD-3-Clause</w:t>
      </w:r>
    </w:p>
    <w:p w14:paraId="79C3A52E">
      <w:pPr>
        <w:spacing w:after="40"/>
        <w:ind w:left="259" w:hanging="259"/>
      </w:pPr>
      <w:r>
        <w:rPr>
          <w:rFonts w:ascii="微软雅黑" w:hAnsi="微软雅黑" w:eastAsia="微软雅黑"/>
          <w:sz w:val="17"/>
        </w:rPr>
        <w:t xml:space="preserve">37. </w:t>
      </w:r>
      <w:r>
        <w:fldChar w:fldCharType="begin"/>
      </w:r>
      <w:r>
        <w:instrText xml:space="preserve"> HYPERLINK "https://github.com/OpenROAD-Assistant/OpenROAD-Agent" \h </w:instrText>
      </w:r>
      <w:r>
        <w:fldChar w:fldCharType="separate"/>
      </w:r>
      <w:r>
        <w:rPr>
          <w:rFonts w:ascii="微软雅黑" w:hAnsi="微软雅黑" w:eastAsia="微软雅黑"/>
          <w:color w:val="205493"/>
        </w:rPr>
        <w:t>OpenROAD-Agent</w:t>
      </w:r>
      <w:r>
        <w:rPr>
          <w:rFonts w:ascii="微软雅黑" w:hAnsi="微软雅黑" w:eastAsia="微软雅黑"/>
          <w:color w:val="205493"/>
        </w:rPr>
        <w:fldChar w:fldCharType="end"/>
      </w:r>
      <w:r>
        <w:rPr>
          <w:rFonts w:ascii="微软雅黑" w:hAnsi="微软雅黑" w:eastAsia="微软雅黑"/>
          <w:sz w:val="17"/>
        </w:rPr>
        <w:t xml:space="preserve"> · 官方仓库 · BSD-3-Clause；论文标识待补</w:t>
      </w:r>
    </w:p>
    <w:p w14:paraId="532B2858">
      <w:pPr>
        <w:spacing w:after="40"/>
        <w:ind w:left="259" w:hanging="259"/>
      </w:pPr>
      <w:r>
        <w:rPr>
          <w:rFonts w:ascii="微软雅黑" w:hAnsi="微软雅黑" w:eastAsia="微软雅黑"/>
          <w:sz w:val="17"/>
        </w:rPr>
        <w:t xml:space="preserve">38. </w:t>
      </w:r>
      <w:r>
        <w:fldChar w:fldCharType="begin"/>
      </w:r>
      <w:r>
        <w:instrText xml:space="preserve"> HYPERLINK "https://github.com/wuhy68/ChatEDA" \h </w:instrText>
      </w:r>
      <w:r>
        <w:fldChar w:fldCharType="separate"/>
      </w:r>
      <w:r>
        <w:rPr>
          <w:rFonts w:ascii="微软雅黑" w:hAnsi="微软雅黑" w:eastAsia="微软雅黑"/>
          <w:color w:val="205493"/>
        </w:rPr>
        <w:t>ChatEDA</w:t>
      </w:r>
      <w:r>
        <w:rPr>
          <w:rFonts w:ascii="微软雅黑" w:hAnsi="微软雅黑" w:eastAsia="微软雅黑"/>
          <w:color w:val="205493"/>
        </w:rPr>
        <w:fldChar w:fldCharType="end"/>
      </w:r>
      <w:r>
        <w:rPr>
          <w:rFonts w:ascii="微软雅黑" w:hAnsi="微软雅黑" w:eastAsia="微软雅黑"/>
          <w:sz w:val="17"/>
        </w:rPr>
        <w:t xml:space="preserve"> · 官方仓库 · Apache-2.0；论文标识待补</w:t>
      </w:r>
    </w:p>
    <w:p w14:paraId="3C899A42">
      <w:pPr>
        <w:spacing w:after="40"/>
        <w:ind w:left="259" w:hanging="259"/>
      </w:pPr>
      <w:r>
        <w:rPr>
          <w:rFonts w:ascii="微软雅黑" w:hAnsi="微软雅黑" w:eastAsia="微软雅黑"/>
          <w:sz w:val="17"/>
        </w:rPr>
        <w:t xml:space="preserve">39. </w:t>
      </w:r>
      <w:r>
        <w:fldChar w:fldCharType="begin"/>
      </w:r>
      <w:r>
        <w:instrText xml:space="preserve"> HYPERLINK "https://github.com/salitronic/eda-agent" \h </w:instrText>
      </w:r>
      <w:r>
        <w:fldChar w:fldCharType="separate"/>
      </w:r>
      <w:r>
        <w:rPr>
          <w:rFonts w:ascii="微软雅黑" w:hAnsi="微软雅黑" w:eastAsia="微软雅黑"/>
          <w:color w:val="205493"/>
        </w:rPr>
        <w:t>eda-agent</w:t>
      </w:r>
      <w:r>
        <w:rPr>
          <w:rFonts w:ascii="微软雅黑" w:hAnsi="微软雅黑" w:eastAsia="微软雅黑"/>
          <w:color w:val="205493"/>
        </w:rPr>
        <w:fldChar w:fldCharType="end"/>
      </w:r>
      <w:r>
        <w:rPr>
          <w:rFonts w:ascii="微软雅黑" w:hAnsi="微软雅黑" w:eastAsia="微软雅黑"/>
          <w:sz w:val="17"/>
        </w:rPr>
        <w:t xml:space="preserve"> · 官方仓库 · Apache-2.0；实验性项目</w:t>
      </w:r>
    </w:p>
    <w:p w14:paraId="563B83D4">
      <w:pPr>
        <w:spacing w:after="40"/>
        <w:ind w:left="259" w:hanging="259"/>
      </w:pPr>
      <w:r>
        <w:rPr>
          <w:rFonts w:ascii="微软雅黑" w:hAnsi="微软雅黑" w:eastAsia="微软雅黑"/>
          <w:sz w:val="17"/>
        </w:rPr>
        <w:t xml:space="preserve">40. </w:t>
      </w:r>
      <w:r>
        <w:fldChar w:fldCharType="begin"/>
      </w:r>
      <w:r>
        <w:instrText xml:space="preserve"> HYPERLINK "https://github.com/Mauricio-xx/eda-agents" \h </w:instrText>
      </w:r>
      <w:r>
        <w:fldChar w:fldCharType="separate"/>
      </w:r>
      <w:r>
        <w:rPr>
          <w:rFonts w:ascii="微软雅黑" w:hAnsi="微软雅黑" w:eastAsia="微软雅黑"/>
          <w:color w:val="205493"/>
        </w:rPr>
        <w:t>eda-agents</w:t>
      </w:r>
      <w:r>
        <w:rPr>
          <w:rFonts w:ascii="微软雅黑" w:hAnsi="微软雅黑" w:eastAsia="微软雅黑"/>
          <w:color w:val="205493"/>
        </w:rPr>
        <w:fldChar w:fldCharType="end"/>
      </w:r>
      <w:r>
        <w:rPr>
          <w:rFonts w:ascii="微软雅黑" w:hAnsi="微软雅黑" w:eastAsia="微软雅黑"/>
          <w:sz w:val="17"/>
        </w:rPr>
        <w:t xml:space="preserve"> · 官方仓库 · Apache-2.0；实验性项目</w:t>
      </w:r>
    </w:p>
    <w:p w14:paraId="1276F753">
      <w:pPr>
        <w:spacing w:after="40"/>
        <w:ind w:left="259" w:hanging="259"/>
      </w:pPr>
      <w:r>
        <w:rPr>
          <w:rFonts w:ascii="微软雅黑" w:hAnsi="微软雅黑" w:eastAsia="微软雅黑"/>
          <w:sz w:val="17"/>
        </w:rPr>
        <w:t xml:space="preserve">41. </w:t>
      </w:r>
      <w:r>
        <w:fldChar w:fldCharType="begin"/>
      </w:r>
      <w:r>
        <w:instrText xml:space="preserve"> HYPERLINK "https://github.com/langchain-ai/langgraph" \h </w:instrText>
      </w:r>
      <w:r>
        <w:fldChar w:fldCharType="separate"/>
      </w:r>
      <w:r>
        <w:rPr>
          <w:rFonts w:ascii="微软雅黑" w:hAnsi="微软雅黑" w:eastAsia="微软雅黑"/>
          <w:color w:val="205493"/>
        </w:rPr>
        <w:t>LangGraph</w:t>
      </w:r>
      <w:r>
        <w:rPr>
          <w:rFonts w:ascii="微软雅黑" w:hAnsi="微软雅黑" w:eastAsia="微软雅黑"/>
          <w:color w:val="205493"/>
        </w:rPr>
        <w:fldChar w:fldCharType="end"/>
      </w:r>
      <w:r>
        <w:rPr>
          <w:rFonts w:ascii="微软雅黑" w:hAnsi="微软雅黑" w:eastAsia="微软雅黑"/>
          <w:sz w:val="17"/>
        </w:rPr>
        <w:t xml:space="preserve"> · 官方仓库 · MIT；通用编排参照</w:t>
      </w:r>
    </w:p>
    <w:p w14:paraId="33CC1AE7">
      <w:pPr>
        <w:spacing w:after="40"/>
        <w:ind w:left="259" w:hanging="259"/>
      </w:pPr>
      <w:r>
        <w:rPr>
          <w:rFonts w:ascii="微软雅黑" w:hAnsi="微软雅黑" w:eastAsia="微软雅黑"/>
          <w:sz w:val="17"/>
        </w:rPr>
        <w:t xml:space="preserve">42. </w:t>
      </w:r>
      <w:r>
        <w:fldChar w:fldCharType="begin"/>
      </w:r>
      <w:r>
        <w:instrText xml:space="preserve"> HYPERLINK "https://github.com/microsoft/autogen" \h </w:instrText>
      </w:r>
      <w:r>
        <w:fldChar w:fldCharType="separate"/>
      </w:r>
      <w:r>
        <w:rPr>
          <w:rFonts w:ascii="微软雅黑" w:hAnsi="微软雅黑" w:eastAsia="微软雅黑"/>
          <w:color w:val="205493"/>
        </w:rPr>
        <w:t>AutoGen</w:t>
      </w:r>
      <w:r>
        <w:rPr>
          <w:rFonts w:ascii="微软雅黑" w:hAnsi="微软雅黑" w:eastAsia="微软雅黑"/>
          <w:color w:val="205493"/>
        </w:rPr>
        <w:fldChar w:fldCharType="end"/>
      </w:r>
      <w:r>
        <w:rPr>
          <w:rFonts w:ascii="微软雅黑" w:hAnsi="微软雅黑" w:eastAsia="微软雅黑"/>
          <w:sz w:val="17"/>
        </w:rPr>
        <w:t xml:space="preserve"> · 官方仓库 · 代码 MIT；通用多智能体参照</w:t>
      </w:r>
    </w:p>
    <w:p w14:paraId="3A89A1BA">
      <w:pPr>
        <w:spacing w:after="40"/>
        <w:ind w:left="259" w:hanging="259"/>
      </w:pPr>
      <w:r>
        <w:rPr>
          <w:rFonts w:ascii="微软雅黑" w:hAnsi="微软雅黑" w:eastAsia="微软雅黑"/>
          <w:sz w:val="17"/>
        </w:rPr>
        <w:t xml:space="preserve">43. </w:t>
      </w:r>
      <w:r>
        <w:fldChar w:fldCharType="begin"/>
      </w:r>
      <w:r>
        <w:instrText xml:space="preserve"> HYPERLINK "https://github.com/modelcontextprotocol/python-sdk" \h </w:instrText>
      </w:r>
      <w:r>
        <w:fldChar w:fldCharType="separate"/>
      </w:r>
      <w:r>
        <w:rPr>
          <w:rFonts w:ascii="微软雅黑" w:hAnsi="微软雅黑" w:eastAsia="微软雅黑"/>
          <w:color w:val="205493"/>
        </w:rPr>
        <w:t>Model Context Protocol Python SDK</w:t>
      </w:r>
      <w:r>
        <w:rPr>
          <w:rFonts w:ascii="微软雅黑" w:hAnsi="微软雅黑" w:eastAsia="微软雅黑"/>
          <w:color w:val="205493"/>
        </w:rPr>
        <w:fldChar w:fldCharType="end"/>
      </w:r>
      <w:r>
        <w:rPr>
          <w:rFonts w:ascii="微软雅黑" w:hAnsi="微软雅黑" w:eastAsia="微软雅黑"/>
          <w:sz w:val="17"/>
        </w:rPr>
        <w:t xml:space="preserve"> · 官方仓库 · MIT；Tool 协议参照</w:t>
      </w:r>
    </w:p>
    <w:sectPr>
      <w:pgSz w:w="12240" w:h="15840"/>
      <w:pgMar w:top="1080"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ED4176"/>
    <w:rsid w:val="4B756271"/>
    <w:rsid w:val="60D553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40" w:line="300"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38"/>
    <w:qFormat/>
    <w:uiPriority w:val="9"/>
    <w:pPr>
      <w:keepNext/>
      <w:keepLines/>
      <w:spacing w:before="320" w:after="160" w:line="300" w:lineRule="auto"/>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20" w:after="120" w:line="300"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180" w:after="80" w:line="300" w:lineRule="auto"/>
      <w:outlineLvl w:val="2"/>
    </w:pPr>
    <w:rPr>
      <w:rFonts w:asciiTheme="majorHAnsi" w:hAnsiTheme="majorHAnsi" w:eastAsiaTheme="majorEastAsia" w:cstheme="majorBidi"/>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0" w:after="180" w:line="300" w:lineRule="auto"/>
    </w:pPr>
    <w:rPr>
      <w:rFonts w:asciiTheme="majorHAnsi" w:hAnsiTheme="majorHAnsi" w:eastAsiaTheme="majorEastAsia" w:cstheme="majorBidi"/>
      <w:i/>
      <w:iCs/>
      <w:color w:val="00000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before="0" w:after="120" w:line="30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911</Words>
  <Characters>1096</Characters>
  <Lines>0</Lines>
  <Paragraphs>0</Paragraphs>
  <TotalTime>56</TotalTime>
  <ScaleCrop>false</ScaleCrop>
  <LinksUpToDate>false</LinksUpToDate>
  <CharactersWithSpaces>1138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PIC_Harness_Research</dc:creator>
  <dc:description>generated by python-docx</dc:description>
  <cp:lastModifiedBy>Llewyn Davis</cp:lastModifiedBy>
  <dcterms:modified xsi:type="dcterms:W3CDTF">2026-09-29T08:47:26Z</dcterms:modified>
  <dc:subject>TASK-007 正式技术调研报告</dc:subject>
  <dc:title>面向光子芯片智能设计的三方向技术调研</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eyJoZGlkIjoiMDg5MTY2OTEzZmJkY2MyNmFkMjk3MzFjZjkxOTJmMTMiLCJ1c2VySWQiOiIxNDE0NTg5NTM3In0=</vt:lpwstr>
  </property>
  <property fmtid="{D5CDD505-2E9C-101B-9397-08002B2CF9AE}" pid="3" name="KSOProductBuildVer">
    <vt:lpwstr>2052-12.1.0.28505</vt:lpwstr>
  </property>
  <property fmtid="{D5CDD505-2E9C-101B-9397-08002B2CF9AE}" pid="4" name="ICV">
    <vt:lpwstr>D92D9DE5317946F4A9409AEBFBE873C6_12</vt:lpwstr>
  </property>
</Properties>
</file>