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病案首页与质控业务详解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595959"/>
          <w:sz w:val="24"/>
        </w:rPr>
        <w:t>—— 从临床数据到医保支付的全流程梳理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引言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是医院信息系统中最具价值的结构化数据之一，它既是患者本次住院诊疗经历的高度凝练，又是医院绩效考核、医保支付（DRG/DIP）、科研统计与法律证据的核心载体。随着医保支付方式改革不断推进，病案首页质控已从过去单纯的“行政检查”上升为“数据资产管理”的核心环节。本文档面向医院信息、病案、医保以及质控相关业务人员，系统梳理病案首页的内涵、质控业务、规则体系、痛点及智慧质控的解决路径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一、病案首页概述：医疗数据的“灵魂”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是临床医生在患者出院时，对本次住院期间所有诊疗信息的高度浓缩。它以统一的字段结构，将一次住院从入院到出院的全部关键信息固化下来，对内是医院管理与绩效评价的依据，对外是医保支付、卫生统计、法律取证的源头数据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1.1 定义与定位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医疗过程的“身份证”：</w:t>
      </w:r>
      <w:r>
        <w:rPr>
          <w:rFonts w:ascii="微软雅黑" w:hAnsi="微软雅黑" w:eastAsia="微软雅黑"/>
          <w:sz w:val="22"/>
        </w:rPr>
        <w:t>病案首页是患者住院经历的数字化抽象，通过一套标准化字段记录“谁、在何时、因为什么病、做了什么检查治疗、最后结果如何、花了多少钱”，是住院诊疗活动唯一的、结构化的“身份说明”。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付费核心依据：</w:t>
      </w:r>
      <w:r>
        <w:rPr>
          <w:rFonts w:ascii="微软雅黑" w:hAnsi="微软雅黑" w:eastAsia="微软雅黑"/>
          <w:sz w:val="22"/>
        </w:rPr>
        <w:t>在 DRG（按疾病诊断相关分组）或 DIP（按病种分值付费）支付体系下，医保经办机构主要依据首页上的“主要诊断”和“主要手术/操作”来决定本次住院的分组归属，以及拨付给医院的医保基金额度。首页填写的准确性直接决定医院的医保收入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管理决策的基础：</w:t>
      </w:r>
      <w:r>
        <w:rPr>
          <w:rFonts w:ascii="微软雅黑" w:hAnsi="微软雅黑" w:eastAsia="微软雅黑"/>
          <w:sz w:val="22"/>
        </w:rPr>
        <w:t>院领导查看的“平均住院日”、“床位周转率”、“CMI（病例组合指数）”等指标，其底层数据均来自病案首页。可以说，没有高质量的首页，就没有高质量的医院管理。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1.2 主要内容构成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病案首页的字段虽多，但归纳起来主要包含以下五大类，每一类都对应不同的业务用途：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核心字段示例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基本信息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姓名、年龄、身份证号、职业、籍贯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唯一标识患者；用于区域卫生统计与流行病学分析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住院信息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入院途径、入/出院时间、科别、转科情况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计算平均住院日、床位周转率，反映医院运行效率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诊断信息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主要诊断、其他诊断、入院病情、出院情况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决定 DRG/DIP 分组归属的关键因素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手术信息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手术/操作代码、手术级别、切口愈合等级、麻醉方式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反映医疗技术难度、风险与质量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费用信息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总费用、自付金额、各类检查/检验/药品/耗材明细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监控医疗成本、患者负担与医保基金支出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1.3 法律与统计价值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法律证据：</w:t>
      </w:r>
      <w:r>
        <w:rPr>
          <w:rFonts w:ascii="微软雅黑" w:hAnsi="微软雅黑" w:eastAsia="微软雅黑"/>
          <w:sz w:val="22"/>
        </w:rPr>
        <w:t>一旦发生医疗纠纷，病案首页是法院调取的第一份文书，其上的诊断、手术、转归记录是司法鉴定的直接依据。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等级评审与绩效考核：</w:t>
      </w:r>
      <w:r>
        <w:rPr>
          <w:rFonts w:ascii="微软雅黑" w:hAnsi="微软雅黑" w:eastAsia="微软雅黑"/>
          <w:sz w:val="22"/>
        </w:rPr>
        <w:t>“三级公立医院绩效考核”（俗称“国考”）中的大量指标——如四级手术占比、低风险组死亡率、CMI 等——直接取值于首页字段，首页质量直接决定医院的考核排名。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卫生统计与科研：</w:t>
      </w:r>
      <w:r>
        <w:rPr>
          <w:rFonts w:ascii="微软雅黑" w:hAnsi="微软雅黑" w:eastAsia="微软雅黑"/>
          <w:sz w:val="22"/>
        </w:rPr>
        <w:t>国家卫生健康委、地方卫健委的住院疾病谱、手术谱统计，以及医院科研课题的回顾性数据，均以首页为最基础的语料库。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二、质控业务详解：守护数据的准确性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病案首页质控（Quality Control）的目标，是确保首页数据“真、准、全”，即真实反映临床过程、字段填写准确、应填字段完整无遗漏。质控是连接“临床填写”与“数据使用”之间的关键闸门。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2.1 质控定义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质控是对病案首页填写过程的全方位监控，防止因人为疏忽、理解偏差或编码错误导致的数据失真。其本质是用规则与流程约束“人”的行为，以保障“数据”的可信度。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2.2 四大质控维度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病案首页质控通常从以下四个维度展开，构成质控规则集合的“四象限”：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完整性（Completeness）：</w:t>
      </w:r>
      <w:r>
        <w:rPr>
          <w:rFonts w:ascii="微软雅黑" w:hAnsi="微软雅黑" w:eastAsia="微软雅黑"/>
          <w:sz w:val="22"/>
        </w:rPr>
        <w:t>检查必填项是否漏填。例如：婴儿患者是否填写了“新生儿出生体重”、孕产妇是否填写了“分娩孕周”、有手术者是否填写了“手术医生”等。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逻辑性（Logic）：</w:t>
      </w:r>
      <w:r>
        <w:rPr>
          <w:rFonts w:ascii="微软雅黑" w:hAnsi="微软雅黑" w:eastAsia="微软雅黑"/>
          <w:sz w:val="22"/>
        </w:rPr>
        <w:t>字段之间的逻辑约束必须自洽。</w:t>
      </w:r>
    </w:p>
    <w:p>
      <w:pPr>
        <w:pStyle w:val="ListBullet"/>
        <w:spacing w:after="40" w:line="336" w:lineRule="auto"/>
        <w:ind w:left="839"/>
      </w:pPr>
      <w:r>
        <w:rPr>
          <w:rFonts w:ascii="微软雅黑" w:hAnsi="微软雅黑" w:eastAsia="微软雅黑"/>
          <w:sz w:val="22"/>
        </w:rPr>
        <w:t>时间逻辑：入院时间必须早于出院时间；手术时间必须落在入院与出院之间。</w:t>
      </w:r>
    </w:p>
    <w:p>
      <w:pPr>
        <w:pStyle w:val="ListBullet"/>
        <w:spacing w:after="40" w:line="336" w:lineRule="auto"/>
        <w:ind w:left="839"/>
      </w:pPr>
      <w:r>
        <w:rPr>
          <w:rFonts w:ascii="微软雅黑" w:hAnsi="微软雅黑" w:eastAsia="微软雅黑"/>
          <w:sz w:val="22"/>
        </w:rPr>
        <w:t>属性匹配：男性患者不能出现“卵巢囊肿”等女性专属诊断；新生儿不能出现“2 型糖尿病”这类年龄不匹配的诊断。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规范性（Standardization）：</w:t>
      </w:r>
      <w:r>
        <w:rPr>
          <w:rFonts w:ascii="微软雅黑" w:hAnsi="微软雅黑" w:eastAsia="微软雅黑"/>
          <w:sz w:val="22"/>
        </w:rPr>
        <w:t>必须使用国家统一的标准编码——疾病诊断使用 ICD-10，手术与操作使用 ICD-9-CM-3，且编码版本须与统计/医保使用版本对齐。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一致性（Consistency）：</w:t>
      </w:r>
      <w:r>
        <w:rPr>
          <w:rFonts w:ascii="微软雅黑" w:hAnsi="微软雅黑" w:eastAsia="微软雅黑"/>
          <w:sz w:val="22"/>
        </w:rPr>
        <w:t>首页数据必须与病历正文“对得上”——首页的手术记录必须与病程记录、手术记录单、麻醉记录、收费明细相互印证，不能出现“首页有、病历无”或“病历有、首页缺”的情况。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2.3 质控流程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标准的病案首页质控是一个三级闭环过程，层层把关、责任清晰：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sz w:val="22"/>
        </w:rPr>
        <w:t>①  临床医生填写（源头质控）：经治医生在患者出院时填写首页，对内容真实性负首要责任。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sz w:val="22"/>
        </w:rPr>
        <w:t>②  科室质控员自查（一级质控）：科室病案质控员对本科室首页进行初步审核，重点检查完整性与与病历的一致性。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sz w:val="22"/>
        </w:rPr>
        <w:t>③  编码员复核（二级质控）：病案编码员根据病历内容核对主要诊断选择、其他诊断顺序、手术编码、合并症与并发症的体现。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sz w:val="22"/>
        </w:rPr>
        <w:t>④  质控科 / 医务处终审与上报（三级质控）：医院质控部门对终稿进行抽查，确认无误后通过接口上报至医保、卫健委等监管平台。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三、质控规则体系：业务落地的工具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质控规则是自动质控引擎的核心，它把抽象的质控维度落地为可执行的判断条件。每一条规则都像一道筛子，专门拦住某一类错误数据。规则体系的设计与维护水平，直接决定质控引擎的有效性。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3.1 规则类型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按照“处置严厉程度”，质控规则一般分为三类：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规则类型</w:t>
            </w:r>
          </w:p>
        </w:tc>
        <w:tc>
          <w:tcPr>
            <w:tcW w:type="dxa" w:w="3969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触发条件示例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处置方式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单项否决（强制规则）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主要诊断缺失、入院时间晚于出院时间、必填编码为空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不修改即无法保存或无法上报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一般缺陷（扣分规则）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联系人电话格式错误、邮编位数不对、职业代码不规范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不阻断流程，但纳入科室与个人扣分指标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提示建议（辅助规则）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诊断与化验结果不符、可能漏填合并症、编码可进一步细化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弹窗提醒，由医生判断是否调整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3.2 典型规则示例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以下是几类在实际项目中频繁触发的典型规则：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极端值校验：</w:t>
      </w:r>
      <w:r>
        <w:rPr>
          <w:rFonts w:ascii="微软雅黑" w:hAnsi="微软雅黑" w:eastAsia="微软雅黑"/>
          <w:sz w:val="22"/>
        </w:rPr>
        <w:t>患者年龄 &gt; 120 岁、新生儿体重 &gt; 8000 g、住院天数 &gt; 365 天等，需提示用户确认是否录入错误。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诊疗矛盾：</w:t>
      </w:r>
      <w:r>
        <w:rPr>
          <w:rFonts w:ascii="微软雅黑" w:hAnsi="微软雅黑" w:eastAsia="微软雅黑"/>
          <w:sz w:val="22"/>
        </w:rPr>
        <w:t>存在“阑尾切除术”的手术编码，但诊断里没有“阑尾炎”及相关诊断；或者存在“剖宫产”手术，但诊断不是产科相关。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费用异常：</w:t>
      </w:r>
      <w:r>
        <w:rPr>
          <w:rFonts w:ascii="微软雅黑" w:hAnsi="微软雅黑" w:eastAsia="微软雅黑"/>
          <w:sz w:val="22"/>
        </w:rPr>
        <w:t>药费占比异常偏高（如内科平均药占比 &gt; 60%）；存在手术费但无任何手术编码；存在重症监护费但科别非 ICU。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编码版本错误：</w:t>
      </w:r>
      <w:r>
        <w:rPr>
          <w:rFonts w:ascii="微软雅黑" w:hAnsi="微软雅黑" w:eastAsia="微软雅黑"/>
          <w:sz w:val="22"/>
        </w:rPr>
        <w:t>使用了已废止版本的 ICD 编码，或编码与字面诊断不符。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主诊选择疑点：</w:t>
      </w:r>
      <w:r>
        <w:rPr>
          <w:rFonts w:ascii="微软雅黑" w:hAnsi="微软雅黑" w:eastAsia="微软雅黑"/>
          <w:sz w:val="22"/>
        </w:rPr>
        <w:t>其他诊断中存在比主诊“资源消耗更大”的疾病（如恶性肿瘤、严重并发症），提示主要诊断可能选择错误。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3.3 规则管理生命周期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质控规则不是一成不变的，需要随医保政策、考核要求与临床实践动态演进，形成完整的规则生命周期管理：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新增：</w:t>
      </w:r>
      <w:r>
        <w:rPr>
          <w:rFonts w:ascii="微软雅黑" w:hAnsi="微软雅黑" w:eastAsia="微软雅黑"/>
          <w:sz w:val="22"/>
        </w:rPr>
        <w:t>根据医保新政、国考指标变化、医院专项整治需要，及时新增规则。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版本控制：</w:t>
      </w:r>
      <w:r>
        <w:rPr>
          <w:rFonts w:ascii="微软雅黑" w:hAnsi="微软雅黑" w:eastAsia="微软雅黑"/>
          <w:sz w:val="22"/>
        </w:rPr>
        <w:t>2024 版规则不能直接用于校验 2023 年的历史病案——规则必须按生效时间分版本保存，校验时按病案出院日期匹配规则版本。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调整与停用：</w:t>
      </w:r>
      <w:r>
        <w:rPr>
          <w:rFonts w:ascii="微软雅黑" w:hAnsi="微软雅黑" w:eastAsia="微软雅黑"/>
          <w:sz w:val="22"/>
        </w:rPr>
        <w:t>对误报率高或与现行政策冲突的规则，进行参数调整或停用。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逻辑删除：</w:t>
      </w:r>
      <w:r>
        <w:rPr>
          <w:rFonts w:ascii="微软雅黑" w:hAnsi="微软雅黑" w:eastAsia="微软雅黑"/>
          <w:sz w:val="22"/>
        </w:rPr>
        <w:t>过时的规则不再启用，但需保留归档以备溯源审计——确保历史校验结果可被复现与解释。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评估反馈：</w:t>
      </w:r>
      <w:r>
        <w:rPr>
          <w:rFonts w:ascii="微软雅黑" w:hAnsi="微软雅黑" w:eastAsia="微软雅黑"/>
          <w:sz w:val="22"/>
        </w:rPr>
        <w:t>定期统计每条规则的触发量、采纳率、误报率，为规则迭代提供依据。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四、业务痛点与解决方案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4.1 核心痛点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医生负担重：</w:t>
      </w:r>
      <w:r>
        <w:rPr>
          <w:rFonts w:ascii="微软雅黑" w:hAnsi="微软雅黑" w:eastAsia="微软雅黑"/>
          <w:sz w:val="22"/>
        </w:rPr>
        <w:t>临床医生的核心精力在“治病救人”，往往视填首页为“额外负担”，出现乱填、漏填、复制粘贴等现象。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标准不统一：</w:t>
      </w:r>
      <w:r>
        <w:rPr>
          <w:rFonts w:ascii="微软雅黑" w:hAnsi="微软雅黑" w:eastAsia="微软雅黑"/>
          <w:sz w:val="22"/>
        </w:rPr>
        <w:t>不同医生对“主要诊断”的理解不一致——有的按入院诊断填，有的按最严重的诊断填，缺乏一致的判断标准。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滞后性：</w:t>
      </w:r>
      <w:r>
        <w:rPr>
          <w:rFonts w:ascii="微软雅黑" w:hAnsi="微软雅黑" w:eastAsia="微软雅黑"/>
          <w:sz w:val="22"/>
        </w:rPr>
        <w:t>传统模式下问题往往在出院后甚至上报后才被发现，再去召回病案、联系医生修改、重新走流程，效率低下。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编码资源紧张：</w:t>
      </w:r>
      <w:r>
        <w:rPr>
          <w:rFonts w:ascii="微软雅黑" w:hAnsi="微软雅黑" w:eastAsia="微软雅黑"/>
          <w:sz w:val="22"/>
        </w:rPr>
        <w:t>专业编码员人数有限，面对海量病案难以做到逐份精读，复核质量受限于人力。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数据孤岛：</w:t>
      </w:r>
      <w:r>
        <w:rPr>
          <w:rFonts w:ascii="微软雅黑" w:hAnsi="微软雅黑" w:eastAsia="微软雅黑"/>
          <w:sz w:val="22"/>
        </w:rPr>
        <w:t>首页系统、电子病历系统、收费系统、影像/检验系统数据未充分打通，一致性核查成本高。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4.2 技术赋能：智慧质控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面对上述痛点，单靠制度与人工很难根本解决，必须借助信息化与人工智能手段构建“智慧质控”体系。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技术手段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具体应用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NLP（自然语言处理）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从非结构化的出院小结、病程记录中自动提取诊断与手术，与首页字段比对，发现漏填、错填与不一致。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规则引擎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实现毫秒级自动审核，医生在保存或提交首页时即刻弹窗提示错误，把质控关口前移到“源头”。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OCR / PDF 识别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将外院的纸质报告、扫描件智能识别为结构化数据导入系统，减少人工二次录入差错。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机器学习 / 大模型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基于历史病案训练主诊推荐模型，辅助医生选择最合适的主要诊断，并对疑难编码给出候选建议。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数据中台 / 统一视图</w:t>
            </w:r>
          </w:p>
        </w:tc>
        <w:tc>
          <w:tcPr>
            <w:tcW w:type="dxa" w:w="6236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打通病历、首页、收费、检查检验等系统，为一致性、合理性校验提供全量数据支撑。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4.3 预期价值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提质增效：</w:t>
      </w:r>
      <w:r>
        <w:rPr>
          <w:rFonts w:ascii="微软雅黑" w:hAnsi="微软雅黑" w:eastAsia="微软雅黑"/>
          <w:sz w:val="22"/>
        </w:rPr>
        <w:t>通过系统自动质控，病案合格率可从传统模式下的约 60% 提升到 95% 以上，且医生填写效率显著提升。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医保合规：</w:t>
      </w:r>
      <w:r>
        <w:rPr>
          <w:rFonts w:ascii="微软雅黑" w:hAnsi="微软雅黑" w:eastAsia="微软雅黑"/>
          <w:sz w:val="22"/>
        </w:rPr>
        <w:t>准确的编码意味着准确的 DRG/DIP 入组，确保医院获得合理的医保补偿，减少违规扣款与稽核风险。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管理透明：</w:t>
      </w:r>
      <w:r>
        <w:rPr>
          <w:rFonts w:ascii="微软雅黑" w:hAnsi="微软雅黑" w:eastAsia="微软雅黑"/>
          <w:sz w:val="22"/>
        </w:rPr>
        <w:t>实时质控报表使医院管理者清晰掌握各科室、各医生的填写质量，为绩效奖惩与培训提供客观依据。</w:t>
      </w:r>
    </w:p>
    <w:p>
      <w:pPr>
        <w:pStyle w:val="ListBullet"/>
        <w:spacing w:after="40" w:line="336" w:lineRule="auto"/>
        <w:ind w:left="420"/>
      </w:pPr>
      <w:r>
        <w:rPr>
          <w:rFonts w:ascii="微软雅黑" w:hAnsi="微软雅黑" w:eastAsia="微软雅黑"/>
          <w:b/>
          <w:sz w:val="22"/>
        </w:rPr>
        <w:t>数据可用：</w:t>
      </w:r>
      <w:r>
        <w:rPr>
          <w:rFonts w:ascii="微软雅黑" w:hAnsi="微软雅黑" w:eastAsia="微软雅黑"/>
          <w:sz w:val="22"/>
        </w:rPr>
        <w:t>高质量首页数据为科研、专科建设、运营分析提供可信、可复用的“数据资产”。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1F497D"/>
          <w:sz w:val="36"/>
        </w:rPr>
        <w:t>五、总结与 QA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5.1 总结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病案首页质控已经从单纯的“行政检查”演变为“数据资产管理”——它向上连接医院战略与绩效，向下贯通临床、编码、财务与医保，向外承担法律证据与卫生统计的责任。</w:t>
      </w:r>
    </w:p>
    <w:p>
      <w:pPr>
        <w:spacing w:after="80" w:line="360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一个高效的质控体系，必须是“技术（AI + 规则）”与“业务（流程优化 + 制度约束）”的深度结合：技术解决“看得见、查得快”的问题，业务解决“改得动、不再犯”的问题。两者缺一不可。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F5496"/>
          <w:sz w:val="30"/>
        </w:rPr>
        <w:t>5.2 常见问题（QA）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2"/>
        </w:rPr>
        <w:t>Q1：临床医生最容易在哪个环节出错？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A：主要是“主要诊断的选择”。医生习惯按临床思维或时间顺序排序，而医保规则要求选择“消耗医疗资源最多、对患者健康危害最大”的诊断作为主诊，这两者之间往往存在偏差。这也是导致 DRG/DIP 入组错误最常见的原因。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2"/>
        </w:rPr>
        <w:t>Q2：DRG 与 DIP 的本质区别是什么？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A：DRG 是“按疾病诊断相关分组”——把临床过程相似、资源消耗相近的病例打包成组，按组定价；DIP 则是“按病种分值付费”——根据“主诊 + 主手术”的具体组合赋予分值，再按分值结算。两者的共同点是都强依赖首页的“主要诊断”和“主要手术”。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2"/>
        </w:rPr>
        <w:t>Q3：质控规则越多越好吗？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A：不是。规则过多会带来高误报率，反而让医生“弹窗疲劳”、跳过提示。规则集合需要持续评估其触发量、采纳率与误报率，做到“少而精、准而稳”，并配套版本管理与上线前测试。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2"/>
        </w:rPr>
        <w:t>Q4：智慧质控会不会替代编码员？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：短期内不会。智慧质控更擅长处理“规则明确、量大重复”的工作，把编码员从机械劳动中解放出来，让其聚焦于疑难病例、规则维护、临床沟通与培训等更有价值的工作。人机协同是当前与未来一段时间的主流范式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2"/>
        </w:rPr>
        <w:t>Q5：历史病案如何处理？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A：历史病案应使用其出院日期对应版本的规则进行回溯校验，避免“用今天的规则审昨天的病案”。同时建议建立质量档案，对历史质控发现按风险分级处置：高风险（影响医保支付/法律证据）须召回修改并留痕；低风险可作为统计与培训素材，不再批量回改。</w:t>
      </w:r>
    </w:p>
    <w:p>
      <w:pPr>
        <w:spacing w:after="80" w:line="360" w:lineRule="auto"/>
        <w:jc w:val="center"/>
      </w:pPr>
      <w:r>
        <w:rPr>
          <w:rFonts w:ascii="微软雅黑" w:hAnsi="微软雅黑" w:eastAsia="微软雅黑"/>
          <w:b w:val="0"/>
          <w:color w:val="7F7F7F"/>
          <w:sz w:val="20"/>
        </w:rPr>
        <w:t>—— 文档结束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