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65A82"/>
          <w:sz w:val="48"/>
        </w:rPr>
        <w:t>病案首页与质控业务 · Kickoff 讲稿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DeepAudit 项目启动会 · 信息科技术对齐 · 约 20 分钟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讲稿使用说明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本讲稿与 PPT《病案首页与质控业务_Kickoff.pptx》逐页对应。每一节标注页码、对应幻灯片标题、预计讲解时长，以及该页要传达的核心信息。粗体字部分为口头强调点；正文为推荐讲法，可按个人风格调整。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封面 — 病案首页与质控业务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建立今天分享的范围与定位：业务对齐 + Kickoff，不是技术深潜。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各位信息科同事下午好。今天用 20 分钟和大家做一次项目启动前的业务对齐。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我们今天聚焦的对象是病案首页和它的质控业务——这是医院里最“贵”的一张表，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因为它不仅决定医保拨付多少钱，还直接关系到国考排名和法律证据。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DeepAudit 这个项目要做的，就是用技术让这张表填得又快又准。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今天我会从业务讲到技术，最后落到我们启动阶段需要信息科配合的具体事项。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议程 — 五个模块共 20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P2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让听众建立时间预期，知道每一节的产出是什么。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整体节奏是先建立共识，再讲实施。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我们花 3 分钟讲首页本身，让大家理解为什么这一张表如此重要；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然后用 4+4 共 8 分钟拆解质控业务和规则体系；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再花 4 分钟讲痛点和我们准备用什么技术解决；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最后 5 分钟落到 Kickoff 行动项——这部分是信息科同事最关心的，包括系统架构、路线图，以及我们需要哪些配合。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中间有问题随时打断我，最后也会留时间集中答疑。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为什么“现在”必须把首页质控做扎实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P3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1.5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用三股压力建立紧迫感：DRG/DIP、国考、医保飞检。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我们今天不是在做“提升数据质量”这种锦上添花的事，是在解决三个现实压力：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第一，医保支付改革。DRG/DIP 全面铺开后，首页里的主要诊断和主要手术编码错一个，病例可能从 A 组掉到 B 组，医保少给几千甚至几万。这个钱直接从医院净收入里扣。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第二，国考。三级公立医院绩效考核公开排名，院领导盯得很紧，而国考几十个核心指标——CMI、四级手术占比、低风险组死亡率——全是从首页里抓数据。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第三，医保飞检常态化。飞检员一来，第一份要的就是首页台账，不合规直接拒付加罚款。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60% 的合格率意味着我们每张首页都在赌博——这种状态在 2026 年已经不可持续。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病案首页：医疗数据的“灵魂”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P4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让 IT 同事用“元数据 schema”的视角理解首页。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技术同事可以把它理解成“一次住院的元数据 schema”——它把临床过程压缩成几十个标准化字段，上接电子病历这种非结构化数据，下接医保接口、统计上报、绩效考核。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右边三个定位是我们做系统时一定要记住的：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1) 付费——它直接产生现金流，不是普通的业务表；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2) 管理——院长盯的指标都从这里来；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3) 法律——一旦上法庭，这是头号证据。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也就是说，这张表的容错率比一般业务表低一个数量级。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首页的五大字段类别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P5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让 IT 同事看到“五条采集链路”，预告集成挑战。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这张表是首页的“字段架构图”。每一类字段背后对应一条数据采集链路：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基本信息来自 HIS 和身份核验；住院信息来自 HIS 和护士站；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诊断来自 EMR；手术来自手麻系统；费用来自 HRP/收费系统。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我们做集成的时候要重点关注“五条链路是否都通”。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实际项目里 80% 的“漏填”问题不是医生不写，而是某条上游链路没接上或者字段映射错了——这个稍后讲集成架构会回到。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为什么首页错不起：法律 + 考核 + 统计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P6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强化“错不起”的三层后果，引出系统留痕需求。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我反复强调首页错不起，不是危言耸听——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法律层面：上法庭头号证据，错的诊断或缺失的手术记录直接影响赔付判决；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考核层面：国考排名公开，院长非常敏感；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统计层面：首页质量差，连带影响国家、省级的卫生统计，最终影响政策制定。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对信息科来说，这三层意味着我们做的系统要有完整的留痕、审计和版本管理能力——这也是 DeepAudit 设计的基础假设。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质控四大维度：完整 / 逻辑 / 规范 / 一致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P7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1.5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建立规则引擎的设计骨架，预告“一致性”是最难的。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这四个维度是我们规则引擎的设计骨架——任何一条规则最终都会被打上其中一个标签。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完整性最简单：字段是不是空。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逻辑性是字段间约束：时间顺序、性别匹配、年龄匹配。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规范性是值域校验：ICD-10、ICD-9-CM-3，且要注意版本——这是项目里最容易踩坑的点之一，因为不同医院、不同年份用的版本不一样，规则引擎必须支持版本路由。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一致性最难，因为它要跨系统比对——首页一边、EMR 一边、HRP 收费一边，三方对账。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DeepAudit 的核心难度就在这第四个维度上，需要 NLP 能从病历里提取结构化诊断。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三级质控流程的闭环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P8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1.5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讲清“嵌入式质控”——一套规则引擎、四类角色视图。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三级质控是医院里的标准流程，不是我们发明的。我们做的是“嵌入式质控”——在每一级的触发点上调用规则引擎：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源头：医生保存时实时校验 → 单项否决直接拦住，提示建议弹窗；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一级：科室质控员有专属看板，按规则类型聚合本科室缺陷；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二级：编码员看疑难病例队列，主诊推荐模型给候选；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三级：质控科有医院级 dashboard、上报前自动校验。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也就是说，从信息科的角度，我们要给四类角色做四套权限+四套视图，但底层是一套规则引擎和一份首页数据。这个抽象很关键。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规则三分类：强制 / 扣分 / 提示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P9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1.5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三类规则的不同处置方式 — 同一存储、不同执行策略。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三类规则在产品设计上是不同的交互模式：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强制规则——前端表单必须卡住保存按钮，红色高亮，给出修复路径。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扣分规则——可以保存，但要进考核扣分队列，月底出科室排名。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辅助规则——不打断流程，可累积形成“建议忽略”的统计，反向用来评估规则误报率。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三种规则的存储结构是统一的，但执行时机和处置策略不同。这是我们规则引擎的核心 API 抽象。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五个最高频的规则示例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P10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用具体示例让抽象规则落地，预告 NLP+主诊推荐的价值。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这五条是我在历史项目里看到触发量 Top 5 的规则。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极端值——通常是录入错误，但偶尔是真实情况，所以是提示而不是阻断。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诊疗矛盾——这一类需要规则引擎做“反向校验”，从手术反推应有诊断。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费用异常——这条最得罪医生，但医保飞检最常用这条切入。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编码版本——需要规则集按时间分版本路由，2024 病案不能用 2025 规则审。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主诊选择疑点——这是 NLP+主诊推荐模型的主战场，也是降低医保扣款最有效的一条。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规则全生命周期管理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P11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敲警钟：规则版本控制必须从第一天就设计好。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这一页主要是给信息科同事敲警钟——规则系统不是一次开发完就结束的。重点关注两件事：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第一，版本控制。如果今天我们要校验 2023 年的历史病案，必须用 2023 年的规则集。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这意味着规则引擎从第一天就要支持时间路由——按出院日期选择规则版本。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很多失败项目都是这个点漏掉，等历史数据回溯时才发现来不及改。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第二，逻辑删除。停用的规则不能物理删除，要保留归档以便审计——医保飞检会问你“为什么这条规则没拦住”。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业务痛点：现实里要解决的五个问题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P12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1.5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把痛点逐条对应到我们的解决方案。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前四个痛点是业务痛点，第五个是 IT 痛点。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医生负担和标准不统一是临床侧问题，我们做的不是替医生写，而是降低正确填写的成本——比如保存时实时弹窗、编码自动联想、主诊推荐。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滞后性需要把质控关口从“事后”前移到“事中”，这是 DeepAudit 设计的核心。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编码资源紧张靠 AI 复核——把 80% 简单病例自动放行，编码员集中处理 20% 疑难病例。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数据孤岛是我们这边主战场——必须把 EMR、HRP、LIS 等接口打通，否则一致性校验是空话。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这一页是 Q1 项目立项的核心问题陈述，PRD 里要逐条对应解决方案。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智慧质控：五项关键技术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P13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1.5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强调“流水线协作”，而不是技术堆砌。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这五项技术不是堆砌，是配合在一条流水线上：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OCR 把外院纸质报告变结构化 → NLP 从病历正文提取诊断 → 规则引擎做事中校验 → ML 模型给主诊推荐 → 数据中台保证跨系统一致性。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对信息科来说，最关注的应该是规则引擎和数据中台——这两块是我们要主导建设的。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NLP 和 ML 是“模型即服务”，可以选择自研或采购。OCR 业界很成熟，集成现成产品即可。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右下角的虚线框就是 DeepAudit 的产品定位——不是单一技术点，是把五项打包成统一平台。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架构与数据流：DeepAudit 在医院技术栈中的位置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P14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1.5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今天最重要的一页：旁路 + 嵌入，不动核心系统。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这是今天最重要的一页架构图，留给信息科同事的核心信息：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DeepAudit 不动现有系统的核心数据库，只做旁路 + 嵌入：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左边五个数据源都是只读对接，通过接口或数据库订阅取数，不写回；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中间是平台五个核心模块，由我们项目组负责建设；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右边四个出口里，“首页上报”是关键——会替换或前置当前的上报通道，需要和现有上报系统对接好。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事中嵌入指的是在医生写病历的工作站里嵌入实时校验组件，这块需要 EMR 厂商配合做集成。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我们后面会出一份详细的接口清单和集成方案，今天先建立架构图共识。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预期价值：60% → 95% 的合格率跃升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P15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1.5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把价值翻译成医保合规、考核排名、数据资产三件事。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60 → 95 不是我编的数字，是行业里成熟智慧质控项目的常见水位线。重要的是这一跃带来的连锁价值：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首先是医保合规，最直接的是减少飞检扣款和拒付——这部分一年可能挽回几百万到上千万的现金流，对医院财务是看得见的回报；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其次是国考排名提升——CMI、四级手术占比这些指标质量上去后，自然爬升；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再者是数据资产——首页的高质量化让全院的 BI 和科研有了可信的语料基础。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信息科同事通常会被问“这事 ROI 怎么算”，记住医保合规这一条是最硬的算账依据。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项目里程碑路线图（建议节奏）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P16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1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明确 4 个里程碑及关键交付物，预告时间压力点。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这是建议路线图，6 个月内完成全院推广。我们留 2 周缓冲在 M2/M3 之间。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每个里程碑信息科都有关键交付物：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M1 接口清单是命脉——所有上游系统的字段、协议、频率都要在这一个月内定稳。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M2 是规则引擎落地，先上强制规则确保关键不出错，再逐步上扣分和提示规则。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M3 是 AI 模型落地，需要历史病案做训练集，这部分需要协调病案室提供数据。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M4 是上报和考核对接，要和医保局、卫健委的接口窗口期协调。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如果时间紧，可以把 M3 推到 M4 之后，但 M1 + M2 必须先稳。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信息科本月行动项 + 下一步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对应页码：</w:t>
      </w:r>
      <w:r>
        <w:rPr>
          <w:rFonts w:ascii="微软雅黑" w:hAnsi="微软雅黑" w:eastAsia="微软雅黑"/>
          <w:color w:val="3C3C3C"/>
          <w:sz w:val="20"/>
        </w:rPr>
        <w:t>P17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建议时长：</w:t>
      </w:r>
      <w:r>
        <w:rPr>
          <w:rFonts w:ascii="微软雅黑" w:hAnsi="微软雅黑" w:eastAsia="微软雅黑"/>
          <w:color w:val="3C3C3C"/>
          <w:sz w:val="20"/>
        </w:rPr>
        <w:t>约 2 分钟</w:t>
      </w:r>
    </w:p>
    <w:p>
      <w:pPr>
        <w:spacing w:after="40"/>
      </w:pPr>
      <w:r>
        <w:rPr>
          <w:rFonts w:ascii="微软雅黑" w:hAnsi="微软雅黑" w:eastAsia="微软雅黑"/>
          <w:b/>
          <w:color w:val="1C7293"/>
          <w:sz w:val="20"/>
        </w:rPr>
        <w:t>核心信息：</w:t>
      </w:r>
      <w:r>
        <w:rPr>
          <w:rFonts w:ascii="微软雅黑" w:hAnsi="微软雅黑" w:eastAsia="微软雅黑"/>
          <w:color w:val="3C3C3C"/>
          <w:sz w:val="20"/>
        </w:rPr>
        <w:t>落地三件事 + 关键时间点。结尾感谢与开放答疑。</w:t>
      </w:r>
    </w:p>
    <w:p>
      <w:pPr>
        <w:spacing w:before="120"/>
      </w:pPr>
      <w:r>
        <w:rPr>
          <w:rFonts w:ascii="微软雅黑" w:hAnsi="微软雅黑" w:eastAsia="微软雅黑"/>
          <w:b/>
          <w:color w:val="065A82"/>
          <w:sz w:val="22"/>
        </w:rPr>
        <w:t>【讲稿】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最后落到大家最关心的——本月信息科要做什么。三件事：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第一周：把上游系统的接口清单整理出来，交给我们项目组。这里要重点关注接口能力是只读还是订阅、推送频率、字段是否齐全；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第二周：和病案室一起准备 1000 份脱敏的首页+EMR 作为训练数据。安全这块需要法务和信息安全先评审脱敏方案；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第三-四周：定试点科室，并统计当前合格率作为项目基线——没有基线后面没法证明我们做出了价值。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右边是接下来两周的关键时间点：本周五 PRD 评审，希望大家都能到场。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今天的分享就到这里，下面留时间给大家提问，没解答完的我们会后通过项目群继续跟进。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谢谢各位！</w:t>
      </w:r>
    </w:p>
    <w:p>
      <w:pPr>
        <w:jc w:val="center"/>
      </w:pPr>
      <w:r>
        <w:rPr>
          <w:rFonts w:ascii="微软雅黑" w:hAnsi="微软雅黑" w:eastAsia="微软雅黑"/>
          <w:color w:val="A0A0A0"/>
          <w:sz w:val="20"/>
        </w:rPr>
        <w:t>· · ·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1295C"/>
          <w:sz w:val="36"/>
        </w:rPr>
        <w:t>可能的提问与备答</w:t>
      </w:r>
    </w:p>
    <w:p>
      <w:pPr>
        <w:spacing w:before="120"/>
      </w:pPr>
      <w:r>
        <w:rPr>
          <w:rFonts w:ascii="微软雅黑" w:hAnsi="微软雅黑" w:eastAsia="微软雅黑"/>
          <w:b/>
          <w:color w:val="21295C"/>
          <w:sz w:val="22"/>
        </w:rPr>
        <w:t>Q：DeepAudit 会不会改我们现有的 HIS/EMR？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A：不会。我们只做只读对接和旁路嵌入，不动核心数据库。工作站侧的实时校验是浏览器层 / 工作站插件层注入，不修改 EMR 后端。</w:t>
      </w:r>
    </w:p>
    <w:p>
      <w:pPr>
        <w:spacing w:before="120"/>
      </w:pPr>
      <w:r>
        <w:rPr>
          <w:rFonts w:ascii="微软雅黑" w:hAnsi="微软雅黑" w:eastAsia="微软雅黑"/>
          <w:b/>
          <w:color w:val="21295C"/>
          <w:sz w:val="22"/>
        </w:rPr>
        <w:t>Q：接口清单需要多详细？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A：至少包含：接口名称、协议（HL7/REST/数据库订阅）、字段列表、推送或拉取频率、数据量级、可访问性、当前对接状态。我们会提供模板。</w:t>
      </w:r>
    </w:p>
    <w:p>
      <w:pPr>
        <w:spacing w:before="120"/>
      </w:pPr>
      <w:r>
        <w:rPr>
          <w:rFonts w:ascii="微软雅黑" w:hAnsi="微软雅黑" w:eastAsia="微软雅黑"/>
          <w:b/>
          <w:color w:val="21295C"/>
          <w:sz w:val="22"/>
        </w:rPr>
        <w:t>Q：数据脱敏方案谁负责？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A：信息安全 + 法务先出脱敏标准（按等保和卫健委要求），我们项目组配合实现脱敏管线。脱敏数据存放在隔离的训练环境。</w:t>
      </w:r>
    </w:p>
    <w:p>
      <w:pPr>
        <w:spacing w:before="120"/>
      </w:pPr>
      <w:r>
        <w:rPr>
          <w:rFonts w:ascii="微软雅黑" w:hAnsi="微软雅黑" w:eastAsia="微软雅黑"/>
          <w:b/>
          <w:color w:val="21295C"/>
          <w:sz w:val="22"/>
        </w:rPr>
        <w:t>Q：规则集第一版谁来出？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A：由 DeepAudit 项目组提供基线规则集（300+ 条），信息科 + 病案室 + 质控科共同评审与扩充。</w:t>
      </w:r>
    </w:p>
    <w:p>
      <w:pPr>
        <w:spacing w:before="120"/>
      </w:pPr>
      <w:r>
        <w:rPr>
          <w:rFonts w:ascii="微软雅黑" w:hAnsi="微软雅黑" w:eastAsia="微软雅黑"/>
          <w:b/>
          <w:color w:val="21295C"/>
          <w:sz w:val="22"/>
        </w:rPr>
        <w:t>Q：试点科室建议怎么选？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A：建议挑选业务量中等、配合度高的科室，覆盖内科、外科、妇产 3 类。避免一上来就上 ICU 或新生儿科这种极复杂科室。</w:t>
      </w:r>
    </w:p>
    <w:p>
      <w:pPr>
        <w:spacing w:before="120"/>
      </w:pPr>
      <w:r>
        <w:rPr>
          <w:rFonts w:ascii="微软雅黑" w:hAnsi="微软雅黑" w:eastAsia="微软雅黑"/>
          <w:b/>
          <w:color w:val="21295C"/>
          <w:sz w:val="22"/>
        </w:rPr>
        <w:t>Q：国考报表会受影响吗？</w:t>
      </w:r>
    </w:p>
    <w:p>
      <w:pPr>
        <w:spacing w:after="80" w:line="384" w:lineRule="auto"/>
      </w:pPr>
      <w:r>
        <w:rPr>
          <w:rFonts w:ascii="微软雅黑" w:hAnsi="微软雅黑" w:eastAsia="微软雅黑"/>
          <w:sz w:val="22"/>
        </w:rPr>
        <w:t>A：M4 之前国考报表沿用现行通道；M4 上线后切换为 DeepAudit 出表，并行运行 1 个月对比，确认数据一致后下线旧报表。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