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830" w:type="dxa"/>
        <w:tblInd w:w="-1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470"/>
        <w:gridCol w:w="890"/>
        <w:gridCol w:w="720"/>
        <w:gridCol w:w="3610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4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项目角色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利益相关程度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影响水平</w:t>
            </w:r>
          </w:p>
        </w:tc>
        <w:tc>
          <w:tcPr>
            <w:tcW w:w="361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特点分析</w:t>
            </w:r>
          </w:p>
        </w:tc>
        <w:tc>
          <w:tcPr>
            <w:tcW w:w="3200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刘翠翠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作为项目负责人，有较强的项目管理能力和协调能力。</w:t>
            </w:r>
          </w:p>
        </w:tc>
        <w:tc>
          <w:tcPr>
            <w:tcW w:w="3200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姜豪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产品经理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熟悉互联网，有较强的社交能力，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了解用户特征，对产品品质要求高。</w:t>
            </w:r>
          </w:p>
        </w:tc>
        <w:tc>
          <w:tcPr>
            <w:tcW w:w="320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赵嘉怡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技术专家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有较强的设计，开发能力，对技术追求极致。</w:t>
            </w:r>
          </w:p>
        </w:tc>
        <w:tc>
          <w:tcPr>
            <w:tcW w:w="320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蔡清怡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UE/UI设计师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有审美品味，熟练掌握各种界面设计工作，能够关注用户使用特征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320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UE/UI以她为主导，充分授予其在该方面的权力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刘梓洋</w:t>
            </w:r>
          </w:p>
        </w:tc>
        <w:tc>
          <w:tcPr>
            <w:tcW w:w="14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测试专家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361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320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</w:rPr>
              <w:t>质量以她为主导，充分授予其在该方面的权力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76C3B"/>
    <w:rsid w:val="2C2D749B"/>
    <w:rsid w:val="420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禅是一枝花</cp:lastModifiedBy>
  <dcterms:modified xsi:type="dcterms:W3CDTF">2020-11-18T02:46:55Z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