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需求甲：四号货架送二号配送点，必须由R3执行，下午4点前到，易碎品需特殊运输。</w:t>
            </w:r>
          </w:p>
        </w:tc>
      </w:tr>
    </w:tbl>
  </w:body>
</w:document>
</file>