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搬运需求数量核对单</w:t>
      </w:r>
    </w:p>
    <w:p>
      <w:pPr>
        <w:pStyle w:val="Normal"/>
      </w:pPr>
      <w:r>
        <w:t xml:space="preserve">以下四项均待执行。部分订单仅提供货物数量或模糊次数，需要在创建前补充搬运次数。</w:t>
      </w:r>
    </w:p>
    <w:p>
      <w:pPr>
        <w:pStyle w:val="Normal"/>
      </w:pPr>
      <w:r>
        <w:t xml:space="preserve">订单W21：从P01向D1搬运3次，优先级2级。</w:t>
      </w:r>
    </w:p>
    <w:p>
      <w:pPr>
        <w:pStyle w:val="Normal"/>
      </w:pPr>
      <w:r>
        <w:t xml:space="preserve">订单W22：将P02的12箱零件送到D2，优先级2级。每次可搬运多少箱尚未确认。</w:t>
      </w:r>
    </w:p>
    <w:p>
      <w:pPr>
        <w:pStyle w:val="Normal"/>
      </w:pPr>
      <w:r>
        <w:t xml:space="preserve">订单W23：从P03取货送往D1，优先级2级。</w:t>
      </w:r>
    </w:p>
    <w:p>
      <w:pPr>
        <w:pStyle w:val="Normal"/>
      </w:pPr>
      <w:r>
        <w:t xml:space="preserve">订单W24：从P04向D2搬运几趟，优先级2级，具体趟数待确认。</w:t>
      </w:r>
    </w:p>
    <w:sectPr>
      <w:pgSz w:w="11906" w:h="16838"/>
      <w:pgMar w:top="1134" w:right="1273" w:bottom="1134" w:left="1273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color w:val="000000"/>
        <w:sz w:val="22"/>
        <w:lang w:val="zh-CN" w:eastAsia="zh-CN"/>
      </w:rPr>
    </w:rPrDefault>
    <w:pPrDefault>
      <w:pPr>
        <w:spacing w:after="160" w:line="34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80"/>
    </w:pPr>
    <w:rPr>
      <w:b/>
      <w:color w:val="000000"/>
      <w:sz w:val="36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color w:val="000000"/>
      <w:sz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