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7.png" ContentType="image/png"/>
  <Override PartName="/word/media/rId47.png" ContentType="image/png"/>
  <Override PartName="/word/media/rId67.png" ContentType="image/png"/>
  <Override PartName="/word/media/rId87.png" ContentType="image/png"/>
  <Override PartName="/word/media/rId63.png" ContentType="image/png"/>
  <Override PartName="/word/media/rId83.png" ContentType="image/png"/>
  <Override PartName="/word/media/rId33.png" ContentType="image/png"/>
  <Override PartName="/word/media/rId78.png" ContentType="image/png"/>
  <Override PartName="/word/media/rId57.png" ContentType="image/png"/>
  <Override PartName="/word/media/rId43.png" ContentType="image/png"/>
  <Override PartName="/word/media/rId52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Просина Ксения Максимовна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Построение графиков сумм гармонических функций в Octave</w:t>
      </w:r>
    </w:p>
    <w:p>
      <w:pPr>
        <w:pStyle w:val="Compact"/>
        <w:numPr>
          <w:ilvl w:val="0"/>
          <w:numId w:val="1001"/>
        </w:numPr>
      </w:pPr>
      <w:r>
        <w:t xml:space="preserve">Разложение импульсного сигнала (меандра) в частичный ряд Фурье</w:t>
      </w:r>
    </w:p>
    <w:p>
      <w:pPr>
        <w:pStyle w:val="Compact"/>
        <w:numPr>
          <w:ilvl w:val="0"/>
          <w:numId w:val="1001"/>
        </w:numPr>
      </w:pPr>
      <w:r>
        <w:t xml:space="preserve">Определение спектра и параметров сигнала с использованием быстрого преобразования Фурье (БПФ)</w:t>
      </w:r>
    </w:p>
    <w:p>
      <w:pPr>
        <w:pStyle w:val="Compact"/>
        <w:numPr>
          <w:ilvl w:val="0"/>
          <w:numId w:val="1001"/>
        </w:numPr>
      </w:pPr>
      <w:r>
        <w:t xml:space="preserve">Исследование амплитудной модуляцией (АМ) сигналов</w:t>
      </w:r>
    </w:p>
    <w:p>
      <w:pPr>
        <w:pStyle w:val="Compact"/>
        <w:numPr>
          <w:ilvl w:val="0"/>
          <w:numId w:val="1001"/>
        </w:numPr>
      </w:pPr>
      <w:r>
        <w:t xml:space="preserve">Кодирование сигналов и исследование свойства самосинхронизации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2" w:name="построение-графиков-в-octave"/>
    <w:p>
      <w:pPr>
        <w:pStyle w:val="Heading2"/>
      </w:pPr>
      <w:r>
        <w:t xml:space="preserve">3.1 1. Построение графиков в Octave</w:t>
      </w:r>
    </w:p>
    <w:bookmarkStart w:id="26" w:name="X43c55399cc3f7c4dc3bc58eb9a1354ac14deb3a"/>
    <w:p>
      <w:pPr>
        <w:pStyle w:val="Heading3"/>
      </w:pPr>
      <w:r>
        <w:t xml:space="preserve">3.1.1 1.1 Построение графика функции y = sin(x) + (1/3)sin(3x) + (1/5)sin(5x)</w:t>
      </w:r>
    </w:p>
    <w:p>
      <w:pPr>
        <w:pStyle w:val="FirstParagraph"/>
      </w:pPr>
      <w:r>
        <w:t xml:space="preserve">Для выполнения первого задания был создан файл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 </w:t>
      </w:r>
      <w:r>
        <w:t xml:space="preserve">со следующим кодом:</w:t>
      </w:r>
    </w:p>
    <w:p>
      <w:pPr>
        <w:pStyle w:val="SourceCode"/>
      </w:pPr>
      <w:r>
        <w:rPr>
          <w:rStyle w:val="CommentTok"/>
        </w:rPr>
        <w:t xml:space="preserve">% plot_sin.m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"-ok; y1 = sin(x) + (1/3)*sin(3x) + (1/5)*sin(5x);"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'y1 = sin(x) + (1/3)sin(3x) + (1/5)sin(5x)'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"plot-sin.eps"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"-Farial:16"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"-deps"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"plot-sin.png"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4699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9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График функции y = sin(x) + (1/3)sin(3x) + (1/5)sin(5x)</w:t>
            </w:r>
          </w:p>
          <w:bookmarkEnd w:id="25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На графике представлена сумма трёх синусоидальных функций с разными частотами. Функция демонстрирует периодическое поведение с интерференцией гармоник. Основная частота соответствует sin(x), а дополнительные гармоники sin(3x) и sin(5x) вносят меньший вклад из-за коэффициентов 1/3 и 1/5.</w:t>
      </w:r>
    </w:p>
    <w:bookmarkEnd w:id="26"/>
    <w:bookmarkStart w:id="31" w:name="работа-в-octave"/>
    <w:p>
      <w:pPr>
        <w:pStyle w:val="Heading3"/>
      </w:pPr>
      <w:r>
        <w:t xml:space="preserve">3.1.2 1.2 Работа в Octave</w:t>
      </w:r>
    </w:p>
    <w:p>
      <w:pPr>
        <w:pStyle w:val="FirstParagraph"/>
      </w:pPr>
      <w:r>
        <w:t xml:space="preserve">В ходе выполнения работы я создала папку для лабораторной и запустила скрипт построения графика:</w:t>
      </w:r>
    </w:p>
    <w:p>
      <w:pPr>
        <w:pStyle w:val="SourceCode"/>
      </w:pPr>
      <w:r>
        <w:rPr>
          <w:rStyle w:val="VariableTok"/>
        </w:rPr>
        <w:t xml:space="preserve">mkdir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:\</w:t>
      </w:r>
      <w:r>
        <w:rPr>
          <w:rStyle w:val="VariableTok"/>
        </w:rPr>
        <w:t xml:space="preserve">Users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Documents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lab1</w:t>
      </w:r>
      <w:r>
        <w:br/>
      </w: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:\</w:t>
      </w:r>
      <w:r>
        <w:rPr>
          <w:rStyle w:val="VariableTok"/>
        </w:rPr>
        <w:t xml:space="preserve">Users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Documents</w:t>
      </w:r>
      <w:r>
        <w:rPr>
          <w:rStyle w:val="OperatorTok"/>
        </w:rPr>
        <w:t xml:space="preserve">\</w:t>
      </w:r>
      <w:r>
        <w:rPr>
          <w:rStyle w:val="VariableTok"/>
        </w:rPr>
        <w:t xml:space="preserve">lab1</w:t>
      </w:r>
      <w:r>
        <w:br/>
      </w:r>
      <w:r>
        <w:rPr>
          <w:rStyle w:val="VariableTok"/>
        </w:rPr>
        <w:t xml:space="preserve">edit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plot_sin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</w:t>
      </w:r>
      <w:r>
        <w:br/>
      </w:r>
      <w:r>
        <w:rPr>
          <w:rStyle w:val="VariableTok"/>
        </w:rPr>
        <w:t xml:space="preserve">plot_sin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522846" cy="90477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2846" cy="904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в Octave</w:t>
            </w:r>
          </w:p>
          <w:bookmarkEnd w:id="3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Скриншот демонстрирует успешное выполнение команд в Octave: создание рабочей папки, переход в неё и запуск скрипта построения графика.</w:t>
      </w:r>
    </w:p>
    <w:bookmarkEnd w:id="31"/>
    <w:bookmarkEnd w:id="32"/>
    <w:bookmarkStart w:id="42" w:name="X54253d6b08e08aa9b6df79151cb5f979dec6d1f"/>
    <w:p>
      <w:pPr>
        <w:pStyle w:val="Heading2"/>
      </w:pPr>
      <w:r>
        <w:t xml:space="preserve">3.2 2. Разложение импульсного сигнала (меандра) в ряд Фурье</w:t>
      </w:r>
    </w:p>
    <w:bookmarkStart w:id="41" w:name="реализация-меандра-через-ряд-фурье"/>
    <w:p>
      <w:pPr>
        <w:pStyle w:val="Heading3"/>
      </w:pPr>
      <w:r>
        <w:t xml:space="preserve">3.2.1 2.1 Реализация меандра через ряд Фурье</w:t>
      </w:r>
    </w:p>
    <w:p>
      <w:pPr>
        <w:pStyle w:val="FirstParagraph"/>
      </w:pPr>
      <w:r>
        <w:t xml:space="preserve">Для разложения меандра был создан файл</w:t>
      </w:r>
      <w:r>
        <w:t xml:space="preserve"> </w:t>
      </w:r>
      <w:r>
        <w:rPr>
          <w:rStyle w:val="VerbatimChar"/>
        </w:rPr>
        <w:t xml:space="preserve">meandr_light.m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% meandr_light.m</w:t>
      </w:r>
      <w:r>
        <w:br/>
      </w:r>
      <w:r>
        <w:rPr>
          <w:rStyle w:val="VariableTok"/>
        </w:rPr>
        <w:t xml:space="preserve">graphics_toolkit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'gnuplot'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уменьшили с 8 до 4 гармоник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увеличили шаг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Быстрый расчёт</w:t>
      </w:r>
      <w:r>
        <w:br/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только нечетные гармоники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'Меандр с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гармониками'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"meandr-light.png"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meandr-ligh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Меандр, аппроксимированный 4 гармониками</w:t>
            </w:r>
          </w:p>
          <w:bookmarkEnd w:id="36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Код для разложения меандра в ряд Фурье. Используется только 4 гармоники для ускорения вычислений. Меандр разлагается в ряд по нечетным гармоникам с амплитудами, обратно пропорциональными номеру гармоники.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81425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4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для разложения меандра</w:t>
            </w:r>
          </w:p>
          <w:bookmarkEnd w:id="4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Скриншот кода, показывающий реализацию разложения меандра в ряд Фурье с использованием цикла для суммирования гармоник.</w:t>
      </w:r>
    </w:p>
    <w:bookmarkEnd w:id="41"/>
    <w:bookmarkEnd w:id="42"/>
    <w:bookmarkStart w:id="62" w:name="определение-спектра-и-параметров-сигнала"/>
    <w:p>
      <w:pPr>
        <w:pStyle w:val="Heading2"/>
      </w:pPr>
      <w:r>
        <w:t xml:space="preserve">3.3 3. Определение спектра и параметров сигнала</w:t>
      </w:r>
    </w:p>
    <w:bookmarkStart w:id="51" w:name="анализ-двух-синусоидальных-сигналов"/>
    <w:p>
      <w:pPr>
        <w:pStyle w:val="Heading3"/>
      </w:pPr>
      <w:r>
        <w:t xml:space="preserve">3.3.1 3.1 Анализ двух синусоидальных сигналов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task3.m</w:t>
      </w:r>
      <w:r>
        <w:t xml:space="preserve"> </w:t>
      </w:r>
      <w:r>
        <w:t xml:space="preserve">для анализа спектров:</w:t>
      </w:r>
    </w:p>
    <w:p>
      <w:pPr>
        <w:pStyle w:val="SourceCode"/>
      </w:pPr>
      <w:r>
        <w:rPr>
          <w:rStyle w:val="CommentTok"/>
        </w:rPr>
        <w:t xml:space="preserve">% task3.m - Спектры сигналов</w:t>
      </w:r>
      <w:r>
        <w:br/>
      </w:r>
      <w:r>
        <w:rPr>
          <w:rStyle w:val="VariableTok"/>
        </w:rPr>
        <w:t xml:space="preserve">graphics_toolkit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'gnuplot'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Параметры (уменьшенные для скорости)</w:t>
      </w:r>
      <w:r>
        <w:br/>
      </w:r>
      <w:r>
        <w:rPr>
          <w:rStyle w:val="VariableTok"/>
        </w:rPr>
        <w:t xml:space="preserve">tmax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Было 0.5</w:t>
      </w:r>
      <w:r>
        <w:br/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Было 512</w:t>
      </w:r>
      <w:r>
        <w:br/>
      </w:r>
      <w:r>
        <w:rPr>
          <w:rStyle w:val="VariableTok"/>
        </w:rPr>
        <w:t xml:space="preserve">f1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Два отдельных сигнала</w:t>
      </w:r>
      <w:r>
        <w:br/>
      </w:r>
      <w:r>
        <w:rPr>
          <w:rStyle w:val="VariableTok"/>
        </w:rPr>
        <w:t xml:space="preserve">signal1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signal2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signal2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'Два синусоидальных сигнала'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'f='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Гц'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'f='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Гц'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"two_signals.png"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two_signals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Два синусоидальных сигнала разной частоты</w:t>
            </w:r>
          </w:p>
          <w:bookmarkEnd w:id="46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На графике представлены два синусоидальных сигнала: синий - частотой 10 Гц, красный пунктирный - частотой 40 Гц с амплитудой 0.7. Видно, что сигнал с частотой 40 Гц имеет в 4 раза больше колебаний на том же временном интервале.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32769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6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Код для анализа спектров</w:t>
            </w:r>
          </w:p>
          <w:bookmarkEnd w:id="5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Код для создания двух сигналов разной частоты и построения их графиков. Параметры уменьшены для ускорения вычислений на слабом оборудовании.</w:t>
      </w:r>
    </w:p>
    <w:bookmarkEnd w:id="51"/>
    <w:bookmarkStart w:id="56" w:name="спектральный-анализ-сигналов"/>
    <w:p>
      <w:pPr>
        <w:pStyle w:val="Heading3"/>
      </w:pPr>
      <w:r>
        <w:t xml:space="preserve">3.3.2 3.2 Спектральный анализ сигналов</w:t>
      </w:r>
    </w:p>
    <w:p>
      <w:pPr>
        <w:pStyle w:val="SourceCode"/>
      </w:pPr>
      <w:r>
        <w:rPr>
          <w:rStyle w:val="CommentTok"/>
        </w:rPr>
        <w:t xml:space="preserve">% Спектральный анализ</w:t>
      </w:r>
      <w:r>
        <w:br/>
      </w:r>
      <w:r>
        <w:rPr>
          <w:rStyle w:val="VariableTok"/>
        </w:rPr>
        <w:t xml:space="preserve">spectre1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signal1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spectre2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signal2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spectre1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spectre1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spectre1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spectre2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'Спектры сигналов'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'Частота (Гц)'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'Амплитуда'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"two_spectres.png"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two_spectres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Спектры двух сигналов</w:t>
            </w:r>
          </w:p>
          <w:bookmarkEnd w:id="55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Спектральный анализ показывает четкие пики на частотах 10 Гц и 40 Гц. Пик на 10 Гц имеет большую амплитуду, что соответствует исходным сигналам.</w:t>
      </w:r>
    </w:p>
    <w:bookmarkEnd w:id="56"/>
    <w:bookmarkStart w:id="61" w:name="спектр-суммы-сигналов"/>
    <w:p>
      <w:pPr>
        <w:pStyle w:val="Heading3"/>
      </w:pPr>
      <w:r>
        <w:t xml:space="preserve">3.3.3 3.3 Спектр суммы сигналов</w:t>
      </w:r>
    </w:p>
    <w:p>
      <w:pPr>
        <w:pStyle w:val="SourceCode"/>
      </w:pPr>
      <w:r>
        <w:rPr>
          <w:rStyle w:val="CommentTok"/>
        </w:rPr>
        <w:t xml:space="preserve">% Сумма сигналов и её спектр</w:t>
      </w:r>
      <w:r>
        <w:br/>
      </w:r>
      <w:r>
        <w:rPr>
          <w:rStyle w:val="VariableTok"/>
        </w:rPr>
        <w:t xml:space="preserve">signal_sum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signal1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signal2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spectre_sum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signal_sum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signal_sum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'Сумма двух сигналов'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spectre_sum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'Спектр суммы'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'Частота (Гц)'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"sum_signal_spectre.png"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um_signal_spectr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Суммарный сигнал и его спектр</w:t>
            </w:r>
          </w:p>
          <w:bookmarkEnd w:id="6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Верхний график показывает сумму двух синусоидальных сигналов, нижний - спектр этой суммы. Спектр содержит компоненты на обеих частотах (10 Гц и 40 Гц), демонстрируя свойство линейности преобразования Фурье.</w:t>
      </w:r>
    </w:p>
    <w:bookmarkEnd w:id="61"/>
    <w:bookmarkEnd w:id="62"/>
    <w:bookmarkStart w:id="72" w:name="амплитудная-модуляция-ам"/>
    <w:p>
      <w:pPr>
        <w:pStyle w:val="Heading2"/>
      </w:pPr>
      <w:r>
        <w:t xml:space="preserve">3.4 4. Амплитудная модуляция (АМ)</w:t>
      </w:r>
    </w:p>
    <w:bookmarkStart w:id="71" w:name="генерация-и-анализ-ам-сигнала"/>
    <w:p>
      <w:pPr>
        <w:pStyle w:val="Heading3"/>
      </w:pPr>
      <w:r>
        <w:t xml:space="preserve">3.4.1 4.1 Генерация и анализ АМ сигнала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task4.m</w:t>
      </w:r>
      <w:r>
        <w:t xml:space="preserve"> </w:t>
      </w:r>
      <w:r>
        <w:t xml:space="preserve">для исследования амплитудной модуляции:</w:t>
      </w:r>
    </w:p>
    <w:p>
      <w:pPr>
        <w:pStyle w:val="SourceCode"/>
      </w:pPr>
      <w:r>
        <w:rPr>
          <w:rStyle w:val="CommentTok"/>
        </w:rPr>
        <w:t xml:space="preserve">% task4.m - Амплитудная модуляция</w:t>
      </w:r>
      <w:r>
        <w:br/>
      </w:r>
      <w:r>
        <w:rPr>
          <w:rStyle w:val="VariableTok"/>
        </w:rPr>
        <w:t xml:space="preserve">graphics_toolkit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'gnuplot'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tmax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Информационный сигнал (медленный)</w:t>
      </w:r>
      <w:r>
        <w:br/>
      </w:r>
      <w:r>
        <w:rPr>
          <w:rStyle w:val="VariableTok"/>
        </w:rPr>
        <w:t xml:space="preserve">f_carrier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Несущая (быстрая)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Сигналы</w:t>
      </w:r>
      <w:r>
        <w:br/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f_info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То, что передаем</w:t>
      </w:r>
      <w:r>
        <w:br/>
      </w:r>
      <w:r>
        <w:rPr>
          <w:rStyle w:val="VariableTok"/>
        </w:rPr>
        <w:t xml:space="preserve">carrier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f_carrier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Несущая</w:t>
      </w:r>
      <w:r>
        <w:br/>
      </w:r>
      <w:r>
        <w:rPr>
          <w:rStyle w:val="VariableTok"/>
        </w:rPr>
        <w:t xml:space="preserve">am_signal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carrier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АМ сигнал</w:t>
      </w:r>
      <w:r>
        <w:br/>
      </w:r>
      <w:r>
        <w:br/>
      </w:r>
      <w:r>
        <w:rPr>
          <w:rStyle w:val="CommentTok"/>
        </w:rPr>
        <w:t xml:space="preserve">% График 1: АМ сигнал с огибающей</w:t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am_signal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'Амплитудная модуляция'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'АМ сигнал'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'Огибающая'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"am_signal.png"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am_signal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Амплитудная модуляция сигнала</w:t>
            </w:r>
          </w:p>
          <w:bookmarkEnd w:id="66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АМ сигнал получен умножением информационного сигнала (5 Гц) на несущую (50 Гц). Красные пунктирные линии показывают огибающую, соответствующую информационному сигналу.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309049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0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Код для амплитудной модуляции</w:t>
            </w:r>
          </w:p>
          <w:bookmarkEnd w:id="7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Код для реализации амплитудной модуляции. Информационный сигнал частотой 5 Гц модулирует несущую частоту 50 Гц путем умножения сигналов.</w:t>
      </w:r>
    </w:p>
    <w:bookmarkEnd w:id="71"/>
    <w:bookmarkEnd w:id="72"/>
    <w:bookmarkStart w:id="93" w:name="Xf46e40cec498aeaee43243b0af68168c7cde12d"/>
    <w:p>
      <w:pPr>
        <w:pStyle w:val="Heading2"/>
      </w:pPr>
      <w:r>
        <w:t xml:space="preserve">3.5 5. Кодирование сигналов и исследование самосинхронизации</w:t>
      </w:r>
    </w:p>
    <w:bookmarkStart w:id="77" w:name="реализация-различных-методов-кодирования"/>
    <w:p>
      <w:pPr>
        <w:pStyle w:val="Heading3"/>
      </w:pPr>
      <w:r>
        <w:t xml:space="preserve">3.5.1 5.1 Реализация различных методов кодирования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coding_main.m</w:t>
      </w:r>
      <w:r>
        <w:t xml:space="preserve"> </w:t>
      </w:r>
      <w:r>
        <w:t xml:space="preserve">для исследования методов кодирования:</w:t>
      </w:r>
    </w:p>
    <w:p>
      <w:pPr>
        <w:pStyle w:val="SourceCode"/>
      </w:pPr>
      <w:r>
        <w:rPr>
          <w:rStyle w:val="CommentTok"/>
        </w:rPr>
        <w:t xml:space="preserve">% coding_main.m - Упрощенное кодирование</w:t>
      </w:r>
      <w:r>
        <w:br/>
      </w:r>
      <w:r>
        <w:rPr>
          <w:rStyle w:val="VariableTok"/>
        </w:rPr>
        <w:t xml:space="preserve">graphics_toolkit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'gnuplot'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Тестовые данные</w:t>
      </w:r>
      <w:r>
        <w:br/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data_sync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Для проверки синхронизации</w:t>
      </w:r>
      <w:r>
        <w:br/>
      </w:r>
      <w:r>
        <w:br/>
      </w:r>
      <w:r>
        <w:rPr>
          <w:rStyle w:val="CommentTok"/>
        </w:rPr>
        <w:t xml:space="preserve">% 1. УНИПОЛЯРНОЕ КОДИРОВАНИЕ</w:t>
      </w:r>
      <w:r>
        <w:br/>
      </w:r>
      <w:r>
        <w:rPr>
          <w:rStyle w:val="VariableTok"/>
        </w:rPr>
        <w:t xml:space="preserve">unipolar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unipolar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unipolar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1 -&gt; высокий уровень</w:t>
      </w:r>
      <w:r>
        <w:br/>
      </w:r>
      <w:r>
        <w:rPr>
          <w:rStyle w:val="VariableTok"/>
        </w:rPr>
        <w:t xml:space="preserve">unipolar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unipolar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0 -&gt; низкий уровень</w:t>
      </w:r>
      <w:r>
        <w:br/>
      </w:r>
      <w:r>
        <w:br/>
      </w:r>
      <w:r>
        <w:rPr>
          <w:rStyle w:val="CommentTok"/>
        </w:rPr>
        <w:t xml:space="preserve">% Расширяем для красивого графика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unipolar_expanded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repelem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unipolar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Каждый бит 10 точек</w:t>
      </w:r>
      <w:r>
        <w:br/>
      </w:r>
      <w:r>
        <w:rPr>
          <w:rStyle w:val="VariableTok"/>
        </w:rPr>
        <w:t xml:space="preserve">t_expanded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linspace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unipolar_expanded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unipolar_expanded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'Униполярное кодирование'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"unipolar.png"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unipolar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Униполярное кодирование</w:t>
            </w:r>
          </w:p>
          <w:bookmarkEnd w:id="76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Униполярное кодирование: логической</w:t>
      </w:r>
      <w:r>
        <w:t xml:space="preserve"> </w:t>
      </w:r>
      <w:r>
        <w:t xml:space="preserve">“1”</w:t>
      </w:r>
      <w:r>
        <w:t xml:space="preserve"> </w:t>
      </w:r>
      <w:r>
        <w:t xml:space="preserve">соответствует уровень 5, логическому</w:t>
      </w:r>
      <w:r>
        <w:t xml:space="preserve"> </w:t>
      </w:r>
      <w:r>
        <w:t xml:space="preserve">“0”</w:t>
      </w:r>
      <w:r>
        <w:t xml:space="preserve"> </w:t>
      </w:r>
      <w:r>
        <w:t xml:space="preserve">- уровень 0. Каждый бит растянут на 10 точек для наглядности.</w:t>
      </w:r>
    </w:p>
    <w:bookmarkEnd w:id="77"/>
    <w:bookmarkStart w:id="82" w:name="nrz-non-return-to-zero-кодирование"/>
    <w:p>
      <w:pPr>
        <w:pStyle w:val="Heading3"/>
      </w:pPr>
      <w:r>
        <w:t xml:space="preserve">3.5.2 5.2 NRZ (Non-Return to Zero) кодирование</w:t>
      </w:r>
    </w:p>
    <w:p>
      <w:pPr>
        <w:pStyle w:val="SourceCode"/>
      </w:pPr>
      <w:r>
        <w:rPr>
          <w:rStyle w:val="CommentTok"/>
        </w:rPr>
        <w:t xml:space="preserve">% 2. NRZ (Bipolar Non-Return to Zero)</w:t>
      </w:r>
      <w:r>
        <w:br/>
      </w:r>
      <w:r>
        <w:rPr>
          <w:rStyle w:val="VariableTok"/>
        </w:rPr>
        <w:t xml:space="preserve">nrz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nrz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nrz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nrz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nrz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nrz_expanded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repelem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nrz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t_expanded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nrz_expanded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'NRZ кодирование'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"nrz.png"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nrz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NRZ кодирование</w:t>
            </w:r>
          </w:p>
          <w:bookmarkEnd w:id="81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NRZ кодирование использует два уровня: +3 для</w:t>
      </w:r>
      <w:r>
        <w:t xml:space="preserve"> </w:t>
      </w:r>
      <w:r>
        <w:t xml:space="preserve">“1”</w:t>
      </w:r>
      <w:r>
        <w:t xml:space="preserve"> </w:t>
      </w:r>
      <w:r>
        <w:t xml:space="preserve">и -3 для</w:t>
      </w:r>
      <w:r>
        <w:t xml:space="preserve"> </w:t>
      </w:r>
      <w:r>
        <w:t xml:space="preserve">“0”</w:t>
      </w:r>
      <w:r>
        <w:t xml:space="preserve">. Уровень не возвращается к нулю между битами.</w:t>
      </w:r>
    </w:p>
    <w:bookmarkEnd w:id="82"/>
    <w:bookmarkStart w:id="91" w:name="манчестерское-кодирование"/>
    <w:p>
      <w:pPr>
        <w:pStyle w:val="Heading3"/>
      </w:pPr>
      <w:r>
        <w:t xml:space="preserve">3.5.3 5.3 Манчестерское кодирование</w:t>
      </w:r>
    </w:p>
    <w:p>
      <w:pPr>
        <w:pStyle w:val="SourceCode"/>
      </w:pPr>
      <w:r>
        <w:rPr>
          <w:rStyle w:val="CommentTok"/>
        </w:rPr>
        <w:t xml:space="preserve">% 3. МАНЧЕСТЕРСКОЕ КОДИРОВАНИЕ (упрощенное)</w:t>
      </w:r>
      <w:r>
        <w:br/>
      </w:r>
      <w:r>
        <w:rPr>
          <w:rStyle w:val="VariableTok"/>
        </w:rPr>
        <w:t xml:space="preserve">manchester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manchester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manchester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1: высокий-низкий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manchester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manchester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0: низкий-высокий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manchester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'Манчестерское кодирование'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"manchester.png"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3"/>
          <w:p>
            <w:pPr>
              <w:pStyle w:val="Compact"/>
              <w:jc w:val="center"/>
            </w:pPr>
            <w:r>
              <w:drawing>
                <wp:inline>
                  <wp:extent cx="3733800" cy="280356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manchester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Манчестерское кодирование</w:t>
            </w:r>
          </w:p>
          <w:bookmarkEnd w:id="86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Манчестерское кодирование: для</w:t>
      </w:r>
      <w:r>
        <w:t xml:space="preserve"> </w:t>
      </w:r>
      <w:r>
        <w:t xml:space="preserve">“1”</w:t>
      </w:r>
      <w:r>
        <w:t xml:space="preserve"> </w:t>
      </w:r>
      <w:r>
        <w:t xml:space="preserve">переход от высокого уровня к низкому в середине бита, для</w:t>
      </w:r>
      <w:r>
        <w:t xml:space="preserve"> </w:t>
      </w:r>
      <w:r>
        <w:t xml:space="preserve">“0”</w:t>
      </w:r>
      <w:r>
        <w:t xml:space="preserve"> </w:t>
      </w:r>
      <w:r>
        <w:t xml:space="preserve">- от низкого к высокому. Обеспечивает самосинхронизацию.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r>
              <w:drawing>
                <wp:inline>
                  <wp:extent cx="3733800" cy="494382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Код для кодирования сигналов</w:t>
            </w:r>
          </w:p>
          <w:bookmarkEnd w:id="90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Код для реализации трех методов кодирования: униполярного, NRZ и манчестерского. Включает проверку свойства самосинхронизации.</w:t>
      </w:r>
    </w:p>
    <w:bookmarkEnd w:id="91"/>
    <w:bookmarkStart w:id="92" w:name="исследование-свойства-самосинхронизации"/>
    <w:p>
      <w:pPr>
        <w:pStyle w:val="Heading3"/>
      </w:pPr>
      <w:r>
        <w:t xml:space="preserve">3.5.4 5.4 Исследование свойства самосинхронизации</w:t>
      </w:r>
    </w:p>
    <w:p>
      <w:pPr>
        <w:pStyle w:val="FirstParagraph"/>
      </w:pPr>
      <w:r>
        <w:rPr>
          <w:b/>
          <w:bCs/>
        </w:rPr>
        <w:t xml:space="preserve">Результаты исследования: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Униполярное кодирование</w:t>
      </w:r>
      <w:r>
        <w:t xml:space="preserve">: не обеспечивает самосинхронизацию при длинных последовательностях одинаковых битов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NRZ кодирование</w:t>
      </w:r>
      <w:r>
        <w:t xml:space="preserve">: также не обеспечивает самосинхронизацию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Манчестерское кодирование</w:t>
      </w:r>
      <w:r>
        <w:t xml:space="preserve">: обеспечивает самосинхронизацию благодаря обязательному переходу уровня в середине каждого битового интервала</w:t>
      </w:r>
    </w:p>
    <w:bookmarkEnd w:id="92"/>
    <w:bookmarkEnd w:id="93"/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№1</w:t>
      </w:r>
      <w:r>
        <w:t xml:space="preserve"> </w:t>
      </w:r>
      <w:r>
        <w:t xml:space="preserve">“Методы кодирования и модуляции сигналов”</w:t>
      </w:r>
      <w:r>
        <w:t xml:space="preserve"> </w:t>
      </w:r>
      <w:r>
        <w:t xml:space="preserve">были изучены основные методы обработки сигналов с использованием языка программирования Octave.</w:t>
      </w:r>
    </w:p>
    <w:p>
      <w:pPr>
        <w:pStyle w:val="BodyText"/>
      </w:pPr>
      <w:r>
        <w:t xml:space="preserve">Были успешно выполнены все задания: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Построены графики сумм гармонических функций</w:t>
      </w:r>
      <w:r>
        <w:t xml:space="preserve">, что позволило визуализировать интерференцию гармоник разных частот.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Реализовано разложение меандра в ряд Фурье</w:t>
      </w:r>
      <w:r>
        <w:t xml:space="preserve">, продемонстрировав аппроксимацию прямоугольного сигнала суммой синусоидальных гармоник.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Проведен спектральный анализ сигналов</w:t>
      </w:r>
      <w:r>
        <w:t xml:space="preserve"> </w:t>
      </w:r>
      <w:r>
        <w:t xml:space="preserve">с использованием быстрого преобразования Фурье (БПФ), подтвердивший линейность преобразования Фурье: спектр суммы сигналов равен сумме спектров.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Исследована амплитудная модуляция</w:t>
      </w:r>
      <w:r>
        <w:t xml:space="preserve">, показавшая, как информационный сигнал может изменять амплитуду несущего колебания.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Реализованы различные методы кодирования</w:t>
      </w:r>
      <w:r>
        <w:t xml:space="preserve"> </w:t>
      </w:r>
      <w:r>
        <w:t xml:space="preserve">(униполярное, NRZ, манчестерское) и исследовано свойство самосинхронизации, важное для надежной передачи цифровых данных.</w:t>
      </w:r>
    </w:p>
    <w:p>
      <w:pPr>
        <w:pStyle w:val="FirstParagraph"/>
      </w:pPr>
      <w:r>
        <w:t xml:space="preserve">Работа выполнена с учетом ограничений вычислительных ресурсов: использованы оптимизированные параметры дискретизации и упрощенные алгоритмы для предотвращения лагов и перегрузки системы.</w:t>
      </w:r>
    </w:p>
    <w:p>
      <w:pPr>
        <w:pStyle w:val="BodyText"/>
      </w:pPr>
      <w:r>
        <w:t xml:space="preserve">Полученные практические навыки работы с Octave и понимание методов обработки сигналов являются важной основой для дальнейшего изучения сетевых технологий и систем передачи данных.</w:t>
      </w:r>
    </w:p>
    <w:bookmarkEnd w:id="95"/>
    <w:bookmarkStart w:id="96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4"/>
        </w:numPr>
      </w:pPr>
      <w:r>
        <w:t xml:space="preserve">Королькова А. В., Кулябов Д. С. Сетевые технологии. Лабораторный практикум. — М.: РУДН, 2024.</w:t>
      </w:r>
    </w:p>
    <w:p>
      <w:pPr>
        <w:numPr>
          <w:ilvl w:val="0"/>
          <w:numId w:val="1004"/>
        </w:numPr>
      </w:pPr>
      <w:r>
        <w:t xml:space="preserve">GNU Octave Documentation. — URL: https://docs.octave.org/</w:t>
      </w:r>
    </w:p>
    <w:p>
      <w:pPr>
        <w:numPr>
          <w:ilvl w:val="0"/>
          <w:numId w:val="1004"/>
        </w:numPr>
      </w:pPr>
      <w:r>
        <w:t xml:space="preserve">Теорема Котельникова (Найквиста-Шеннона). — URL: https://ru.wikipedia.org/wiki/Теорема_Котельникова</w:t>
      </w:r>
    </w:p>
    <w:p>
      <w:pPr>
        <w:numPr>
          <w:ilvl w:val="0"/>
          <w:numId w:val="1004"/>
        </w:numPr>
      </w:pPr>
      <w:r>
        <w:t xml:space="preserve">Методы кодирования цифровых сигналов. — URL: https://ru.wikipedia.org/wiki/Линейное_кодирование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67" Target="media/rId67.png" /><Relationship Type="http://schemas.openxmlformats.org/officeDocument/2006/relationships/image" Id="rId87" Target="media/rId87.png" /><Relationship Type="http://schemas.openxmlformats.org/officeDocument/2006/relationships/image" Id="rId63" Target="media/rId63.png" /><Relationship Type="http://schemas.openxmlformats.org/officeDocument/2006/relationships/image" Id="rId83" Target="media/rId83.png" /><Relationship Type="http://schemas.openxmlformats.org/officeDocument/2006/relationships/image" Id="rId33" Target="media/rId33.png" /><Relationship Type="http://schemas.openxmlformats.org/officeDocument/2006/relationships/image" Id="rId78" Target="media/rId78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2026-03-18T04:03:48Z</dcterms:created>
  <dcterms:modified xsi:type="dcterms:W3CDTF">2026-03-18T04:03:48Z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№1</vt:lpwstr>
  </property>
  <property fmtid="{D5CDD505-2E9C-101B-9397-08002B2CF9AE}" pid="18" name="toc-title">
    <vt:lpwstr>Содержание</vt:lpwstr>
  </property>
</Properties>
</file>