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26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Сетевые технологии</w:t>
      </w:r>
    </w:p>
    <w:p>
      <w:pPr>
        <w:pStyle w:val="Subtitle"/>
      </w:pPr>
      <w:r>
        <w:t xml:space="preserve">Лабораторная работа №2</w:t>
      </w:r>
    </w:p>
    <w:p>
      <w:pPr>
        <w:pStyle w:val="Author"/>
      </w:pPr>
      <w:r>
        <w:t xml:space="preserve">Просина Ксения Максимовна</w:t>
      </w:r>
    </w:p>
    <w:p>
      <w:pPr>
        <w:pStyle w:val="Date"/>
      </w:pPr>
      <w:r>
        <w:t xml:space="preserve">2026-03-18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Оценить работоспособность 100-мегабитной сети Fast Ethernet в соответствии с первой и второй моделями для шести различных конфигураций сети.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Fast Ethernet — технология локальных сетей, обеспечивающая скорость передачи данных 100 Мбит/с. Основой оценки работоспособности сети являются две модели анализа.</w:t>
      </w:r>
    </w:p>
    <w:p>
      <w:pPr>
        <w:pStyle w:val="BodyText"/>
      </w:pPr>
      <w:r>
        <w:t xml:space="preserve">Первая модель устанавливает структурные ограничения: длина каждого сегмента витой пары должна быть меньше 100 м, а диаметр домена коллизий для двух повторителей класса II — меньше 205 м.</w:t>
      </w:r>
    </w:p>
    <w:p>
      <w:pPr>
        <w:pStyle w:val="BodyText"/>
      </w:pPr>
      <w:r>
        <w:t xml:space="preserve">Вторая модель оценивает временные параметры: время двойного оборота сигнала по наихудшему пути не должно превышать 512 битовых интервалов.</w:t>
      </w:r>
    </w:p>
    <w:p>
      <w:pPr>
        <w:pStyle w:val="CaptionedFigure"/>
      </w:pPr>
      <w:r>
        <w:drawing>
          <wp:inline>
            <wp:extent cx="5334000" cy="2828817"/>
            <wp:effectExtent b="0" l="0" r="0" t="0"/>
            <wp:docPr descr="Топология сети Fast Ethernet" title="" id="23" name="Picture"/>
            <a:graphic>
              <a:graphicData uri="http://schemas.openxmlformats.org/drawingml/2006/picture">
                <pic:pic>
                  <pic:nvPicPr>
                    <pic:cNvPr descr="image/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8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Fast Ethernet</w:t>
      </w:r>
    </w:p>
    <w:bookmarkEnd w:id="25"/>
    <w:bookmarkStart w:id="36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bookmarkStart w:id="29" w:name="анализ-конфигураций-сети"/>
    <w:p>
      <w:pPr>
        <w:pStyle w:val="Heading2"/>
      </w:pPr>
      <w:r>
        <w:t xml:space="preserve">4.1 Анализ конфигураций сети</w:t>
      </w:r>
    </w:p>
    <w:p>
      <w:pPr>
        <w:pStyle w:val="FirstParagraph"/>
      </w:pPr>
      <w:r>
        <w:t xml:space="preserve">Для анализа были предоставлены шесть различных конфигураций сети Fast Ethernet. Топология сети включает пять узлов, два повторителя класса II и шесть сегментов 100BASE-TX.</w:t>
      </w:r>
    </w:p>
    <w:p>
      <w:pPr>
        <w:pStyle w:val="BodyText"/>
      </w:pPr>
      <w:r>
        <w:t xml:space="preserve">Каждая конфигурация отличается длинами сегментов, что влияет на итоговую работоспособность сети по обеим моделям анализа.</w:t>
      </w:r>
    </w:p>
    <w:p>
      <w:pPr>
        <w:pStyle w:val="CaptionedFigure"/>
      </w:pPr>
      <w:r>
        <w:drawing>
          <wp:inline>
            <wp:extent cx="5334000" cy="2976632"/>
            <wp:effectExtent b="0" l="0" r="0" t="0"/>
            <wp:docPr descr="Таблица вариантов конфигураций сети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66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Таблица вариантов конфигураций сети</w:t>
      </w:r>
    </w:p>
    <w:bookmarkEnd w:id="29"/>
    <w:bookmarkStart w:id="30" w:name="проверка-по-первой-модели"/>
    <w:p>
      <w:pPr>
        <w:pStyle w:val="Heading2"/>
      </w:pPr>
      <w:r>
        <w:t xml:space="preserve">4.2 Проверка по первой модели</w:t>
      </w:r>
    </w:p>
    <w:p>
      <w:pPr>
        <w:pStyle w:val="FirstParagraph"/>
      </w:pPr>
      <w:r>
        <w:t xml:space="preserve">Первое условие первой модели проверялось для всех шести конфигураций. Все сегменты во всех вариантах имеют длину меньше 100 м, поэтому это условие выполняется для всех вариантов.</w:t>
      </w:r>
    </w:p>
    <w:p>
      <w:pPr>
        <w:pStyle w:val="BodyText"/>
      </w:pPr>
      <w:r>
        <w:t xml:space="preserve">Второе условие требует, чтобы диаметр домена коллизий был меньше 205 м. Расчет проводился для наихудшего пути через сегменты 1, 4 и 6:</w:t>
      </w:r>
    </w:p>
    <w:p>
      <w:pPr>
        <w:pStyle w:val="Compact"/>
        <w:numPr>
          <w:ilvl w:val="0"/>
          <w:numId w:val="1001"/>
        </w:numPr>
      </w:pPr>
      <w:r>
        <w:t xml:space="preserve">Вариант 1: 96 + 5 + 97 = 198 м (выполняется)</w:t>
      </w:r>
    </w:p>
    <w:p>
      <w:pPr>
        <w:pStyle w:val="Compact"/>
        <w:numPr>
          <w:ilvl w:val="0"/>
          <w:numId w:val="1001"/>
        </w:numPr>
      </w:pPr>
      <w:r>
        <w:t xml:space="preserve">Вариант 2: 95 + 90 + 98 = 283 м (не выполняется)</w:t>
      </w:r>
    </w:p>
    <w:p>
      <w:pPr>
        <w:pStyle w:val="Compact"/>
        <w:numPr>
          <w:ilvl w:val="0"/>
          <w:numId w:val="1001"/>
        </w:numPr>
      </w:pPr>
      <w:r>
        <w:t xml:space="preserve">Вариант 3: 60 + 5 + 100 = 165 м (выполняется)</w:t>
      </w:r>
    </w:p>
    <w:p>
      <w:pPr>
        <w:pStyle w:val="Compact"/>
        <w:numPr>
          <w:ilvl w:val="0"/>
          <w:numId w:val="1001"/>
        </w:numPr>
      </w:pPr>
      <w:r>
        <w:t xml:space="preserve">Вариант 4: 70 + 4 + 80 = 154 м (выполняется)</w:t>
      </w:r>
    </w:p>
    <w:p>
      <w:pPr>
        <w:pStyle w:val="Compact"/>
        <w:numPr>
          <w:ilvl w:val="0"/>
          <w:numId w:val="1001"/>
        </w:numPr>
      </w:pPr>
      <w:r>
        <w:t xml:space="preserve">Вариант 5: 60 + 15 + 100 = 175 м (выполняется)</w:t>
      </w:r>
    </w:p>
    <w:p>
      <w:pPr>
        <w:pStyle w:val="Compact"/>
        <w:numPr>
          <w:ilvl w:val="0"/>
          <w:numId w:val="1001"/>
        </w:numPr>
      </w:pPr>
      <w:r>
        <w:t xml:space="preserve">Вариант 6: 70 + 9 + 100 = 179 м (выполняется)</w:t>
      </w:r>
    </w:p>
    <w:bookmarkEnd w:id="30"/>
    <w:bookmarkStart w:id="34" w:name="проверка-по-второй-модели"/>
    <w:p>
      <w:pPr>
        <w:pStyle w:val="Heading2"/>
      </w:pPr>
      <w:r>
        <w:t xml:space="preserve">4.3 Проверка по второй модели</w:t>
      </w:r>
    </w:p>
    <w:p>
      <w:pPr>
        <w:pStyle w:val="FirstParagraph"/>
      </w:pPr>
      <w:r>
        <w:t xml:space="preserve">Вторая модель требует расчета времени двойного оборота сигнала. Используется формула: T = 100 + (L1 + L4 + L6) × 1,112 + 2 × 92 + 4.</w:t>
      </w:r>
    </w:p>
    <w:p>
      <w:pPr>
        <w:pStyle w:val="CaptionedFigure"/>
      </w:pPr>
      <w:r>
        <w:drawing>
          <wp:inline>
            <wp:extent cx="5334000" cy="2360083"/>
            <wp:effectExtent b="0" l="0" r="0" t="0"/>
            <wp:docPr descr="Пример расчёта времени двойного оборота" title="" id="32" name="Picture"/>
            <a:graphic>
              <a:graphicData uri="http://schemas.openxmlformats.org/drawingml/2006/picture">
                <pic:pic>
                  <pic:nvPicPr>
                    <pic:cNvPr descr="image/1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Пример расчёта времени двойного оборота</w:t>
      </w:r>
    </w:p>
    <w:p>
      <w:pPr>
        <w:pStyle w:val="BodyText"/>
      </w:pPr>
      <w:r>
        <w:t xml:space="preserve">Расчеты для каждой конфигурации:</w:t>
      </w:r>
    </w:p>
    <w:p>
      <w:pPr>
        <w:pStyle w:val="Compact"/>
        <w:numPr>
          <w:ilvl w:val="0"/>
          <w:numId w:val="1002"/>
        </w:numPr>
      </w:pPr>
      <w:r>
        <w:t xml:space="preserve">Вариант 1: 508,18 бит (выполняется)</w:t>
      </w:r>
    </w:p>
    <w:p>
      <w:pPr>
        <w:pStyle w:val="Compact"/>
        <w:numPr>
          <w:ilvl w:val="0"/>
          <w:numId w:val="1002"/>
        </w:numPr>
      </w:pPr>
      <w:r>
        <w:t xml:space="preserve">Вариант 2: 533,22 бит (не выполняется)</w:t>
      </w:r>
    </w:p>
    <w:p>
      <w:pPr>
        <w:pStyle w:val="Compact"/>
        <w:numPr>
          <w:ilvl w:val="0"/>
          <w:numId w:val="1002"/>
        </w:numPr>
      </w:pPr>
      <w:r>
        <w:t xml:space="preserve">Вариант 3: 487,48 бит (выполняется)</w:t>
      </w:r>
    </w:p>
    <w:p>
      <w:pPr>
        <w:pStyle w:val="Compact"/>
        <w:numPr>
          <w:ilvl w:val="0"/>
          <w:numId w:val="1002"/>
        </w:numPr>
      </w:pPr>
      <w:r>
        <w:t xml:space="preserve">Вариант 4: 475,25 бит (выполняется)</w:t>
      </w:r>
    </w:p>
    <w:p>
      <w:pPr>
        <w:pStyle w:val="Compact"/>
        <w:numPr>
          <w:ilvl w:val="0"/>
          <w:numId w:val="1002"/>
        </w:numPr>
      </w:pPr>
      <w:r>
        <w:t xml:space="preserve">Вариант 5: 498,60 бит (выполняется)</w:t>
      </w:r>
    </w:p>
    <w:p>
      <w:pPr>
        <w:pStyle w:val="Compact"/>
        <w:numPr>
          <w:ilvl w:val="0"/>
          <w:numId w:val="1002"/>
        </w:numPr>
      </w:pPr>
      <w:r>
        <w:t xml:space="preserve">Вариант 6: 503,05 бит (выполняется)</w:t>
      </w:r>
    </w:p>
    <w:bookmarkEnd w:id="34"/>
    <w:bookmarkStart w:id="35" w:name="сводный-анализ-результатов"/>
    <w:p>
      <w:pPr>
        <w:pStyle w:val="Heading2"/>
      </w:pPr>
      <w:r>
        <w:t xml:space="preserve">4.4 Сводный анализ результатов</w:t>
      </w:r>
    </w:p>
    <w:p>
      <w:pPr>
        <w:pStyle w:val="FirstParagraph"/>
      </w:pPr>
      <w:r>
        <w:t xml:space="preserve">Итоговая оценка работоспособности всех шести конфигураций показывает:</w:t>
      </w:r>
    </w:p>
    <w:p>
      <w:pPr>
        <w:pStyle w:val="Compact"/>
        <w:numPr>
          <w:ilvl w:val="0"/>
          <w:numId w:val="1003"/>
        </w:numPr>
      </w:pPr>
      <w:r>
        <w:t xml:space="preserve">Вариант 1: Работоспособен по обеим моделям</w:t>
      </w:r>
    </w:p>
    <w:p>
      <w:pPr>
        <w:pStyle w:val="Compact"/>
        <w:numPr>
          <w:ilvl w:val="0"/>
          <w:numId w:val="1003"/>
        </w:numPr>
      </w:pPr>
      <w:r>
        <w:t xml:space="preserve">Вариант 2: Неработоспособен по обеим моделям</w:t>
      </w:r>
    </w:p>
    <w:p>
      <w:pPr>
        <w:pStyle w:val="Compact"/>
        <w:numPr>
          <w:ilvl w:val="0"/>
          <w:numId w:val="1003"/>
        </w:numPr>
      </w:pPr>
      <w:r>
        <w:t xml:space="preserve">Вариант 3: Работоспособен по обеим моделям</w:t>
      </w:r>
    </w:p>
    <w:p>
      <w:pPr>
        <w:pStyle w:val="Compact"/>
        <w:numPr>
          <w:ilvl w:val="0"/>
          <w:numId w:val="1003"/>
        </w:numPr>
      </w:pPr>
      <w:r>
        <w:t xml:space="preserve">Вариант 4: Работоспособен по обеим моделям</w:t>
      </w:r>
    </w:p>
    <w:p>
      <w:pPr>
        <w:pStyle w:val="Compact"/>
        <w:numPr>
          <w:ilvl w:val="0"/>
          <w:numId w:val="1003"/>
        </w:numPr>
      </w:pPr>
      <w:r>
        <w:t xml:space="preserve">Вариант 5: Работоспособен по обеим моделям</w:t>
      </w:r>
    </w:p>
    <w:p>
      <w:pPr>
        <w:pStyle w:val="Compact"/>
        <w:numPr>
          <w:ilvl w:val="0"/>
          <w:numId w:val="1003"/>
        </w:numPr>
      </w:pPr>
      <w:r>
        <w:t xml:space="preserve">Вариант 6: Работоспособен по обеим моделям</w:t>
      </w:r>
    </w:p>
    <w:p>
      <w:pPr>
        <w:pStyle w:val="FirstParagraph"/>
      </w:pPr>
      <w:r>
        <w:t xml:space="preserve">Таким образом, из шести предложенных конфигураций только вариант 2 является неработоспособным, остальные пять конфигураций полностью работоспособны.</w:t>
      </w:r>
    </w:p>
    <w:bookmarkEnd w:id="35"/>
    <w:bookmarkEnd w:id="36"/>
    <w:bookmarkStart w:id="37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Что такое домен коллизий в сети Ethernet?</w:t>
      </w:r>
    </w:p>
    <w:p>
      <w:pPr>
        <w:numPr>
          <w:ilvl w:val="0"/>
          <w:numId w:val="1000"/>
        </w:numPr>
      </w:pPr>
      <w:r>
        <w:t xml:space="preserve">Домен коллизий — это группа сетевых устройств, которые конкурируют за общую среду передачи данных. При возникновении коллизии в любой точке домена, она распространяется на все устройства этого домена.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Каковы основные различия между повторителями класса I и класса II?</w:t>
      </w:r>
    </w:p>
    <w:p>
      <w:pPr>
        <w:numPr>
          <w:ilvl w:val="0"/>
          <w:numId w:val="1000"/>
        </w:numPr>
      </w:pPr>
      <w:r>
        <w:t xml:space="preserve">Повторители класса I выполняют преобразование входных сигналов в цифровой вид, а при передаче снова перекодируют цифровые данные в физические сигналы. В домене коллизий допускается только один повторитель класса I.</w:t>
      </w:r>
    </w:p>
    <w:p>
      <w:pPr>
        <w:numPr>
          <w:ilvl w:val="0"/>
          <w:numId w:val="1000"/>
        </w:numPr>
      </w:pPr>
      <w:r>
        <w:t xml:space="preserve">Повторители класса II немедленно передают полученные сигналы без всякого преобразования. Можно использовать не более двух повторителей класса II в одном домене коллизий.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Почему в Fast Ethernet битовый интервал составляет 0,01 мкс?</w:t>
      </w:r>
    </w:p>
    <w:p>
      <w:pPr>
        <w:numPr>
          <w:ilvl w:val="0"/>
          <w:numId w:val="1000"/>
        </w:numPr>
      </w:pPr>
      <w:r>
        <w:t xml:space="preserve">Биттовый интервал определяется как величина, обратная скорости передачи. Для скорости 100 Мбит/с время передачи одного бита составляет 0,01 мкс, что в 10 раз меньше, чем в Ethernet (0,1 мкс), что соответствует десятикратному увеличению скорости.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Каково условие работоспособности сети по второй модели расчёта?</w:t>
      </w:r>
    </w:p>
    <w:p>
      <w:pPr>
        <w:numPr>
          <w:ilvl w:val="0"/>
          <w:numId w:val="1000"/>
        </w:numPr>
      </w:pPr>
      <w:r>
        <w:t xml:space="preserve">Суммарное время двойного оборота сигнала по наихудшему пути не должно превышать 512 битовых интервалов.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Как можно исправить неработоспособную конфигурацию сети?</w:t>
      </w:r>
    </w:p>
    <w:p>
      <w:pPr>
        <w:numPr>
          <w:ilvl w:val="0"/>
          <w:numId w:val="1000"/>
        </w:numPr>
      </w:pPr>
      <w:r>
        <w:t xml:space="preserve">Для исправления неработоспособных конфигураций можно:</w:t>
      </w:r>
    </w:p>
    <w:p>
      <w:pPr>
        <w:pStyle w:val="Compact"/>
        <w:numPr>
          <w:ilvl w:val="1"/>
          <w:numId w:val="1005"/>
        </w:numPr>
      </w:pPr>
      <w:r>
        <w:t xml:space="preserve">Уменьшить длину самых длинных сегментов</w:t>
      </w:r>
    </w:p>
    <w:p>
      <w:pPr>
        <w:pStyle w:val="Compact"/>
        <w:numPr>
          <w:ilvl w:val="1"/>
          <w:numId w:val="1005"/>
        </w:numPr>
      </w:pPr>
      <w:r>
        <w:t xml:space="preserve">Заменить один из повторителей класса II на коммутатор</w:t>
      </w:r>
    </w:p>
    <w:p>
      <w:pPr>
        <w:pStyle w:val="Compact"/>
        <w:numPr>
          <w:ilvl w:val="1"/>
          <w:numId w:val="1005"/>
        </w:numPr>
      </w:pPr>
      <w:r>
        <w:t xml:space="preserve">Использовать более качественный кабель с меньшей задержкой распространения</w:t>
      </w:r>
    </w:p>
    <w:p>
      <w:pPr>
        <w:pStyle w:val="Compact"/>
        <w:numPr>
          <w:ilvl w:val="1"/>
          <w:numId w:val="1005"/>
        </w:numPr>
      </w:pPr>
      <w:r>
        <w:t xml:space="preserve">Увеличить количество коллизионных доменов путём сегментации сети</w:t>
      </w:r>
    </w:p>
    <w:bookmarkEnd w:id="37"/>
    <w:bookmarkStart w:id="38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выполнения лабораторной работы №2 были изучены принципы технологии Fast Ethernet и освоены методики оценки работоспособности сети. Были выполнены следующие задачи:</w:t>
      </w:r>
    </w:p>
    <w:p>
      <w:pPr>
        <w:pStyle w:val="Compact"/>
        <w:numPr>
          <w:ilvl w:val="0"/>
          <w:numId w:val="1006"/>
        </w:numPr>
      </w:pPr>
      <w:r>
        <w:t xml:space="preserve">Изучены теоретические основы Ethernet и Fast Ethernet</w:t>
      </w:r>
    </w:p>
    <w:p>
      <w:pPr>
        <w:pStyle w:val="Compact"/>
        <w:numPr>
          <w:ilvl w:val="0"/>
          <w:numId w:val="1006"/>
        </w:numPr>
      </w:pPr>
      <w:r>
        <w:t xml:space="preserve">Освоены две модели оценки работоспособности сети</w:t>
      </w:r>
    </w:p>
    <w:p>
      <w:pPr>
        <w:pStyle w:val="Compact"/>
        <w:numPr>
          <w:ilvl w:val="0"/>
          <w:numId w:val="1006"/>
        </w:numPr>
      </w:pPr>
      <w:r>
        <w:t xml:space="preserve">Проведён анализ шести различных конфигураций сети</w:t>
      </w:r>
    </w:p>
    <w:p>
      <w:pPr>
        <w:pStyle w:val="Compact"/>
        <w:numPr>
          <w:ilvl w:val="0"/>
          <w:numId w:val="1006"/>
        </w:numPr>
      </w:pPr>
      <w:r>
        <w:t xml:space="preserve">Определено, что 5 из 6 конфигураций являются работоспособными</w:t>
      </w:r>
    </w:p>
    <w:p>
      <w:pPr>
        <w:pStyle w:val="Compact"/>
        <w:numPr>
          <w:ilvl w:val="0"/>
          <w:numId w:val="1006"/>
        </w:numPr>
      </w:pPr>
      <w:r>
        <w:t xml:space="preserve">Установлена причина неработоспособности варианта 2 - превышение как диаметра домена коллизий, так и времени двойного оборота сигнала</w:t>
      </w:r>
    </w:p>
    <w:p>
      <w:pPr>
        <w:pStyle w:val="FirstParagraph"/>
      </w:pPr>
      <w:r>
        <w:t xml:space="preserve">Работа продемонстрировала важность комплексного подхода к проектированию сетей, учитывающего как структурные ограничения, так и временные параметры передачи сигналов.</w:t>
      </w:r>
    </w:p>
    <w:bookmarkEnd w:id="38"/>
    <w:bookmarkStart w:id="39" w:name="список-литературы"/>
    <w:p>
      <w:pPr>
        <w:pStyle w:val="Heading1"/>
      </w:pPr>
      <w:r>
        <w:t xml:space="preserve">7. Список литературы</w:t>
      </w:r>
    </w:p>
    <w:p>
      <w:pPr>
        <w:pStyle w:val="Compact"/>
        <w:numPr>
          <w:ilvl w:val="0"/>
          <w:numId w:val="1007"/>
        </w:numPr>
      </w:pPr>
      <w:r>
        <w:t xml:space="preserve">IEEE 802.3-2018 Standard for Ethernet. — URL: https://standards.ieee.org/ieee/802.3/6829/</w:t>
      </w:r>
    </w:p>
    <w:p>
      <w:pPr>
        <w:pStyle w:val="Compact"/>
        <w:numPr>
          <w:ilvl w:val="0"/>
          <w:numId w:val="1007"/>
        </w:numPr>
      </w:pPr>
      <w:r>
        <w:t xml:space="preserve">Fast Ethernet Technology. — URL: https://www.cisco.com/c/en/us/td/docs/net_mgmt/ethermanager/3-0/user/guide/fasteth.html</w:t>
      </w:r>
    </w:p>
    <w:p>
      <w:pPr>
        <w:pStyle w:val="Compact"/>
        <w:numPr>
          <w:ilvl w:val="0"/>
          <w:numId w:val="1007"/>
        </w:numPr>
      </w:pPr>
      <w:r>
        <w:t xml:space="preserve">Олифер В. Г., Олифер Н. А. Компьютерные сети. Принципы, технологии, протоколы. — СПб.: Питер, 2016. — 992 с.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1" Target="media/rId31.png" /><Relationship Type="http://schemas.openxmlformats.org/officeDocument/2006/relationships/image" Id="rId26" Target="media/rId26.png" /><Relationship Type="http://schemas.openxmlformats.org/officeDocument/2006/relationships/image" Id="rId22" Target="media/rId2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Сетевые технологии</dc:title>
  <dc:creator>Просина Ксения Максимовна</dc:creator>
  <dc:language>ru-RU</dc:language>
  <cp:keywords/>
  <dcterms:created xsi:type="dcterms:W3CDTF">2026-03-18T04:24:24Z</dcterms:created>
  <dcterms:modified xsi:type="dcterms:W3CDTF">2026-03-18T04:24:24Z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date">
    <vt:lpwstr>2026-03-18</vt:lpwstr>
  </property>
  <property fmtid="{D5CDD505-2E9C-101B-9397-08002B2CF9AE}" pid="11" name="date-format">
    <vt:lpwstr>YYYY-MM-DD</vt:lpwstr>
  </property>
  <property fmtid="{D5CDD505-2E9C-101B-9397-08002B2CF9AE}" pid="12" name="header-includes">
    <vt:lpwstr/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Лабораторная работа №2</vt:lpwstr>
  </property>
  <property fmtid="{D5CDD505-2E9C-101B-9397-08002B2CF9AE}" pid="18" name="toc-title">
    <vt:lpwstr>Содержание</vt:lpwstr>
  </property>
</Properties>
</file>