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80a0f"/>
          </w:tcPr>
          <w:p>
            <w:r>
              <w:rPr>
                <w:rFonts w:ascii="Arial" w:hAnsi="Arial"/>
                <w:b/>
                <w:i w:val="0"/>
                <w:color w:val="00E5C8"/>
                <w:sz w:val="22"/>
              </w:rPr>
              <w:t>TINLANCE.</w:t>
            </w:r>
            <w:r>
              <w:rPr>
                <w:rFonts w:ascii="Arial" w:hAnsi="Arial"/>
                <w:b w:val="0"/>
                <w:i w:val="0"/>
                <w:color w:val="888888"/>
                <w:sz w:val="18"/>
              </w:rPr>
              <w:t xml:space="preserve">  ·  Incident Response Playbook — FDSE Engagement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80A0F"/>
        </w:rPr>
        <w:t>Incident Response Playbook</w:t>
      </w:r>
    </w:p>
    <w:p>
      <w:r>
        <w:rPr>
          <w:rFonts w:ascii="Arial" w:hAnsi="Arial"/>
          <w:b/>
          <w:i w:val="0"/>
          <w:color w:val="00B8A0"/>
          <w:sz w:val="28"/>
        </w:rPr>
        <w:t>Prepared for: Acme Financial Services Ltd</w:t>
      </w:r>
    </w:p>
    <w:p>
      <w:r>
        <w:rPr>
          <w:rFonts w:ascii="Arial" w:hAnsi="Arial"/>
          <w:b w:val="0"/>
          <w:i w:val="0"/>
          <w:color w:val="888888"/>
          <w:sz w:val="18"/>
        </w:rPr>
        <w:t>Powered by ThreatFade v0.2.0-beta  ·  Tinlance Limited  ·  June 06, 2026</w:t>
      </w:r>
    </w:p>
    <w:p>
      <w:pPr>
        <w:pBdr>
          <w:bottom w:val="single" w:sz="6" w:space="1" w:color="00e5c8"/>
        </w:pBdr>
      </w:pPr>
    </w:p>
    <w:p>
      <w:pPr>
        <w:pStyle w:val="Heading2"/>
      </w:pPr>
      <w:r>
        <w:rPr>
          <w:rFonts w:ascii="Arial" w:hAnsi="Arial"/>
          <w:color w:val="080A0F"/>
        </w:rPr>
        <w:t>Purpose &amp; Scope</w:t>
      </w:r>
    </w:p>
    <w:p>
      <w:pPr>
        <w:spacing w:after="120"/>
      </w:pPr>
      <w:r>
        <w:rPr>
          <w:rFonts w:ascii="Arial" w:hAnsi="Arial"/>
          <w:color w:val="444444"/>
          <w:sz w:val="20"/>
        </w:rPr>
        <w:t>This Incident Response Playbook provides Acme Financial Services Ltd's security team with step-by-step response procedures for every alert severity generated by ThreatFade v0.2.0-beta. Each procedure is mapped to MITRE ATT&amp;CK TTPs, assigned response SLAs, and linked to NIS2/DORA compliance obligations where applicable.</w:t>
      </w:r>
    </w:p>
    <w:p>
      <w:pPr>
        <w:spacing w:after="120"/>
      </w:pPr>
      <w:r>
        <w:rPr>
          <w:rFonts w:ascii="Arial" w:hAnsi="Arial"/>
          <w:color w:val="444444"/>
          <w:sz w:val="20"/>
        </w:rPr>
        <w:t>This playbook is a living document. Review and update after every major incident and at minimum quarterly.</w:t>
      </w:r>
    </w:p>
    <w:p/>
    <w:p>
      <w:pPr>
        <w:pStyle w:val="Heading2"/>
      </w:pPr>
      <w:r>
        <w:rPr>
          <w:rFonts w:ascii="Arial" w:hAnsi="Arial"/>
          <w:color w:val="080A0F"/>
        </w:rPr>
        <w:t>Alert Severity Levels &amp; Response SLAs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80a0f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Severity</w:t>
            </w:r>
          </w:p>
        </w:tc>
        <w:tc>
          <w:tcPr>
            <w:tcW w:type="dxa" w:w="2493"/>
            <w:shd w:val="clear" w:color="auto" w:fill="080a0f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ThreatFade Trigger</w:t>
            </w:r>
          </w:p>
        </w:tc>
        <w:tc>
          <w:tcPr>
            <w:tcW w:type="dxa" w:w="2493"/>
            <w:shd w:val="clear" w:color="auto" w:fill="080a0f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Response SLA</w:t>
            </w:r>
          </w:p>
        </w:tc>
        <w:tc>
          <w:tcPr>
            <w:tcW w:type="dxa" w:w="2493"/>
            <w:shd w:val="clear" w:color="auto" w:fill="080a0f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Escalation</w:t>
            </w:r>
          </w:p>
        </w:tc>
      </w:tr>
      <w:tr>
        <w:tc>
          <w:tcPr>
            <w:tcW w:type="dxa" w:w="2493"/>
            <w:shd w:val="clear" w:color="auto" w:fill="ff4d6d"/>
          </w:tcPr>
          <w:p>
            <w:r>
              <w:rPr>
                <w:rFonts w:ascii="Arial" w:hAnsi="Arial"/>
                <w:b/>
                <w:i w:val="0"/>
                <w:color w:val="080A0F"/>
                <w:sz w:val="18"/>
              </w:rPr>
              <w:t>CRITICAL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z-score ≥ 7.0 or ransomware indicators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15 min response, 2 hr containment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CISO + IR Team + Legal</w:t>
            </w:r>
          </w:p>
        </w:tc>
      </w:tr>
      <w:tr>
        <w:tc>
          <w:tcPr>
            <w:tcW w:type="dxa" w:w="2493"/>
            <w:shd w:val="clear" w:color="auto" w:fill="ff8c42"/>
          </w:tcPr>
          <w:p>
            <w:r>
              <w:rPr>
                <w:rFonts w:ascii="Arial" w:hAnsi="Arial"/>
                <w:b/>
                <w:i w:val="0"/>
                <w:color w:val="080A0F"/>
                <w:sz w:val="18"/>
              </w:rPr>
              <w:t>HIGH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z-score 5.0–6.9 or CVSS 7.0–8.9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2 hr response, 8 hr containment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SOC Lead + IR Lead</w:t>
            </w:r>
          </w:p>
        </w:tc>
      </w:tr>
      <w:tr>
        <w:tc>
          <w:tcPr>
            <w:tcW w:type="dxa" w:w="2493"/>
            <w:shd w:val="clear" w:color="auto" w:fill="f5c842"/>
          </w:tcPr>
          <w:p>
            <w:r>
              <w:rPr>
                <w:rFonts w:ascii="Arial" w:hAnsi="Arial"/>
                <w:b/>
                <w:i w:val="0"/>
                <w:color w:val="080A0F"/>
                <w:sz w:val="18"/>
              </w:rPr>
              <w:t>MEDIUM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z-score 3.0–4.9 or CVSS 4.0–6.9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24 hr response, 7 day remediation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SOC Lead</w:t>
            </w:r>
          </w:p>
        </w:tc>
      </w:tr>
      <w:tr>
        <w:tc>
          <w:tcPr>
            <w:tcW w:type="dxa" w:w="2493"/>
            <w:shd w:val="clear" w:color="auto" w:fill="4ecdc4"/>
          </w:tcPr>
          <w:p>
            <w:r>
              <w:rPr>
                <w:rFonts w:ascii="Arial" w:hAnsi="Arial"/>
                <w:b/>
                <w:i w:val="0"/>
                <w:color w:val="080A0F"/>
                <w:sz w:val="18"/>
              </w:rPr>
              <w:t>LOW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z-score 1.0–2.9 or CVSS 0.1–3.9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1 week response, 4 week remediation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SOC Analyst</w:t>
            </w:r>
          </w:p>
        </w:tc>
      </w:tr>
      <w:tr>
        <w:tc>
          <w:tcPr>
            <w:tcW w:type="dxa" w:w="2493"/>
            <w:shd w:val="clear" w:color="auto" w:fill="6c8ebf"/>
          </w:tcPr>
          <w:p>
            <w:r>
              <w:rPr>
                <w:rFonts w:ascii="Arial" w:hAnsi="Arial"/>
                <w:b/>
                <w:i w:val="0"/>
                <w:color w:val="080A0F"/>
                <w:sz w:val="18"/>
              </w:rPr>
              <w:t>INFO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Informational / configuration gap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Scheduled remediation cycle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IT Admin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80A0F"/>
        </w:rPr>
        <w:t>Incident Response Contacts</w:t>
      </w:r>
    </w:p>
    <w:p>
      <w:pPr>
        <w:spacing w:after="120"/>
      </w:pPr>
      <w:r>
        <w:rPr>
          <w:rFonts w:ascii="Arial" w:hAnsi="Arial"/>
          <w:color w:val="444444"/>
          <w:sz w:val="20"/>
        </w:rPr>
        <w:t>Complete this table before your first engagement. All contacts must be reachable 24/7 for Critical incidents via out-of-band channel (phone/WhatsApp — not email).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80a0f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Role</w:t>
            </w:r>
          </w:p>
        </w:tc>
        <w:tc>
          <w:tcPr>
            <w:tcW w:type="dxa" w:w="2493"/>
            <w:shd w:val="clear" w:color="auto" w:fill="080a0f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Name</w:t>
            </w:r>
          </w:p>
        </w:tc>
        <w:tc>
          <w:tcPr>
            <w:tcW w:type="dxa" w:w="2493"/>
            <w:shd w:val="clear" w:color="auto" w:fill="080a0f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Contact</w:t>
            </w:r>
          </w:p>
        </w:tc>
        <w:tc>
          <w:tcPr>
            <w:tcW w:type="dxa" w:w="2493"/>
            <w:shd w:val="clear" w:color="auto" w:fill="080a0f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Escalation Level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CISO / Security Lead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[Name]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[Email / Phone]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All Critical + High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IR Lead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[Name]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[Email / Phone]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All Critical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SOC Lead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[Name]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[Email / Phone]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All alerts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Legal / Compliance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[Name]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[Email / Phone]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NIS2 / GDPR incidents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IT / Network Admin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[Name]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[Email / Phone]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Containment actions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Executive Sponsor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[Name]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[Email / Phone]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Critical only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Tinlance Support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Chinaemerem Nwachukwu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nwachukwuchinaemerem8@gmail.com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Technical escalation 24/7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National CSIRT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[Country CSIRT]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[CSIRT contact]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NIS2 Article 23 reporting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80A0F"/>
        </w:rPr>
        <w:t>Response Procedures by Alert Type</w:t>
      </w:r>
    </w:p>
    <w:p>
      <w:pPr>
        <w:spacing w:after="120"/>
      </w:pPr>
      <w:r>
        <w:rPr>
          <w:rFonts w:ascii="Arial" w:hAnsi="Arial"/>
          <w:color w:val="444444"/>
          <w:sz w:val="20"/>
        </w:rPr>
        <w:t>Each procedure below maps directly to a ThreatFade alert. Column headers: TIME — elapsed from detection | OWNER — responsible team | ACTION — exact step to take.</w:t>
      </w:r>
    </w:p>
    <w:p/>
    <w:p>
      <w:pPr>
        <w:pStyle w:val="Heading3"/>
      </w:pPr>
      <w:r>
        <w:rPr>
          <w:rFonts w:ascii="Arial" w:hAnsi="Arial"/>
          <w:color w:val="080A0F"/>
        </w:rPr>
        <w:t>CRITICAL — Active C2 Beacon Detected (ThreatFade z-score ≥ 7.0)</w:t>
      </w:r>
    </w:p>
    <w:p>
      <w:r>
        <w:rPr>
          <w:rFonts w:ascii="Arial" w:hAnsi="Arial"/>
          <w:b/>
          <w:i w:val="0"/>
          <w:color w:val="00E5C8"/>
          <w:sz w:val="20"/>
        </w:rPr>
        <w:t xml:space="preserve">Trigger: </w:t>
      </w:r>
      <w:r>
        <w:rPr>
          <w:rFonts w:ascii="Arial" w:hAnsi="Arial"/>
          <w:b w:val="0"/>
          <w:i w:val="0"/>
          <w:color w:val="444444"/>
          <w:sz w:val="20"/>
        </w:rPr>
        <w:t>ThreatFade detects outbound traffic with z-score ≥ 7.0 consistent with Cobalt Strike, Merlin QUIC, or similar C2 framework. Active adversary presence confirmed.</w:t>
      </w:r>
    </w:p>
    <w:p>
      <w:r>
        <w:rPr>
          <w:rFonts w:ascii="Arial" w:hAnsi="Arial"/>
          <w:b/>
          <w:i w:val="0"/>
          <w:color w:val="00E5C8"/>
          <w:sz w:val="20"/>
        </w:rPr>
        <w:t xml:space="preserve">MITRE ATT&amp;CK: </w:t>
      </w:r>
      <w:r>
        <w:rPr>
          <w:rFonts w:ascii="Arial" w:hAnsi="Arial"/>
          <w:b w:val="0"/>
          <w:i w:val="0"/>
          <w:color w:val="444444"/>
          <w:sz w:val="20"/>
        </w:rPr>
        <w:t>T1071.001 — Application Layer Protocol  ·  T1573 — Encrypted Channel  ·  T1041 — Exfiltration Over C2</w:t>
      </w:r>
    </w:p>
    <w:p>
      <w:r>
        <w:rPr>
          <w:rFonts w:ascii="Arial" w:hAnsi="Arial"/>
          <w:b/>
          <w:i w:val="0"/>
          <w:color w:val="00E5C8"/>
          <w:sz w:val="20"/>
        </w:rPr>
        <w:t xml:space="preserve">Response SLA: </w:t>
      </w:r>
      <w:r>
        <w:rPr>
          <w:rFonts w:ascii="Arial" w:hAnsi="Arial"/>
          <w:b/>
          <w:i w:val="0"/>
          <w:color w:val="FF4D6D"/>
          <w:sz w:val="20"/>
        </w:rPr>
        <w:t>Response must begin within 15 minutes. Containment within 2 hours.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4d6d"/>
          </w:tcPr>
          <w:p>
            <w:r>
              <w:rPr>
                <w:rFonts w:ascii="Arial" w:hAnsi="Arial"/>
                <w:b/>
                <w:i w:val="0"/>
                <w:color w:val="080A0F"/>
                <w:sz w:val="22"/>
              </w:rPr>
              <w:t>🚨 CRITICAL</w:t>
            </w:r>
          </w:p>
        </w:tc>
        <w:tc>
          <w:tcPr>
            <w:tcW w:type="dxa" w:w="4986"/>
            <w:shd w:val="clear" w:color="auto" w:fill="ff4d6d"/>
          </w:tcPr>
          <w:p>
            <w:r>
              <w:rPr>
                <w:rFonts w:ascii="Arial" w:hAnsi="Arial"/>
                <w:b/>
                <w:i w:val="0"/>
                <w:color w:val="080A0F"/>
                <w:sz w:val="22"/>
              </w:rPr>
              <w:t>Step-by-step procedure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4d6d"/>
          </w:tcPr>
          <w:p>
            <w:r>
              <w:rPr>
                <w:rFonts w:ascii="Arial" w:hAnsi="Arial"/>
                <w:b/>
                <w:i w:val="0"/>
                <w:color w:val="080A0F"/>
                <w:sz w:val="18"/>
              </w:rPr>
              <w:t>T+0 min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SOC Analyst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Verify ThreatFade alert — check z-score, entropy, affected host IP, and beacon interval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T+5 min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SOC Lead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Declare Critical Incident — notify CISO and IR team via out-of-band channel (not email)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T+10 min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Network Eng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Isolate affected host(s) at switch level — do NOT power off (preserve memory for forensics)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T+15 min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Firewall Admin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Block C2 destination IP/domain at perimeter firewall — add to blocklist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T+20 min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SOC Analyst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Capture full packet dump of C2 traffic — preserve as evidence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T+30 min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IR Lead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Begin lateral movement sweep — run ThreatFade across full network for additional beacons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T+1 hr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CISO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Assess data exfiltration scope — check DLP logs, outbound data volumes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T+2 hrs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CISO / Legal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Determine NIS2 notification obligation — if personal data involved, 24hr CSIRT notification clock starts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T+4 hrs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IR Lead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Deploy ThreatFade endpoint agent on all hosts — identify full scope of compromise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T+24 hrs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CISO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Submit NIS2 early warning to national CSIRT if incident qualifies (Article 23)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T+72 hrs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CISO / Legal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Submit NIS2 full notification if required — impact, scope, containment measures</w:t>
            </w:r>
          </w:p>
        </w:tc>
      </w:tr>
    </w:tbl>
    <w:p>
      <w:r>
        <w:rPr>
          <w:rFonts w:ascii="Arial" w:hAnsi="Arial"/>
          <w:b/>
          <w:i w:val="0"/>
          <w:color w:val="00E5C8"/>
          <w:sz w:val="18"/>
        </w:rPr>
        <w:t xml:space="preserve">⚖️  NIS2 Obligation: </w:t>
      </w:r>
      <w:r>
        <w:rPr>
          <w:rFonts w:ascii="Arial" w:hAnsi="Arial"/>
          <w:b w:val="0"/>
          <w:i w:val="0"/>
          <w:color w:val="444444"/>
          <w:sz w:val="18"/>
        </w:rPr>
        <w:t>Article 23 — Significant incidents affecting continuity of services must be reported to national CSIRT within 24 hours (early warning) and 72 hours (full notification).</w:t>
      </w:r>
    </w:p>
    <w:p/>
    <w:p>
      <w:pPr>
        <w:pStyle w:val="Heading3"/>
      </w:pPr>
      <w:r>
        <w:rPr>
          <w:rFonts w:ascii="Arial" w:hAnsi="Arial"/>
          <w:color w:val="080A0F"/>
        </w:rPr>
        <w:t>CRITICAL — Ransomware / Destructive Malware Indicators</w:t>
      </w:r>
    </w:p>
    <w:p>
      <w:r>
        <w:rPr>
          <w:rFonts w:ascii="Arial" w:hAnsi="Arial"/>
          <w:b/>
          <w:i w:val="0"/>
          <w:color w:val="00E5C8"/>
          <w:sz w:val="20"/>
        </w:rPr>
        <w:t xml:space="preserve">Trigger: </w:t>
      </w:r>
      <w:r>
        <w:rPr>
          <w:rFonts w:ascii="Arial" w:hAnsi="Arial"/>
          <w:b w:val="0"/>
          <w:i w:val="0"/>
          <w:color w:val="444444"/>
          <w:sz w:val="20"/>
        </w:rPr>
        <w:t>ThreatFade or BugFlow detects mass file encryption activity, shadow copy deletion, or rapid lateral movement consistent with ransomware deployment.</w:t>
      </w:r>
    </w:p>
    <w:p>
      <w:r>
        <w:rPr>
          <w:rFonts w:ascii="Arial" w:hAnsi="Arial"/>
          <w:b/>
          <w:i w:val="0"/>
          <w:color w:val="00E5C8"/>
          <w:sz w:val="20"/>
        </w:rPr>
        <w:t xml:space="preserve">MITRE ATT&amp;CK: </w:t>
      </w:r>
      <w:r>
        <w:rPr>
          <w:rFonts w:ascii="Arial" w:hAnsi="Arial"/>
          <w:b w:val="0"/>
          <w:i w:val="0"/>
          <w:color w:val="444444"/>
          <w:sz w:val="20"/>
        </w:rPr>
        <w:t>T1486 — Data Encrypted for Impact  ·  T1490 — Inhibit System Recovery  ·  T1021 — Remote Services</w:t>
      </w:r>
    </w:p>
    <w:p>
      <w:r>
        <w:rPr>
          <w:rFonts w:ascii="Arial" w:hAnsi="Arial"/>
          <w:b/>
          <w:i w:val="0"/>
          <w:color w:val="00E5C8"/>
          <w:sz w:val="20"/>
        </w:rPr>
        <w:t xml:space="preserve">Response SLA: </w:t>
      </w:r>
      <w:r>
        <w:rPr>
          <w:rFonts w:ascii="Arial" w:hAnsi="Arial"/>
          <w:b/>
          <w:i w:val="0"/>
          <w:color w:val="FF4D6D"/>
          <w:sz w:val="20"/>
        </w:rPr>
        <w:t>Response must begin within 5 minutes. Network isolation within 15 minutes.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4d6d"/>
          </w:tcPr>
          <w:p>
            <w:r>
              <w:rPr>
                <w:rFonts w:ascii="Arial" w:hAnsi="Arial"/>
                <w:b/>
                <w:i w:val="0"/>
                <w:color w:val="080A0F"/>
                <w:sz w:val="22"/>
              </w:rPr>
              <w:t>🚨 CRITICAL</w:t>
            </w:r>
          </w:p>
        </w:tc>
        <w:tc>
          <w:tcPr>
            <w:tcW w:type="dxa" w:w="4986"/>
            <w:shd w:val="clear" w:color="auto" w:fill="ff4d6d"/>
          </w:tcPr>
          <w:p>
            <w:r>
              <w:rPr>
                <w:rFonts w:ascii="Arial" w:hAnsi="Arial"/>
                <w:b/>
                <w:i w:val="0"/>
                <w:color w:val="080A0F"/>
                <w:sz w:val="22"/>
              </w:rPr>
              <w:t>Step-by-step procedure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4d6d"/>
          </w:tcPr>
          <w:p>
            <w:r>
              <w:rPr>
                <w:rFonts w:ascii="Arial" w:hAnsi="Arial"/>
                <w:b/>
                <w:i w:val="0"/>
                <w:color w:val="080A0F"/>
                <w:sz w:val="18"/>
              </w:rPr>
              <w:t>T+0 min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SOC Analyst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Verify ransomware indicators — check for VSS deletion, file extension changes, ransom notes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T+5 min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IR Lead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Initiate Emergency Response — activate IR retainer or call Tinlance emergency line immediately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T+10 min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Network Eng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EMERGENCY: Segment network — isolate ALL affected VLANs from internet and backups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T+15 min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Backup Admin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CRITICAL: Verify backup integrity — ensure backups are NOT connected to affected network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T+20 min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CISO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Notify executive team and legal counsel — board notification may be required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T+30 min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IR Lead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Identify patient zero — find initial infection vector via ThreatFade timeline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T+1 hr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Legal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Assess regulatory notification obligations — NIS2, GDPR, sector-specific requirements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T+2 hrs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CISO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Decision point: pay or recover — document decision and rationale formally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T+4 hrs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IR Team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Begin recovery from clean backups — prioritise critical systems first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T+24 hrs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CISO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Submit NIS2 early warning to CSIRT</w:t>
            </w:r>
          </w:p>
        </w:tc>
      </w:tr>
    </w:tbl>
    <w:p>
      <w:r>
        <w:rPr>
          <w:rFonts w:ascii="Arial" w:hAnsi="Arial"/>
          <w:b/>
          <w:i w:val="0"/>
          <w:color w:val="00E5C8"/>
          <w:sz w:val="18"/>
        </w:rPr>
        <w:t xml:space="preserve">⚖️  NIS2 Obligation: </w:t>
      </w:r>
      <w:r>
        <w:rPr>
          <w:rFonts w:ascii="Arial" w:hAnsi="Arial"/>
          <w:b w:val="0"/>
          <w:i w:val="0"/>
          <w:color w:val="444444"/>
          <w:sz w:val="18"/>
        </w:rPr>
        <w:t>Article 23 — Ransomware affecting essential services constitutes a significant incident. 24-hour early warning mandatory. Law enforcement notification recommended.</w:t>
      </w:r>
    </w:p>
    <w:p/>
    <w:p>
      <w:pPr>
        <w:pStyle w:val="Heading3"/>
      </w:pPr>
      <w:r>
        <w:rPr>
          <w:rFonts w:ascii="Arial" w:hAnsi="Arial"/>
          <w:color w:val="080A0F"/>
        </w:rPr>
        <w:t>HIGH — Lateral Movement Detected</w:t>
      </w:r>
    </w:p>
    <w:p>
      <w:r>
        <w:rPr>
          <w:rFonts w:ascii="Arial" w:hAnsi="Arial"/>
          <w:b/>
          <w:i w:val="0"/>
          <w:color w:val="00E5C8"/>
          <w:sz w:val="20"/>
        </w:rPr>
        <w:t xml:space="preserve">Trigger: </w:t>
      </w:r>
      <w:r>
        <w:rPr>
          <w:rFonts w:ascii="Arial" w:hAnsi="Arial"/>
          <w:b w:val="0"/>
          <w:i w:val="0"/>
          <w:color w:val="444444"/>
          <w:sz w:val="20"/>
        </w:rPr>
        <w:t>ThreatFade detects anomalous SMB/WMI/RDP traffic between internal hosts. Z-score ≥ 4.0 with cross-subnet movement pattern.</w:t>
      </w:r>
    </w:p>
    <w:p>
      <w:r>
        <w:rPr>
          <w:rFonts w:ascii="Arial" w:hAnsi="Arial"/>
          <w:b/>
          <w:i w:val="0"/>
          <w:color w:val="00E5C8"/>
          <w:sz w:val="20"/>
        </w:rPr>
        <w:t xml:space="preserve">MITRE ATT&amp;CK: </w:t>
      </w:r>
      <w:r>
        <w:rPr>
          <w:rFonts w:ascii="Arial" w:hAnsi="Arial"/>
          <w:b w:val="0"/>
          <w:i w:val="0"/>
          <w:color w:val="444444"/>
          <w:sz w:val="20"/>
        </w:rPr>
        <w:t>T1021.002 — SMB/Windows Admin Shares  ·  T1021.006 — Windows Remote Management  ·  T1018 — Remote System Discovery</w:t>
      </w:r>
    </w:p>
    <w:p>
      <w:r>
        <w:rPr>
          <w:rFonts w:ascii="Arial" w:hAnsi="Arial"/>
          <w:b/>
          <w:i w:val="0"/>
          <w:color w:val="00E5C8"/>
          <w:sz w:val="20"/>
        </w:rPr>
        <w:t xml:space="preserve">Response SLA: </w:t>
      </w:r>
      <w:r>
        <w:rPr>
          <w:rFonts w:ascii="Arial" w:hAnsi="Arial"/>
          <w:b/>
          <w:i w:val="0"/>
          <w:color w:val="FF8C42"/>
          <w:sz w:val="20"/>
        </w:rPr>
        <w:t>Investigation must begin within 2 hours. Containment plan within 8 hours.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8c42"/>
          </w:tcPr>
          <w:p>
            <w:r>
              <w:rPr>
                <w:rFonts w:ascii="Arial" w:hAnsi="Arial"/>
                <w:b/>
                <w:i w:val="0"/>
                <w:color w:val="080A0F"/>
                <w:sz w:val="22"/>
              </w:rPr>
              <w:t>🚨 HIGH</w:t>
            </w:r>
          </w:p>
        </w:tc>
        <w:tc>
          <w:tcPr>
            <w:tcW w:type="dxa" w:w="4986"/>
            <w:shd w:val="clear" w:color="auto" w:fill="ff8c42"/>
          </w:tcPr>
          <w:p>
            <w:r>
              <w:rPr>
                <w:rFonts w:ascii="Arial" w:hAnsi="Arial"/>
                <w:b/>
                <w:i w:val="0"/>
                <w:color w:val="080A0F"/>
                <w:sz w:val="22"/>
              </w:rPr>
              <w:t>Step-by-step procedure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8c42"/>
          </w:tcPr>
          <w:p>
            <w:r>
              <w:rPr>
                <w:rFonts w:ascii="Arial" w:hAnsi="Arial"/>
                <w:b/>
                <w:i w:val="0"/>
                <w:color w:val="080A0F"/>
                <w:sz w:val="18"/>
              </w:rPr>
              <w:t>T+0 hr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SOC Analyst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Confirm lateral movement alert — map source host, destination hosts, protocol, and timestamps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T+1 hr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SOC Lead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Correlate with ThreatFade C2 detections — determine if lateral movement is post-compromise activity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T+2 hrs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IR Lead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Map full movement path — identify all hosts accessed since initial compromise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T+4 hrs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SOC Analyst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Check for credential dumping indicators on source host — Mimikatz patterns, LSASS access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T+6 hrs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IR Lead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Contain movement — implement temporary ACLs between affected segments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T+8 hrs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IT Admin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Force password reset on all accounts accessed from compromised host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T+12 hrs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CISO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Assess scope — determine if privileged accounts were accessed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T+24 hrs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IR Lead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Deploy network segmentation to prevent recurrence</w:t>
            </w:r>
          </w:p>
        </w:tc>
      </w:tr>
    </w:tbl>
    <w:p>
      <w:r>
        <w:rPr>
          <w:rFonts w:ascii="Arial" w:hAnsi="Arial"/>
          <w:b/>
          <w:i w:val="0"/>
          <w:color w:val="00E5C8"/>
          <w:sz w:val="18"/>
        </w:rPr>
        <w:t xml:space="preserve">⚖️  NIS2 Obligation: </w:t>
      </w:r>
      <w:r>
        <w:rPr>
          <w:rFonts w:ascii="Arial" w:hAnsi="Arial"/>
          <w:b w:val="0"/>
          <w:i w:val="0"/>
          <w:color w:val="444444"/>
          <w:sz w:val="18"/>
        </w:rPr>
        <w:t>Article 21(2)(e) — Network segmentation failures must be addressed as part of NIS2 security measures. Document containment actions for audit trail.</w:t>
      </w:r>
    </w:p>
    <w:p/>
    <w:p>
      <w:pPr>
        <w:pStyle w:val="Heading3"/>
      </w:pPr>
      <w:r>
        <w:rPr>
          <w:rFonts w:ascii="Arial" w:hAnsi="Arial"/>
          <w:color w:val="080A0F"/>
        </w:rPr>
        <w:t>HIGH — Exposed Credentials Detected (ReconOS / BugFlow)</w:t>
      </w:r>
    </w:p>
    <w:p>
      <w:r>
        <w:rPr>
          <w:rFonts w:ascii="Arial" w:hAnsi="Arial"/>
          <w:b/>
          <w:i w:val="0"/>
          <w:color w:val="00E5C8"/>
          <w:sz w:val="20"/>
        </w:rPr>
        <w:t xml:space="preserve">Trigger: </w:t>
      </w:r>
      <w:r>
        <w:rPr>
          <w:rFonts w:ascii="Arial" w:hAnsi="Arial"/>
          <w:b w:val="0"/>
          <w:i w:val="0"/>
          <w:color w:val="444444"/>
          <w:sz w:val="20"/>
        </w:rPr>
        <w:t>ReconOS OSINT scan or BugFlow detects active credentials, API keys, or tokens exposed in public repositories, DNS records, or paste sites.</w:t>
      </w:r>
    </w:p>
    <w:p>
      <w:r>
        <w:rPr>
          <w:rFonts w:ascii="Arial" w:hAnsi="Arial"/>
          <w:b/>
          <w:i w:val="0"/>
          <w:color w:val="00E5C8"/>
          <w:sz w:val="20"/>
        </w:rPr>
        <w:t xml:space="preserve">MITRE ATT&amp;CK: </w:t>
      </w:r>
      <w:r>
        <w:rPr>
          <w:rFonts w:ascii="Arial" w:hAnsi="Arial"/>
          <w:b w:val="0"/>
          <w:i w:val="0"/>
          <w:color w:val="444444"/>
          <w:sz w:val="20"/>
        </w:rPr>
        <w:t>T1552.001 — Credentials in Files  ·  T1078 — Valid Accounts  ·  T1589 — Gather Victim Identity Information</w:t>
      </w:r>
    </w:p>
    <w:p>
      <w:r>
        <w:rPr>
          <w:rFonts w:ascii="Arial" w:hAnsi="Arial"/>
          <w:b/>
          <w:i w:val="0"/>
          <w:color w:val="00E5C8"/>
          <w:sz w:val="20"/>
        </w:rPr>
        <w:t xml:space="preserve">Response SLA: </w:t>
      </w:r>
      <w:r>
        <w:rPr>
          <w:rFonts w:ascii="Arial" w:hAnsi="Arial"/>
          <w:b/>
          <w:i w:val="0"/>
          <w:color w:val="FF8C42"/>
          <w:sz w:val="20"/>
        </w:rPr>
        <w:t>Credentials must be revoked within 2 hours of detection.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8c42"/>
          </w:tcPr>
          <w:p>
            <w:r>
              <w:rPr>
                <w:rFonts w:ascii="Arial" w:hAnsi="Arial"/>
                <w:b/>
                <w:i w:val="0"/>
                <w:color w:val="080A0F"/>
                <w:sz w:val="22"/>
              </w:rPr>
              <w:t>🚨 HIGH</w:t>
            </w:r>
          </w:p>
        </w:tc>
        <w:tc>
          <w:tcPr>
            <w:tcW w:type="dxa" w:w="4986"/>
            <w:shd w:val="clear" w:color="auto" w:fill="ff8c42"/>
          </w:tcPr>
          <w:p>
            <w:r>
              <w:rPr>
                <w:rFonts w:ascii="Arial" w:hAnsi="Arial"/>
                <w:b/>
                <w:i w:val="0"/>
                <w:color w:val="080A0F"/>
                <w:sz w:val="22"/>
              </w:rPr>
              <w:t>Step-by-step procedure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8c42"/>
          </w:tcPr>
          <w:p>
            <w:r>
              <w:rPr>
                <w:rFonts w:ascii="Arial" w:hAnsi="Arial"/>
                <w:b/>
                <w:i w:val="0"/>
                <w:color w:val="080A0F"/>
                <w:sz w:val="18"/>
              </w:rPr>
              <w:t>T+0 hr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SOC Analyst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Confirm credential exposure — identify credential type, scope, and public exposure duration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T+30 min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DevOps Lead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IMMEDIATELY revoke/rotate all exposed credentials — do not wait for investigation to complete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T+1 hr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Security Eng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Audit access logs for exposed credential usage — determine if credentials were already abused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T+2 hrs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DevOps Lead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Remove exposed credentials from all repositories — purge git history if needed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T+3 hrs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Security Eng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Scan all repositories and CI/CD pipelines for additional credential exposure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T+4 hrs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IR Lead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If credentials were abused — escalate to CRITICAL and initiate full IR procedure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T+24 hrs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DevOps Lead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Implement pre-commit hooks (TruffleHog/git-secrets) to prevent recurrence</w:t>
            </w:r>
          </w:p>
        </w:tc>
      </w:tr>
    </w:tbl>
    <w:p>
      <w:r>
        <w:rPr>
          <w:rFonts w:ascii="Arial" w:hAnsi="Arial"/>
          <w:b/>
          <w:i w:val="0"/>
          <w:color w:val="00E5C8"/>
          <w:sz w:val="18"/>
        </w:rPr>
        <w:t xml:space="preserve">⚖️  NIS2 Obligation: </w:t>
      </w:r>
      <w:r>
        <w:rPr>
          <w:rFonts w:ascii="Arial" w:hAnsi="Arial"/>
          <w:b w:val="0"/>
          <w:i w:val="0"/>
          <w:color w:val="444444"/>
          <w:sz w:val="18"/>
        </w:rPr>
        <w:t>Article 21(2)(h) — Policies on cryptography and credential management are required. Credential exposure events must be documented.</w:t>
      </w:r>
    </w:p>
    <w:p/>
    <w:p>
      <w:pPr>
        <w:pStyle w:val="Heading3"/>
      </w:pPr>
      <w:r>
        <w:rPr>
          <w:rFonts w:ascii="Arial" w:hAnsi="Arial"/>
          <w:color w:val="080A0F"/>
        </w:rPr>
        <w:t>MEDIUM — Vulnerability Discovered — High CVSS (7.0–8.9)</w:t>
      </w:r>
    </w:p>
    <w:p>
      <w:r>
        <w:rPr>
          <w:rFonts w:ascii="Arial" w:hAnsi="Arial"/>
          <w:b/>
          <w:i w:val="0"/>
          <w:color w:val="00E5C8"/>
          <w:sz w:val="20"/>
        </w:rPr>
        <w:t xml:space="preserve">Trigger: </w:t>
      </w:r>
      <w:r>
        <w:rPr>
          <w:rFonts w:ascii="Arial" w:hAnsi="Arial"/>
          <w:b w:val="0"/>
          <w:i w:val="0"/>
          <w:color w:val="444444"/>
          <w:sz w:val="20"/>
        </w:rPr>
        <w:t>BugFlow scan identifies a HIGH severity vulnerability (CVSS 7.0–8.9) on an internet-facing or critical internal system.</w:t>
      </w:r>
    </w:p>
    <w:p>
      <w:r>
        <w:rPr>
          <w:rFonts w:ascii="Arial" w:hAnsi="Arial"/>
          <w:b/>
          <w:i w:val="0"/>
          <w:color w:val="00E5C8"/>
          <w:sz w:val="20"/>
        </w:rPr>
        <w:t xml:space="preserve">MITRE ATT&amp;CK: </w:t>
      </w:r>
      <w:r>
        <w:rPr>
          <w:rFonts w:ascii="Arial" w:hAnsi="Arial"/>
          <w:b w:val="0"/>
          <w:i w:val="0"/>
          <w:color w:val="444444"/>
          <w:sz w:val="20"/>
        </w:rPr>
        <w:t>T1190 — Exploit Public-Facing Application  ·  T1203 — Exploitation for Client Execution</w:t>
      </w:r>
    </w:p>
    <w:p>
      <w:r>
        <w:rPr>
          <w:rFonts w:ascii="Arial" w:hAnsi="Arial"/>
          <w:b/>
          <w:i w:val="0"/>
          <w:color w:val="00E5C8"/>
          <w:sz w:val="20"/>
        </w:rPr>
        <w:t xml:space="preserve">Response SLA: </w:t>
      </w:r>
      <w:r>
        <w:rPr>
          <w:rFonts w:ascii="Arial" w:hAnsi="Arial"/>
          <w:b/>
          <w:i w:val="0"/>
          <w:color w:val="FF8C42"/>
          <w:sz w:val="20"/>
        </w:rPr>
        <w:t>Patch or mitigate within 7 days. Interim controls within 48 hours.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5c842"/>
          </w:tcPr>
          <w:p>
            <w:r>
              <w:rPr>
                <w:rFonts w:ascii="Arial" w:hAnsi="Arial"/>
                <w:b/>
                <w:i w:val="0"/>
                <w:color w:val="080A0F"/>
                <w:sz w:val="22"/>
              </w:rPr>
              <w:t>🚨 MEDIUM</w:t>
            </w:r>
          </w:p>
        </w:tc>
        <w:tc>
          <w:tcPr>
            <w:tcW w:type="dxa" w:w="4986"/>
            <w:shd w:val="clear" w:color="auto" w:fill="f5c842"/>
          </w:tcPr>
          <w:p>
            <w:r>
              <w:rPr>
                <w:rFonts w:ascii="Arial" w:hAnsi="Arial"/>
                <w:b/>
                <w:i w:val="0"/>
                <w:color w:val="080A0F"/>
                <w:sz w:val="22"/>
              </w:rPr>
              <w:t>Step-by-step procedure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5c842"/>
          </w:tcPr>
          <w:p>
            <w:r>
              <w:rPr>
                <w:rFonts w:ascii="Arial" w:hAnsi="Arial"/>
                <w:b/>
                <w:i w:val="0"/>
                <w:color w:val="080A0F"/>
                <w:sz w:val="18"/>
              </w:rPr>
              <w:t>Day 1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SOC Analyst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Confirm vulnerability — validate CVSS score, affected versions, and exploitability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Day 1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IT Admin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Implement interim mitigation — WAF rule, network ACL, or service isolation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Day 2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Dev / IT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Test patch in non-production environment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Day 3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Change Mgmt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Raise emergency change request — document risk and business impact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Day 5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IT Admin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Deploy patch to production during maintenance window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Day 7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SOC Analyst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Verify patch — re-run BugFlow scan to confirm remediation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Day 7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Security Eng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Update asset register with patched version — close vulnerability ticket</w:t>
            </w:r>
          </w:p>
        </w:tc>
      </w:tr>
    </w:tbl>
    <w:p>
      <w:r>
        <w:rPr>
          <w:rFonts w:ascii="Arial" w:hAnsi="Arial"/>
          <w:b/>
          <w:i w:val="0"/>
          <w:color w:val="00E5C8"/>
          <w:sz w:val="18"/>
        </w:rPr>
        <w:t xml:space="preserve">⚖️  NIS2 Obligation: </w:t>
      </w:r>
      <w:r>
        <w:rPr>
          <w:rFonts w:ascii="Arial" w:hAnsi="Arial"/>
          <w:b w:val="0"/>
          <w:i w:val="0"/>
          <w:color w:val="444444"/>
          <w:sz w:val="18"/>
        </w:rPr>
        <w:t>Article 21(2)(e) — Patch management is a core NIS2 requirement. Document all patch actions with timestamps for regulatory audit.</w:t>
      </w:r>
    </w:p>
    <w:p/>
    <w:p>
      <w:pPr>
        <w:pStyle w:val="Heading3"/>
      </w:pPr>
      <w:r>
        <w:rPr>
          <w:rFonts w:ascii="Arial" w:hAnsi="Arial"/>
          <w:color w:val="080A0F"/>
        </w:rPr>
        <w:t>LOW — Security Misconfiguration Detected</w:t>
      </w:r>
    </w:p>
    <w:p>
      <w:r>
        <w:rPr>
          <w:rFonts w:ascii="Arial" w:hAnsi="Arial"/>
          <w:b/>
          <w:i w:val="0"/>
          <w:color w:val="00E5C8"/>
          <w:sz w:val="20"/>
        </w:rPr>
        <w:t xml:space="preserve">Trigger: </w:t>
      </w:r>
      <w:r>
        <w:rPr>
          <w:rFonts w:ascii="Arial" w:hAnsi="Arial"/>
          <w:b w:val="0"/>
          <w:i w:val="0"/>
          <w:color w:val="444444"/>
          <w:sz w:val="20"/>
        </w:rPr>
        <w:t>BugFlow or ThreatFade identifies a security misconfiguration — missing headers, default credentials, weak TLS, open ports, or SNMP defaults.</w:t>
      </w:r>
    </w:p>
    <w:p>
      <w:r>
        <w:rPr>
          <w:rFonts w:ascii="Arial" w:hAnsi="Arial"/>
          <w:b/>
          <w:i w:val="0"/>
          <w:color w:val="00E5C8"/>
          <w:sz w:val="20"/>
        </w:rPr>
        <w:t xml:space="preserve">MITRE ATT&amp;CK: </w:t>
      </w:r>
      <w:r>
        <w:rPr>
          <w:rFonts w:ascii="Arial" w:hAnsi="Arial"/>
          <w:b w:val="0"/>
          <w:i w:val="0"/>
          <w:color w:val="444444"/>
          <w:sz w:val="20"/>
        </w:rPr>
        <w:t>T1602 — Data from Configuration Repository  ·  T1040 — Network Sniffing</w:t>
      </w:r>
    </w:p>
    <w:p>
      <w:r>
        <w:rPr>
          <w:rFonts w:ascii="Arial" w:hAnsi="Arial"/>
          <w:b/>
          <w:i w:val="0"/>
          <w:color w:val="00E5C8"/>
          <w:sz w:val="20"/>
        </w:rPr>
        <w:t xml:space="preserve">Response SLA: </w:t>
      </w:r>
      <w:r>
        <w:rPr>
          <w:rFonts w:ascii="Arial" w:hAnsi="Arial"/>
          <w:b/>
          <w:i w:val="0"/>
          <w:color w:val="FF8C42"/>
          <w:sz w:val="20"/>
        </w:rPr>
        <w:t>Remediation plan within 1 week. Fix implemented within 4 weeks.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ecdc4"/>
          </w:tcPr>
          <w:p>
            <w:r>
              <w:rPr>
                <w:rFonts w:ascii="Arial" w:hAnsi="Arial"/>
                <w:b/>
                <w:i w:val="0"/>
                <w:color w:val="080A0F"/>
                <w:sz w:val="22"/>
              </w:rPr>
              <w:t>🚨 LOW</w:t>
            </w:r>
          </w:p>
        </w:tc>
        <w:tc>
          <w:tcPr>
            <w:tcW w:type="dxa" w:w="4986"/>
            <w:shd w:val="clear" w:color="auto" w:fill="4ecdc4"/>
          </w:tcPr>
          <w:p>
            <w:r>
              <w:rPr>
                <w:rFonts w:ascii="Arial" w:hAnsi="Arial"/>
                <w:b/>
                <w:i w:val="0"/>
                <w:color w:val="080A0F"/>
                <w:sz w:val="22"/>
              </w:rPr>
              <w:t>Step-by-step procedure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ecdc4"/>
          </w:tcPr>
          <w:p>
            <w:r>
              <w:rPr>
                <w:rFonts w:ascii="Arial" w:hAnsi="Arial"/>
                <w:b/>
                <w:i w:val="0"/>
                <w:color w:val="080A0F"/>
                <w:sz w:val="18"/>
              </w:rPr>
              <w:t>Week 1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SOC Analyst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Document misconfiguration — record affected system, configuration item, and risk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Week 1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IT Admin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Assign owner — confirm who is responsible for the affected system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Week 2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IT Admin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Develop remediation plan — test fix in non-production first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Week 3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Change Mgmt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Schedule maintenance window for production fix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Week 4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IT Admin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Implement fix — verify via re-scan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Week 4</w:t>
            </w:r>
          </w:p>
        </w:tc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SOC Analyst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Close finding in tracker — update report</w:t>
            </w:r>
          </w:p>
        </w:tc>
      </w:tr>
    </w:tbl>
    <w:p>
      <w:r>
        <w:rPr>
          <w:rFonts w:ascii="Arial" w:hAnsi="Arial"/>
          <w:b/>
          <w:i w:val="0"/>
          <w:color w:val="00E5C8"/>
          <w:sz w:val="18"/>
        </w:rPr>
        <w:t xml:space="preserve">⚖️  NIS2 Obligation: </w:t>
      </w:r>
      <w:r>
        <w:rPr>
          <w:rFonts w:ascii="Arial" w:hAnsi="Arial"/>
          <w:b w:val="0"/>
          <w:i w:val="0"/>
          <w:color w:val="444444"/>
          <w:sz w:val="18"/>
        </w:rPr>
        <w:t>Article 21 — Misconfigurations contribute to organisational risk. Track and document all remediation actions.</w:t>
      </w:r>
    </w:p>
    <w:p/>
    <w:p>
      <w:pPr>
        <w:pStyle w:val="Heading2"/>
      </w:pPr>
      <w:r>
        <w:rPr>
          <w:rFonts w:ascii="Arial" w:hAnsi="Arial"/>
          <w:color w:val="080A0F"/>
        </w:rPr>
        <w:t>Communication Templates</w:t>
      </w:r>
    </w:p>
    <w:p>
      <w:pPr>
        <w:spacing w:after="120"/>
      </w:pPr>
      <w:r>
        <w:rPr>
          <w:rFonts w:ascii="Arial" w:hAnsi="Arial"/>
          <w:color w:val="444444"/>
          <w:sz w:val="20"/>
        </w:rPr>
        <w:t>Use these templates exactly as written. Customise bracketed fields only. Do not improvise communications during an active incident.</w:t>
      </w:r>
    </w:p>
    <w:p/>
    <w:p>
      <w:pPr>
        <w:pStyle w:val="Heading3"/>
      </w:pPr>
      <w:r>
        <w:rPr>
          <w:rFonts w:ascii="Arial" w:hAnsi="Arial"/>
          <w:color w:val="080A0F"/>
        </w:rPr>
        <w:t>Internal Alert — Security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01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E5C8"/>
                <w:sz w:val="18"/>
              </w:rPr>
              <w:t>SECURITY INCIDENT ALERT</w:t>
              <w:br/>
              <w:t>Severity: [CRITICAL/HIGH/MEDIUM]</w:t>
              <w:br/>
              <w:t>Date/Time: [DATETIME]</w:t>
              <w:br/>
              <w:t>Incident ID: INC-[NUMBER]</w:t>
              <w:br/>
              <w:t>Affected Systems: [LIST]</w:t>
              <w:br/>
              <w:t>Summary: [2 sentences max]</w:t>
              <w:br/>
              <w:t>Immediate Actions Taken: [LIST]</w:t>
              <w:br/>
              <w:t>Next Update: [TIME]</w:t>
              <w:br/>
              <w:t>Incident Lead: [NAME]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080A0F"/>
        </w:rPr>
        <w:t>Executive Notification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01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E5C8"/>
                <w:sz w:val="18"/>
              </w:rPr>
              <w:t>EXECUTIVE SECURITY BRIEFING</w:t>
              <w:br/>
              <w:t>Date: [DATE]</w:t>
              <w:br/>
              <w:t>Incident: [ONE LINE DESCRIPTION]</w:t>
              <w:br/>
              <w:t>Business Impact: [PLAIN ENGLISH — no jargon]</w:t>
              <w:br/>
              <w:t>Current Status: [Contained / Active / Investigating]</w:t>
              <w:br/>
              <w:t>Customer Impact: [Yes/No — details]</w:t>
              <w:br/>
              <w:t>Regulatory Obligation: [Yes/No — NIS2/GDPR notification required?]</w:t>
              <w:br/>
              <w:t>Next Steps: [3 bullet points]</w:t>
              <w:br/>
              <w:t>Next Update: [TIME]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080A0F"/>
        </w:rPr>
        <w:t>NIS2 Early Warning (24hr — Article 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01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E5C8"/>
                <w:sz w:val="18"/>
              </w:rPr>
              <w:t>TO: [National CSIRT]</w:t>
              <w:br/>
              <w:t>FROM: [Organisation Name, Contact]</w:t>
              <w:br/>
              <w:t>SUBJECT: NIS2 Early Warning Notification</w:t>
              <w:br/>
              <w:br/>
              <w:t>Date of incident: [DATE]</w:t>
              <w:br/>
              <w:t>Date detected: [DATE]</w:t>
              <w:br/>
              <w:t>Incident type: [Ransomware / C2 / Data breach / DDoS / Other]</w:t>
              <w:br/>
              <w:t>Affected services: [LIST]</w:t>
              <w:br/>
              <w:t>Geographic scope: [Countries/regions affected]</w:t>
              <w:br/>
              <w:t>Initial assessment: [Is it a significant incident? Yes/No with brief reasoning]</w:t>
              <w:br/>
              <w:t>Actions taken so far: [LIST]</w:t>
              <w:br/>
              <w:t>Ongoing impact: [Yes/No]</w:t>
              <w:br/>
              <w:br/>
              <w:t>This is an early warning notification per NIS2 Article 23. A full notification will follow within 72 hours.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80A0F"/>
        </w:rPr>
        <w:t>Post-Incident Review Checklist</w:t>
      </w:r>
    </w:p>
    <w:p>
      <w:pPr>
        <w:spacing w:after="120"/>
      </w:pPr>
      <w:r>
        <w:rPr>
          <w:rFonts w:ascii="Arial" w:hAnsi="Arial"/>
          <w:color w:val="444444"/>
          <w:sz w:val="20"/>
        </w:rPr>
        <w:t>Complete within 5 business days of incident closure. Schedule a 1-hour review meeting with all responders.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Timeline documented — from first detection to full containment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Root cause identified — initial access vector confirmed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Detection gap analysis — could ThreatFade have detected this earlier?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Response gap analysis — what slowed containment?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Playbook updated — incorporate lessons learned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Controls improved — new rules, ACLs, or patches implemented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NIS2 post-incident report submitted if required (Article 23)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Executive debrief completed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Tinlance notified — share findings to improve ThreatFade detection rules</w:t>
      </w:r>
    </w:p>
    <w:p/>
    <w:p>
      <w:pPr>
        <w:pBdr>
          <w:bottom w:val="single" w:sz="6" w:space="1" w:color="00e5c8"/>
        </w:pBdr>
      </w:pPr>
    </w:p>
    <w:p>
      <w:pPr>
        <w:jc w:val="center"/>
      </w:pPr>
      <w:r>
        <w:rPr>
          <w:rFonts w:ascii="Arial" w:hAnsi="Arial"/>
          <w:b w:val="0"/>
          <w:i w:val="0"/>
          <w:color w:val="888888"/>
          <w:sz w:val="16"/>
        </w:rPr>
        <w:t>Tinlance Limited  ·  RC: 7962164  ·  tinlance.com  ·  Acme Financial Services Ltd  ·  CONFIDENTIAL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