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2"/>
      </w:tblGrid>
      <w:tr>
        <w:tc>
          <w:tcPr>
            <w:tcW w:type="dxa" w:w="9972"/>
            <w:shd w:val="clear" w:color="auto" w:fill="080a0f"/>
          </w:tcPr>
          <w:p>
            <w:r>
              <w:rPr>
                <w:b/>
                <w:i w:val="0"/>
                <w:color w:val="00E5C8"/>
                <w:sz w:val="22"/>
              </w:rPr>
              <w:t>TINLANCE.</w:t>
            </w:r>
            <w:r>
              <w:rPr>
                <w:b w:val="0"/>
                <w:i w:val="0"/>
                <w:color w:val="888888"/>
                <w:sz w:val="18"/>
              </w:rPr>
              <w:t xml:space="preserve">  ·  Forward Deployed Security Engineering — Pilot Agreement</w:t>
            </w:r>
          </w:p>
        </w:tc>
      </w:tr>
    </w:tbl>
    <w:p/>
    <w:p>
      <w:pPr>
        <w:pStyle w:val="Heading1"/>
      </w:pPr>
      <w:r>
        <w:rPr>
          <w:rFonts w:ascii="Arial" w:hAnsi="Arial"/>
          <w:color w:val="080A0F"/>
        </w:rPr>
        <w:t>FDSE Pilot Engagement Agreement</w:t>
      </w:r>
    </w:p>
    <w:p>
      <w:r>
        <w:rPr>
          <w:b/>
          <w:i w:val="0"/>
          <w:color w:val="00B8A0"/>
          <w:sz w:val="24"/>
        </w:rPr>
        <w:t>Fixed scope  ·  Fixed price  ·  2-week sprint  ·  Outcome guaranteed</w:t>
      </w:r>
    </w:p>
    <w:p>
      <w:r>
        <w:rPr>
          <w:b w:val="0"/>
          <w:i w:val="0"/>
          <w:color w:val="888888"/>
          <w:sz w:val="18"/>
        </w:rPr>
        <w:t>Version 1.0  ·  Tinlance Limited  ·  RC: 7962164  ·  tinlance.com</w:t>
      </w:r>
    </w:p>
    <w:p>
      <w:pPr>
        <w:pBdr>
          <w:bottom w:val="single" w:sz="6" w:space="1" w:color="00e5c8"/>
        </w:pBdr>
      </w:pPr>
    </w:p>
    <w:p>
      <w:pPr>
        <w:pStyle w:val="Heading2"/>
      </w:pPr>
      <w:r>
        <w:rPr>
          <w:rFonts w:ascii="Arial" w:hAnsi="Arial"/>
          <w:color w:val="080A0F"/>
        </w:rPr>
        <w:t>1. Parties</w:t>
      </w:r>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8"/>
              </w:rPr>
              <w:t>SERVICE PROVIDER</w:t>
            </w:r>
          </w:p>
        </w:tc>
        <w:tc>
          <w:tcPr>
            <w:tcW w:type="dxa" w:w="4986"/>
            <w:shd w:val="clear" w:color="auto" w:fill="0d1018"/>
          </w:tcPr>
          <w:p>
            <w:r>
              <w:rPr>
                <w:b/>
                <w:i w:val="0"/>
                <w:color w:val="00E5C8"/>
                <w:sz w:val="18"/>
              </w:rPr>
              <w:t>CLIENT</w:t>
            </w:r>
          </w:p>
        </w:tc>
      </w:tr>
      <w:tr>
        <w:tc>
          <w:tcPr>
            <w:tcW w:type="dxa" w:w="4986"/>
            <w:shd w:val="clear" w:color="auto" w:fill="f5f5f5"/>
          </w:tcPr>
          <w:p/>
          <w:p>
            <w:r>
              <w:rPr>
                <w:b/>
                <w:i w:val="0"/>
                <w:color w:val="080A0F"/>
                <w:sz w:val="18"/>
              </w:rPr>
              <w:t>Tinlance Limited</w:t>
            </w:r>
          </w:p>
          <w:p>
            <w:r>
              <w:rPr>
                <w:b w:val="0"/>
                <w:i w:val="0"/>
                <w:color w:val="888888"/>
                <w:sz w:val="18"/>
              </w:rPr>
              <w:t>RC: 7962164 · TIN: 2521714521054</w:t>
            </w:r>
          </w:p>
          <w:p>
            <w:r>
              <w:rPr>
                <w:b w:val="0"/>
                <w:i w:val="0"/>
                <w:color w:val="888888"/>
                <w:sz w:val="18"/>
              </w:rPr>
              <w:t>nwachukwuchinaemerem8@gmail.com</w:t>
            </w:r>
          </w:p>
          <w:p>
            <w:r>
              <w:rPr>
                <w:b w:val="0"/>
                <w:i w:val="0"/>
                <w:color w:val="888888"/>
                <w:sz w:val="18"/>
              </w:rPr>
              <w:t>tinlance.com</w:t>
            </w:r>
          </w:p>
        </w:tc>
        <w:tc>
          <w:tcPr>
            <w:tcW w:type="dxa" w:w="4986"/>
            <w:shd w:val="clear" w:color="auto" w:fill="ffffff"/>
          </w:tcPr>
          <w:p/>
          <w:p>
            <w:r>
              <w:rPr>
                <w:b w:val="0"/>
                <w:i w:val="0"/>
                <w:color w:val="888888"/>
                <w:sz w:val="18"/>
              </w:rPr>
              <w:t>Company Name: ___________________________</w:t>
            </w:r>
          </w:p>
          <w:p>
            <w:r>
              <w:rPr>
                <w:b w:val="0"/>
                <w:i w:val="0"/>
                <w:color w:val="888888"/>
                <w:sz w:val="18"/>
              </w:rPr>
              <w:t>Contact Name: ___________________________</w:t>
            </w:r>
          </w:p>
          <w:p>
            <w:r>
              <w:rPr>
                <w:b w:val="0"/>
                <w:i w:val="0"/>
                <w:color w:val="888888"/>
                <w:sz w:val="18"/>
              </w:rPr>
              <w:t>Email: ___________________________</w:t>
            </w:r>
          </w:p>
          <w:p>
            <w:r>
              <w:rPr>
                <w:b w:val="0"/>
                <w:i w:val="0"/>
                <w:color w:val="888888"/>
                <w:sz w:val="18"/>
              </w:rPr>
              <w:t>Country: ___________________________</w:t>
            </w:r>
          </w:p>
        </w:tc>
      </w:tr>
    </w:tbl>
    <w:p/>
    <w:p>
      <w:pPr>
        <w:pStyle w:val="Heading2"/>
      </w:pPr>
      <w:r>
        <w:rPr>
          <w:rFonts w:ascii="Arial" w:hAnsi="Arial"/>
          <w:color w:val="080A0F"/>
        </w:rPr>
        <w:t>2. Engagement Scope</w:t>
      </w:r>
    </w:p>
    <w:p>
      <w:pPr>
        <w:spacing w:after="120"/>
      </w:pPr>
      <w:r>
        <w:rPr>
          <w:rFonts w:ascii="Arial" w:hAnsi="Arial"/>
          <w:sz w:val="20"/>
        </w:rPr>
        <w:t>This agreement covers one (1) FDSE pilot. The scope is fixed. Changes require a written Change Order before work begins.</w:t>
      </w:r>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8"/>
              </w:rPr>
              <w:t>Engagement Type</w:t>
            </w:r>
          </w:p>
        </w:tc>
        <w:tc>
          <w:tcPr>
            <w:tcW w:type="dxa" w:w="4986"/>
            <w:shd w:val="clear" w:color="auto" w:fill="f5f5f5"/>
          </w:tcPr>
          <w:p>
            <w:r>
              <w:rPr>
                <w:b w:val="0"/>
                <w:i w:val="0"/>
                <w:color w:val="444444"/>
                <w:sz w:val="18"/>
              </w:rPr>
              <w:t>☐ AI Deployment Sprint    ☐ Security Engineering Embed    ☐ Full-Stack FDSE</w:t>
            </w:r>
          </w:p>
        </w:tc>
      </w:tr>
      <w:tr>
        <w:tc>
          <w:tcPr>
            <w:tcW w:type="dxa" w:w="4986"/>
            <w:shd w:val="clear" w:color="auto" w:fill="0d1018"/>
          </w:tcPr>
          <w:p>
            <w:r>
              <w:rPr>
                <w:b/>
                <w:i w:val="0"/>
                <w:color w:val="00E5C8"/>
                <w:sz w:val="18"/>
              </w:rPr>
              <w:t>Duration</w:t>
            </w:r>
          </w:p>
        </w:tc>
        <w:tc>
          <w:tcPr>
            <w:tcW w:type="dxa" w:w="4986"/>
            <w:shd w:val="clear" w:color="auto" w:fill="ffffff"/>
          </w:tcPr>
          <w:p>
            <w:r>
              <w:rPr>
                <w:b w:val="0"/>
                <w:i w:val="0"/>
                <w:color w:val="444444"/>
                <w:sz w:val="18"/>
              </w:rPr>
              <w:t>2 weeks (14 calendar days) from Commencement Date</w:t>
            </w:r>
          </w:p>
        </w:tc>
      </w:tr>
      <w:tr>
        <w:tc>
          <w:tcPr>
            <w:tcW w:type="dxa" w:w="4986"/>
            <w:shd w:val="clear" w:color="auto" w:fill="0d1018"/>
          </w:tcPr>
          <w:p>
            <w:r>
              <w:rPr>
                <w:b/>
                <w:i w:val="0"/>
                <w:color w:val="00E5C8"/>
                <w:sz w:val="18"/>
              </w:rPr>
              <w:t>Commencement</w:t>
            </w:r>
          </w:p>
        </w:tc>
        <w:tc>
          <w:tcPr>
            <w:tcW w:type="dxa" w:w="4986"/>
            <w:shd w:val="clear" w:color="auto" w:fill="f5f5f5"/>
          </w:tcPr>
          <w:p>
            <w:r>
              <w:rPr>
                <w:b w:val="0"/>
                <w:i w:val="0"/>
                <w:color w:val="444444"/>
                <w:sz w:val="18"/>
              </w:rPr>
              <w:t>___________________________</w:t>
            </w:r>
          </w:p>
        </w:tc>
      </w:tr>
      <w:tr>
        <w:tc>
          <w:tcPr>
            <w:tcW w:type="dxa" w:w="4986"/>
            <w:shd w:val="clear" w:color="auto" w:fill="0d1018"/>
          </w:tcPr>
          <w:p>
            <w:r>
              <w:rPr>
                <w:b/>
                <w:i w:val="0"/>
                <w:color w:val="00E5C8"/>
                <w:sz w:val="18"/>
              </w:rPr>
              <w:t>Completion</w:t>
            </w:r>
          </w:p>
        </w:tc>
        <w:tc>
          <w:tcPr>
            <w:tcW w:type="dxa" w:w="4986"/>
            <w:shd w:val="clear" w:color="auto" w:fill="ffffff"/>
          </w:tcPr>
          <w:p>
            <w:r>
              <w:rPr>
                <w:b w:val="0"/>
                <w:i w:val="0"/>
                <w:color w:val="444444"/>
                <w:sz w:val="18"/>
              </w:rPr>
              <w:t>___________________________</w:t>
            </w:r>
          </w:p>
        </w:tc>
      </w:tr>
      <w:tr>
        <w:tc>
          <w:tcPr>
            <w:tcW w:type="dxa" w:w="4986"/>
            <w:shd w:val="clear" w:color="auto" w:fill="0d1018"/>
          </w:tcPr>
          <w:p>
            <w:r>
              <w:rPr>
                <w:b/>
                <w:i w:val="0"/>
                <w:color w:val="00E5C8"/>
                <w:sz w:val="18"/>
              </w:rPr>
              <w:t>Environment</w:t>
            </w:r>
          </w:p>
        </w:tc>
        <w:tc>
          <w:tcPr>
            <w:tcW w:type="dxa" w:w="4986"/>
            <w:shd w:val="clear" w:color="auto" w:fill="f5f5f5"/>
          </w:tcPr>
          <w:p>
            <w:r>
              <w:rPr>
                <w:b w:val="0"/>
                <w:i w:val="0"/>
                <w:color w:val="444444"/>
                <w:sz w:val="18"/>
              </w:rPr>
              <w:t>☐ Cloud    ☐ On-premises    ☐ Air-gapped    ☐ Hybrid</w:t>
            </w:r>
          </w:p>
        </w:tc>
      </w:tr>
      <w:tr>
        <w:tc>
          <w:tcPr>
            <w:tcW w:type="dxa" w:w="4986"/>
            <w:shd w:val="clear" w:color="auto" w:fill="0d1018"/>
          </w:tcPr>
          <w:p>
            <w:r>
              <w:rPr>
                <w:b/>
                <w:i w:val="0"/>
                <w:color w:val="00E5C8"/>
                <w:sz w:val="18"/>
              </w:rPr>
              <w:t>Deliverables</w:t>
            </w:r>
          </w:p>
        </w:tc>
        <w:tc>
          <w:tcPr>
            <w:tcW w:type="dxa" w:w="4986"/>
            <w:shd w:val="clear" w:color="auto" w:fill="ffffff"/>
          </w:tcPr>
          <w:p>
            <w:r>
              <w:rPr>
                <w:b w:val="0"/>
                <w:i w:val="0"/>
                <w:color w:val="444444"/>
                <w:sz w:val="18"/>
              </w:rPr>
              <w:t>Working deployment + Architecture Decision Record + Report (PDF/Word/Excel) + 30-day async support</w:t>
            </w:r>
          </w:p>
        </w:tc>
      </w:tr>
      <w:tr>
        <w:tc>
          <w:tcPr>
            <w:tcW w:type="dxa" w:w="4986"/>
            <w:shd w:val="clear" w:color="auto" w:fill="0d1018"/>
          </w:tcPr>
          <w:p>
            <w:r>
              <w:rPr>
                <w:b/>
                <w:i w:val="0"/>
                <w:color w:val="00E5C8"/>
                <w:sz w:val="18"/>
              </w:rPr>
              <w:t>Tools Deployed</w:t>
            </w:r>
          </w:p>
        </w:tc>
        <w:tc>
          <w:tcPr>
            <w:tcW w:type="dxa" w:w="4986"/>
            <w:shd w:val="clear" w:color="auto" w:fill="f5f5f5"/>
          </w:tcPr>
          <w:p>
            <w:r>
              <w:rPr>
                <w:b w:val="0"/>
                <w:i w:val="0"/>
                <w:color w:val="444444"/>
                <w:sz w:val="18"/>
              </w:rPr>
              <w:t>ThreatFade v0.2.0-beta + Report Generator + applicable Tinlance products</w:t>
            </w:r>
          </w:p>
        </w:tc>
      </w:tr>
    </w:tbl>
    <w:p/>
    <w:p>
      <w:pPr>
        <w:pStyle w:val="Heading2"/>
      </w:pPr>
      <w:r>
        <w:rPr>
          <w:rFonts w:ascii="Arial" w:hAnsi="Arial"/>
          <w:color w:val="080A0F"/>
        </w:rPr>
        <w:t>3. What This Does NOT Include</w:t>
      </w:r>
    </w:p>
    <w:p>
      <w:pPr>
        <w:pStyle w:val="ListBullet"/>
      </w:pPr>
      <w:r>
        <w:rPr>
          <w:rFonts w:ascii="Arial" w:hAnsi="Arial"/>
          <w:color w:val="444444"/>
          <w:sz w:val="20"/>
        </w:rPr>
        <w:t>Ongoing managed services or 24/7 monitoring after the 30-day support window</w:t>
      </w:r>
    </w:p>
    <w:p>
      <w:pPr>
        <w:pStyle w:val="ListBullet"/>
      </w:pPr>
      <w:r>
        <w:rPr>
          <w:rFonts w:ascii="Arial" w:hAnsi="Arial"/>
          <w:color w:val="444444"/>
          <w:sz w:val="20"/>
        </w:rPr>
        <w:t>Remediation work — we identify findings; implementation is the client's responsibility</w:t>
      </w:r>
    </w:p>
    <w:p>
      <w:pPr>
        <w:pStyle w:val="ListBullet"/>
      </w:pPr>
      <w:r>
        <w:rPr>
          <w:rFonts w:ascii="Arial" w:hAnsi="Arial"/>
          <w:color w:val="444444"/>
          <w:sz w:val="20"/>
        </w:rPr>
        <w:t>Systems outside the agreed in-scope list</w:t>
      </w:r>
    </w:p>
    <w:p>
      <w:pPr>
        <w:pStyle w:val="ListBullet"/>
      </w:pPr>
      <w:r>
        <w:rPr>
          <w:rFonts w:ascii="Arial" w:hAnsi="Arial"/>
          <w:color w:val="444444"/>
          <w:sz w:val="20"/>
        </w:rPr>
        <w:t>Legal, regulatory, or insurance advice</w:t>
      </w:r>
    </w:p>
    <w:p>
      <w:pPr>
        <w:pStyle w:val="ListBullet"/>
      </w:pPr>
      <w:r>
        <w:rPr>
          <w:rFonts w:ascii="Arial" w:hAnsi="Arial"/>
          <w:color w:val="444444"/>
          <w:sz w:val="20"/>
        </w:rPr>
        <w:t>Application penetration testing beyond agreed scope</w:t>
      </w:r>
    </w:p>
    <w:p/>
    <w:p>
      <w:pPr>
        <w:pStyle w:val="Heading2"/>
      </w:pPr>
      <w:r>
        <w:rPr>
          <w:rFonts w:ascii="Arial" w:hAnsi="Arial"/>
          <w:color w:val="080A0F"/>
        </w:rPr>
        <w:t>4. Fees &amp; Payment Terms</w:t>
      </w:r>
    </w:p>
    <w:tbl>
      <w:tblPr>
        <w:tblStyle w:val="TableGrid"/>
        <w:tblW w:type="auto" w:w="0"/>
        <w:tblLook w:firstColumn="1" w:firstRow="1" w:lastColumn="0" w:lastRow="0" w:noHBand="0" w:noVBand="1" w:val="04A0"/>
      </w:tblPr>
      <w:tblGrid>
        <w:gridCol w:w="4986"/>
        <w:gridCol w:w="4986"/>
      </w:tblGrid>
      <w:tr>
        <w:tc>
          <w:tcPr>
            <w:tcW w:type="dxa" w:w="4986"/>
            <w:shd w:val="clear" w:color="auto" w:fill="0d1018"/>
          </w:tcPr>
          <w:p>
            <w:r>
              <w:rPr>
                <w:b/>
                <w:i w:val="0"/>
                <w:color w:val="00E5C8"/>
                <w:sz w:val="18"/>
              </w:rPr>
              <w:t>Pilot Fee (Fixed)</w:t>
            </w:r>
          </w:p>
        </w:tc>
        <w:tc>
          <w:tcPr>
            <w:tcW w:type="dxa" w:w="4986"/>
            <w:shd w:val="clear" w:color="auto" w:fill="f5f5f5"/>
          </w:tcPr>
          <w:p>
            <w:r>
              <w:rPr>
                <w:b w:val="0"/>
                <w:i w:val="0"/>
                <w:color w:val="444444"/>
                <w:sz w:val="18"/>
              </w:rPr>
              <w:t>$________________ USD    /    €________________ EUR</w:t>
            </w:r>
          </w:p>
        </w:tc>
      </w:tr>
      <w:tr>
        <w:tc>
          <w:tcPr>
            <w:tcW w:type="dxa" w:w="4986"/>
            <w:shd w:val="clear" w:color="auto" w:fill="0d1018"/>
          </w:tcPr>
          <w:p>
            <w:r>
              <w:rPr>
                <w:b/>
                <w:i w:val="0"/>
                <w:color w:val="00E5C8"/>
                <w:sz w:val="18"/>
              </w:rPr>
              <w:t>Payment Schedule</w:t>
            </w:r>
          </w:p>
        </w:tc>
        <w:tc>
          <w:tcPr>
            <w:tcW w:type="dxa" w:w="4986"/>
            <w:shd w:val="clear" w:color="auto" w:fill="ffffff"/>
          </w:tcPr>
          <w:p>
            <w:r>
              <w:rPr>
                <w:b w:val="0"/>
                <w:i w:val="0"/>
                <w:color w:val="444444"/>
                <w:sz w:val="18"/>
              </w:rPr>
              <w:t>50% due before commencement  ·  50% due on delivery of final report</w:t>
            </w:r>
          </w:p>
        </w:tc>
      </w:tr>
      <w:tr>
        <w:tc>
          <w:tcPr>
            <w:tcW w:type="dxa" w:w="4986"/>
            <w:shd w:val="clear" w:color="auto" w:fill="0d1018"/>
          </w:tcPr>
          <w:p>
            <w:r>
              <w:rPr>
                <w:b/>
                <w:i w:val="0"/>
                <w:color w:val="00E5C8"/>
                <w:sz w:val="18"/>
              </w:rPr>
              <w:t>Payment Methods</w:t>
            </w:r>
          </w:p>
        </w:tc>
        <w:tc>
          <w:tcPr>
            <w:tcW w:type="dxa" w:w="4986"/>
            <w:shd w:val="clear" w:color="auto" w:fill="f5f5f5"/>
          </w:tcPr>
          <w:p>
            <w:r>
              <w:rPr>
                <w:b w:val="0"/>
                <w:i w:val="0"/>
                <w:color w:val="444444"/>
                <w:sz w:val="18"/>
              </w:rPr>
              <w:t>Bank Transfer  ·  Paystack  ·  Stripe  ·  LemonSqueezy  ·  USDT/USDC</w:t>
            </w:r>
          </w:p>
        </w:tc>
      </w:tr>
      <w:tr>
        <w:tc>
          <w:tcPr>
            <w:tcW w:type="dxa" w:w="4986"/>
            <w:shd w:val="clear" w:color="auto" w:fill="0d1018"/>
          </w:tcPr>
          <w:p>
            <w:r>
              <w:rPr>
                <w:b/>
                <w:i w:val="0"/>
                <w:color w:val="00E5C8"/>
                <w:sz w:val="18"/>
              </w:rPr>
              <w:t>Late Payment</w:t>
            </w:r>
          </w:p>
        </w:tc>
        <w:tc>
          <w:tcPr>
            <w:tcW w:type="dxa" w:w="4986"/>
            <w:shd w:val="clear" w:color="auto" w:fill="ffffff"/>
          </w:tcPr>
          <w:p>
            <w:r>
              <w:rPr>
                <w:b w:val="0"/>
                <w:i w:val="0"/>
                <w:color w:val="444444"/>
                <w:sz w:val="18"/>
              </w:rPr>
              <w:t>1.5% per month on overdue amounts after 14 calendar days</w:t>
            </w:r>
          </w:p>
        </w:tc>
      </w:tr>
      <w:tr>
        <w:tc>
          <w:tcPr>
            <w:tcW w:type="dxa" w:w="4986"/>
            <w:shd w:val="clear" w:color="auto" w:fill="0d1018"/>
          </w:tcPr>
          <w:p>
            <w:r>
              <w:rPr>
                <w:b/>
                <w:i w:val="0"/>
                <w:color w:val="00E5C8"/>
                <w:sz w:val="18"/>
              </w:rPr>
              <w:t>Change Orders</w:t>
            </w:r>
          </w:p>
        </w:tc>
        <w:tc>
          <w:tcPr>
            <w:tcW w:type="dxa" w:w="4986"/>
            <w:shd w:val="clear" w:color="auto" w:fill="f5f5f5"/>
          </w:tcPr>
          <w:p>
            <w:r>
              <w:rPr>
                <w:b w:val="0"/>
                <w:i w:val="0"/>
                <w:color w:val="444444"/>
                <w:sz w:val="18"/>
              </w:rPr>
              <w:t>Out-of-scope work billed at $300 USD/hour, pre-approved in writing</w:t>
            </w:r>
          </w:p>
        </w:tc>
      </w:tr>
      <w:tr>
        <w:tc>
          <w:tcPr>
            <w:tcW w:type="dxa" w:w="4986"/>
            <w:shd w:val="clear" w:color="auto" w:fill="0d1018"/>
          </w:tcPr>
          <w:p>
            <w:r>
              <w:rPr>
                <w:b/>
                <w:i w:val="0"/>
                <w:color w:val="00E5C8"/>
                <w:sz w:val="18"/>
              </w:rPr>
              <w:t>Cancellation</w:t>
            </w:r>
          </w:p>
        </w:tc>
        <w:tc>
          <w:tcPr>
            <w:tcW w:type="dxa" w:w="4986"/>
            <w:shd w:val="clear" w:color="auto" w:fill="ffffff"/>
          </w:tcPr>
          <w:p>
            <w:r>
              <w:rPr>
                <w:b w:val="0"/>
                <w:i w:val="0"/>
                <w:color w:val="444444"/>
                <w:sz w:val="18"/>
              </w:rPr>
              <w:t>&lt; 72hrs before start: 50% non-refundable. After commencement: full fee applies.</w:t>
            </w:r>
          </w:p>
        </w:tc>
      </w:tr>
    </w:tbl>
    <w:p/>
    <w:p>
      <w:pPr>
        <w:pStyle w:val="Heading2"/>
      </w:pPr>
      <w:r>
        <w:rPr>
          <w:rFonts w:ascii="Arial" w:hAnsi="Arial"/>
          <w:color w:val="080A0F"/>
        </w:rPr>
        <w:t>5. Intellectual Property</w:t>
      </w:r>
    </w:p>
    <w:p>
      <w:pPr>
        <w:spacing w:after="120"/>
      </w:pPr>
      <w:r>
        <w:rPr>
          <w:rFonts w:ascii="Arial" w:hAnsi="Arial"/>
          <w:sz w:val="20"/>
        </w:rPr>
        <w:t>Tinlance retains all IP in ThreatFade, BugFlow, ReconOS, FusionOps, KalevioAI, TwinGuard, and all related source code, signatures, and methodology. Client owns all custom configurations, rules, and reports produced specifically for Client during this engagement. Tinlance may reference this engagement as a case study (without confidential details) unless Client objects in writing within 30 days.</w:t>
      </w:r>
    </w:p>
    <w:p/>
    <w:p>
      <w:pPr>
        <w:pStyle w:val="Heading2"/>
      </w:pPr>
      <w:r>
        <w:rPr>
          <w:rFonts w:ascii="Arial" w:hAnsi="Arial"/>
          <w:color w:val="080A0F"/>
        </w:rPr>
        <w:t>6. Confidentiality</w:t>
      </w:r>
    </w:p>
    <w:p>
      <w:pPr>
        <w:spacing w:after="120"/>
      </w:pPr>
      <w:r>
        <w:rPr>
          <w:rFonts w:ascii="Arial" w:hAnsi="Arial"/>
          <w:sz w:val="20"/>
        </w:rPr>
        <w:t>Both parties agree to keep Confidential Information strictly confidential for three (3) years. Confidential Information includes: Client's network architecture, vulnerabilities, and business data; Tinlance's source code, detection signatures, and unpublished methodology. All reports are classified CONFIDENTIAL.</w:t>
      </w:r>
    </w:p>
    <w:p/>
    <w:p>
      <w:pPr>
        <w:pStyle w:val="Heading2"/>
      </w:pPr>
      <w:r>
        <w:rPr>
          <w:rFonts w:ascii="Arial" w:hAnsi="Arial"/>
          <w:color w:val="080A0F"/>
        </w:rPr>
        <w:t>7. Authorisation, Liability &amp; Indemnity</w:t>
      </w:r>
    </w:p>
    <w:p>
      <w:pPr>
        <w:spacing w:after="120"/>
      </w:pPr>
      <w:r>
        <w:rPr>
          <w:rFonts w:ascii="Arial" w:hAnsi="Arial"/>
          <w:sz w:val="20"/>
        </w:rPr>
        <w:t>Client confirms they are authorised to grant permission for all testing activities in scope. Tinlance's liability is limited to total fees paid. Tinlance is not liable for indirect, consequential, or punitive damages.</w:t>
      </w:r>
    </w:p>
    <w:p/>
    <w:p>
      <w:pPr>
        <w:pStyle w:val="Heading2"/>
      </w:pPr>
      <w:r>
        <w:rPr>
          <w:rFonts w:ascii="Arial" w:hAnsi="Arial"/>
          <w:color w:val="080A0F"/>
        </w:rPr>
        <w:t>8. Governing Law</w:t>
      </w:r>
    </w:p>
    <w:p>
      <w:pPr>
        <w:spacing w:after="120"/>
      </w:pPr>
      <w:r>
        <w:rPr>
          <w:rFonts w:ascii="Arial" w:hAnsi="Arial"/>
          <w:sz w:val="20"/>
        </w:rPr>
        <w:t>Governed by laws of the Federal Republic of Nigeria (or Client's jurisdiction by mutual agreement). Disputes resolved first by good-faith negotiation, then mediation or arbitration.</w:t>
      </w:r>
    </w:p>
    <w:p/>
    <w:p>
      <w:pPr>
        <w:pStyle w:val="Heading2"/>
      </w:pPr>
      <w:r>
        <w:rPr>
          <w:rFonts w:ascii="Arial" w:hAnsi="Arial"/>
          <w:color w:val="080A0F"/>
        </w:rPr>
        <w:t>9. Signatures</w:t>
      </w:r>
    </w:p>
    <w:tbl>
      <w:tblPr>
        <w:tblW w:type="auto" w:w="0"/>
        <w:tblLook w:firstColumn="1" w:firstRow="1" w:lastColumn="0" w:lastRow="0" w:noHBand="0" w:noVBand="1" w:val="04A0"/>
      </w:tblPr>
      <w:tblGrid>
        <w:gridCol w:w="4986"/>
        <w:gridCol w:w="4986"/>
      </w:tblGrid>
      <w:tr>
        <w:tc>
          <w:tcPr>
            <w:tcW w:type="dxa" w:w="4986"/>
          </w:tcPr>
          <w:p>
            <w:r>
              <w:rPr>
                <w:b/>
                <w:i w:val="0"/>
                <w:color w:val="00E5C8"/>
                <w:sz w:val="18"/>
              </w:rPr>
              <w:t>FOR TINLANCE LIMITED</w:t>
            </w:r>
          </w:p>
          <w:p>
            <w:r>
              <w:rPr>
                <w:b w:val="0"/>
                <w:i w:val="0"/>
                <w:color w:val="888888"/>
                <w:sz w:val="18"/>
              </w:rPr>
              <w:t>Signature: _________________________</w:t>
            </w:r>
          </w:p>
          <w:p>
            <w:r>
              <w:rPr>
                <w:b w:val="0"/>
                <w:i w:val="0"/>
                <w:color w:val="888888"/>
                <w:sz w:val="18"/>
              </w:rPr>
              <w:t>Name: Chinaemerem Nwachukwu</w:t>
            </w:r>
          </w:p>
          <w:p>
            <w:r>
              <w:rPr>
                <w:b w:val="0"/>
                <w:i w:val="0"/>
                <w:color w:val="888888"/>
                <w:sz w:val="18"/>
              </w:rPr>
              <w:t>Title: Founder &amp; CEO</w:t>
            </w:r>
          </w:p>
          <w:p>
            <w:r>
              <w:rPr>
                <w:b w:val="0"/>
                <w:i w:val="0"/>
                <w:color w:val="888888"/>
                <w:sz w:val="18"/>
              </w:rPr>
              <w:t>Date: _________________________</w:t>
            </w:r>
          </w:p>
        </w:tc>
        <w:tc>
          <w:tcPr>
            <w:tcW w:type="dxa" w:w="4986"/>
          </w:tcPr>
          <w:p>
            <w:r>
              <w:rPr>
                <w:b/>
                <w:i w:val="0"/>
                <w:color w:val="00E5C8"/>
                <w:sz w:val="18"/>
              </w:rPr>
              <w:t>FOR CLIENT</w:t>
            </w:r>
          </w:p>
          <w:p>
            <w:r>
              <w:rPr>
                <w:b w:val="0"/>
                <w:i w:val="0"/>
                <w:color w:val="888888"/>
                <w:sz w:val="18"/>
              </w:rPr>
              <w:t>Signature: _________________________</w:t>
            </w:r>
          </w:p>
          <w:p>
            <w:r>
              <w:rPr>
                <w:b w:val="0"/>
                <w:i w:val="0"/>
                <w:color w:val="888888"/>
                <w:sz w:val="18"/>
              </w:rPr>
              <w:t>Name: _________________________</w:t>
            </w:r>
          </w:p>
          <w:p>
            <w:r>
              <w:rPr>
                <w:b w:val="0"/>
                <w:i w:val="0"/>
                <w:color w:val="888888"/>
                <w:sz w:val="18"/>
              </w:rPr>
              <w:t>Title: _________________________</w:t>
            </w:r>
          </w:p>
          <w:p>
            <w:r>
              <w:rPr>
                <w:b w:val="0"/>
                <w:i w:val="0"/>
                <w:color w:val="888888"/>
                <w:sz w:val="18"/>
              </w:rPr>
              <w:t>Date: _________________________</w:t>
            </w:r>
          </w:p>
        </w:tc>
      </w:tr>
    </w:tbl>
    <w:p/>
    <w:p>
      <w:pPr>
        <w:pBdr>
          <w:bottom w:val="single" w:sz="6" w:space="1" w:color="00e5c8"/>
        </w:pBdr>
      </w:pPr>
    </w:p>
    <w:p>
      <w:pPr>
        <w:jc w:val="center"/>
      </w:pPr>
      <w:r>
        <w:rPr>
          <w:b w:val="0"/>
          <w:i w:val="0"/>
          <w:color w:val="888888"/>
          <w:sz w:val="16"/>
        </w:rPr>
        <w:t>Tinlance Limited  ·  RC: 7962164  ·  tinlance.com  ·  FDSE Engagement Toolkit v1.0.0</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