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22"/>
              </w:rPr>
              <w:t>TINLANCE.</w:t>
            </w:r>
            <w:r>
              <w:rPr>
                <w:rFonts w:ascii="Arial" w:hAnsi="Arial"/>
                <w:b w:val="0"/>
                <w:i w:val="0"/>
                <w:color w:val="888888"/>
                <w:sz w:val="18"/>
              </w:rPr>
              <w:t xml:space="preserve">  ·  Return on Investment Analysis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80A0F"/>
        </w:rPr>
        <w:t>ThreatFade ROI Analysis</w:t>
      </w:r>
    </w:p>
    <w:p>
      <w:r>
        <w:rPr>
          <w:rFonts w:ascii="Arial" w:hAnsi="Arial"/>
          <w:b/>
          <w:i w:val="0"/>
          <w:color w:val="00B8A0"/>
          <w:sz w:val="24"/>
        </w:rPr>
        <w:t>Prepared for: Acme Financial Services Ltd  ·  Industry: Financial Services  ·  June 06, 2026</w:t>
      </w:r>
    </w:p>
    <w:p>
      <w:pPr>
        <w:pBdr>
          <w:bottom w:val="single" w:sz="6" w:space="1" w:color="00e5c8"/>
        </w:pBdr>
      </w:pPr>
    </w:p>
    <w:p>
      <w:pPr>
        <w:pStyle w:val="Heading2"/>
      </w:pPr>
      <w:r>
        <w:rPr>
          <w:rFonts w:ascii="Arial" w:hAnsi="Arial"/>
          <w:color w:val="080A0F"/>
        </w:rPr>
        <w:t>Detection Speed: Industry vs ThreatFade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Metric</w:t>
            </w:r>
          </w:p>
        </w:tc>
        <w:tc>
          <w:tcPr>
            <w:tcW w:type="dxa" w:w="3324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Industry Average</w:t>
            </w:r>
          </w:p>
        </w:tc>
        <w:tc>
          <w:tcPr>
            <w:tcW w:type="dxa" w:w="3324"/>
            <w:shd w:val="clear" w:color="auto" w:fill="080a0f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With ThreatFade</w:t>
            </w:r>
          </w:p>
        </w:tc>
      </w:tr>
      <w:tr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Mean Time to Detect (MTTD)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207 days (industry avg)</w:t>
            </w:r>
          </w:p>
        </w:tc>
        <w:tc>
          <w:tcPr>
            <w:tcW w:type="dxa" w:w="3324"/>
            <w:shd w:val="clear" w:color="auto" w:fill="f0fdfb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847ms (validated)</w:t>
            </w:r>
          </w:p>
        </w:tc>
      </w:tr>
      <w:tr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MTTD Reduction</w:t>
            </w:r>
          </w:p>
        </w:tc>
        <w:tc>
          <w:tcPr>
            <w:tcW w:type="dxa" w:w="3324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Baseline</w:t>
            </w:r>
          </w:p>
        </w:tc>
        <w:tc>
          <w:tcPr>
            <w:tcW w:type="dxa" w:w="3324"/>
            <w:shd w:val="clear" w:color="auto" w:fill="f0fdfb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100.0% faster detection</w:t>
            </w:r>
          </w:p>
        </w:tc>
      </w:tr>
      <w:tr>
        <w:tc>
          <w:tcPr>
            <w:tcW w:type="dxa" w:w="3324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Mean Time to Respond (MTTR)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70 days (industry avg)</w:t>
            </w:r>
          </w:p>
        </w:tc>
        <w:tc>
          <w:tcPr>
            <w:tcW w:type="dxa" w:w="3324"/>
            <w:shd w:val="clear" w:color="auto" w:fill="f0fdfb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4.0 hours</w:t>
            </w:r>
          </w:p>
        </w:tc>
      </w:tr>
    </w:tbl>
    <w:p/>
    <w:p>
      <w:r>
        <w:rPr>
          <w:rFonts w:ascii="Arial" w:hAnsi="Arial"/>
          <w:b/>
          <w:i w:val="0"/>
          <w:color w:val="00E5C8"/>
          <w:sz w:val="18"/>
        </w:rPr>
        <w:t xml:space="preserve">Source: </w:t>
      </w:r>
      <w:r>
        <w:rPr>
          <w:rFonts w:ascii="Arial" w:hAnsi="Arial"/>
          <w:b w:val="0"/>
          <w:i w:val="0"/>
          <w:color w:val="888888"/>
          <w:sz w:val="16"/>
        </w:rPr>
        <w:t>ThreatFade detection time validated against 490,000+ packets of real Merlin QUIC C2 traffic. Industry MTTD/MTTR benchmarks from IBM Cost of a Data Breach Report 2025. False positive rate: 0% (100-run validation).</w:t>
      </w:r>
    </w:p>
    <w:p/>
    <w:p>
      <w:pPr>
        <w:pStyle w:val="Heading2"/>
      </w:pPr>
      <w:r>
        <w:rPr>
          <w:rFonts w:ascii="Arial" w:hAnsi="Arial"/>
          <w:color w:val="080A0F"/>
        </w:rPr>
        <w:t>Financial Impact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d101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E5C8"/>
                <w:sz w:val="44"/>
              </w:rPr>
              <w:t>$418x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888888"/>
                <w:sz w:val="18"/>
              </w:rPr>
              <w:t>Return on Investment</w:t>
            </w:r>
          </w:p>
        </w:tc>
        <w:tc>
          <w:tcPr>
            <w:tcW w:type="dxa" w:w="3324"/>
            <w:shd w:val="clear" w:color="auto" w:fill="0d101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ECC71"/>
                <w:sz w:val="44"/>
              </w:rPr>
              <w:t>$2,508,494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888888"/>
                <w:sz w:val="18"/>
              </w:rPr>
              <w:t>Total Value Protected</w:t>
            </w:r>
          </w:p>
        </w:tc>
        <w:tc>
          <w:tcPr>
            <w:tcW w:type="dxa" w:w="3324"/>
            <w:shd w:val="clear" w:color="auto" w:fill="0d101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8C42"/>
                <w:sz w:val="44"/>
              </w:rPr>
              <w:t>0 days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888888"/>
                <w:sz w:val="18"/>
              </w:rPr>
              <w:t>Payback Period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Average breach cost (Financial Services industry)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$2,360,000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Annual incidents (industry average)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2.3 per year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Annual risk exposure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$5,428,000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Breach cost avoided (faster MTTD/MTTR)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$2,358,494</w:t>
            </w:r>
          </w:p>
        </w:tc>
      </w:tr>
      <w:tr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NIS2 fine risk (2% global turnover cap)</w:t>
            </w:r>
          </w:p>
        </w:tc>
        <w:tc>
          <w:tcPr>
            <w:tcW w:type="dxa" w:w="4986"/>
            <w:shd w:val="clear" w:color="auto" w:fill="f5f5f5"/>
          </w:tcPr>
          <w:p>
            <w:r>
              <w:rPr>
                <w:rFonts w:ascii="Arial" w:hAnsi="Arial"/>
                <w:b w:val="0"/>
                <w:i w:val="0"/>
                <w:color w:val="444444"/>
                <w:sz w:val="18"/>
              </w:rPr>
              <w:t>$500,000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Total value protected</w:t>
            </w:r>
          </w:p>
        </w:tc>
        <w:tc>
          <w:tcPr>
            <w:tcW w:type="dxa" w:w="4986"/>
            <w:shd w:val="clear" w:color="auto" w:fill="f0fdfb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$2,508,494</w:t>
            </w:r>
          </w:p>
        </w:tc>
      </w:tr>
      <w:tr>
        <w:tc>
          <w:tcPr>
            <w:tcW w:type="dxa" w:w="4986"/>
            <w:shd w:val="clear" w:color="auto" w:fill="0d1018"/>
          </w:tcPr>
          <w:p>
            <w:r>
              <w:rPr>
                <w:rFonts w:ascii="Arial" w:hAnsi="Arial"/>
                <w:b/>
                <w:i w:val="0"/>
                <w:color w:val="00E5C8"/>
                <w:sz w:val="18"/>
              </w:rPr>
              <w:t>ThreatFade pilot cost</w:t>
            </w:r>
          </w:p>
        </w:tc>
        <w:tc>
          <w:tcPr>
            <w:tcW w:type="dxa" w:w="4986"/>
            <w:shd w:val="clear" w:color="auto" w:fill="fff0f0"/>
          </w:tcPr>
          <w:p>
            <w:r>
              <w:rPr>
                <w:rFonts w:ascii="Arial" w:hAnsi="Arial"/>
                <w:b/>
                <w:i w:val="0"/>
                <w:color w:val="FF4D6D"/>
                <w:sz w:val="18"/>
              </w:rPr>
              <w:t>$6,000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80A0F"/>
        </w:rPr>
        <w:t>Independent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b"/>
          </w:tcPr>
          <w:p>
            <w:pPr>
              <w:ind w:left="144"/>
            </w:pPr>
            <w:r>
              <w:rPr>
                <w:rFonts w:ascii="Arial" w:hAnsi="Arial"/>
                <w:b/>
                <w:i/>
                <w:color w:val="080A0F"/>
                <w:sz w:val="22"/>
              </w:rPr>
              <w:t>"Tested all scenarios. No bugs. Everything passed. It's solid."</w:t>
            </w:r>
          </w:p>
          <w:p>
            <w:r>
              <w:rPr>
                <w:rFonts w:ascii="Arial" w:hAnsi="Arial"/>
                <w:b/>
                <w:i w:val="0"/>
                <w:color w:val="00B8A0"/>
                <w:sz w:val="18"/>
              </w:rPr>
              <w:t>— Engr Uzoma — Cybersecurity Expert, Forex Engineer &amp; Full Stack Developer</w:t>
            </w:r>
          </w:p>
        </w:tc>
      </w:tr>
    </w:tbl>
    <w:p/>
    <w:p>
      <w:r>
        <w:rPr>
          <w:rFonts w:ascii="Arial" w:hAnsi="Arial"/>
          <w:b/>
          <w:i w:val="0"/>
          <w:color w:val="00E5C8"/>
          <w:sz w:val="18"/>
        </w:rPr>
        <w:t xml:space="preserve">Validated against: </w:t>
      </w:r>
      <w:r>
        <w:rPr>
          <w:rFonts w:ascii="Arial" w:hAnsi="Arial"/>
          <w:b w:val="0"/>
          <w:i w:val="0"/>
          <w:color w:val="444444"/>
          <w:sz w:val="18"/>
        </w:rPr>
        <w:t>Merlin QUIC C2 (z=14.76, 490K+ packets)  ·  Cobalt Strike (z=7.01)  ·  IcedID (z=3.89)  ·  0% false positive rate</w:t>
      </w: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Tinlance Limited  ·  RC: 7962164  ·  tinlance.com  ·  Acme Financial Services Ltd  ·  CONFIDENTIAL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