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Physical AI 公司初步执行规划</w:t>
      </w:r>
    </w:p>
    <w:p>
      <w:pPr>
        <w:spacing w:after="440"/>
      </w:pPr>
      <w:r>
        <w:rPr>
          <w:rFonts w:ascii="Calibri" w:hAnsi="Calibri" w:eastAsia="Microsoft YaHei"/>
          <w:color w:val="5D6678"/>
          <w:sz w:val="20"/>
        </w:rPr>
        <w:t>日期：2026-06-04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文件定位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这份文件不是当前项目的实施计划，而是以一家初创公司的视角，说明 Physical AI for Welding 这件事如何启动、如何验证、如何避免过早发散。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当前「焊接技能大师平台」是重要的早期资产，但它不是公司的全部，也不应决定公司的叙事颗粒度。公司要验证的是一个更大的问题：能否把高技能工业作业从个人经验，变成可沉淀、可迁移、可执行、可审计的组织能力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阶段目标</w:t>
      </w:r>
    </w:p>
    <w:p>
      <w:r>
        <w:rPr>
          <w:rFonts w:ascii="Calibri" w:hAnsi="Calibri" w:eastAsia="Microsoft YaHei"/>
          <w:b w:val="0"/>
          <w:color w:val="172033"/>
          <w:sz w:val="22"/>
        </w:rPr>
        <w:t>早期阶段最重要的目标不是证明我们能做很多功能，而是证明这家公司有一个成立的能力闭环。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这个闭环包括四件事：找到足够痛的工业场景，定义可复用的技能资产，建立进入机器人执行的路径，并用证据说明能力边界。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如果这四件事能在焊接中成立，公司就不只是一个项目团队，而是在形成一类新的工业能力基础设施。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大的推进节奏</w:t>
      </w:r>
    </w:p>
    <w:p>
      <w:r>
        <w:rPr>
          <w:rFonts w:ascii="Calibri" w:hAnsi="Calibri" w:eastAsia="Microsoft YaHei"/>
          <w:b w:val="0"/>
          <w:color w:val="172033"/>
          <w:sz w:val="22"/>
        </w:rPr>
        <w:t>推进节奏不宜先写成详细时间表，而应按创业验证的成熟度推进。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第一阶段是方向收敛。核心任务是明确第一批客户是谁、他们最痛的高技能焊接问题是什么、哪些场景足够具体又足够有扩展价值。这个阶段要少做泛平台，多做问题选择。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第二阶段是样板能力。围绕一个或两个代表性场景，形成能被内部反复讨论、能被外部客户理解的能力样板。样板不是 demo，而是要说明：经验如何进入数据，数据如何形成技能资产，技能资产如何连接机器人执行，证据如何说明可信边界。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第三阶段是外部验证。用客户访谈、专家复核、有限数据合作或小范围现场资料，验证客户是否认同这个问题、是否愿意提供数据和工艺知识、是否认为技能资产有长期价值。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第四阶段是产品化判断。只有当客户问题、技能资产形态、数据来源、执行路径和证据边界都逐步稳定，才进入更清晰的产品形态、商业模式和交付方式讨论。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启动策略</w:t>
      </w:r>
    </w:p>
    <w:p>
      <w:r>
        <w:rPr>
          <w:rFonts w:ascii="Calibri" w:hAnsi="Calibri" w:eastAsia="Microsoft YaHei"/>
          <w:b w:val="0"/>
          <w:color w:val="172033"/>
          <w:sz w:val="22"/>
        </w:rPr>
        <w:t>启动方式应保持窄、轻、真实。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窄，是指先选择少数场景，不把公司一开始做成泛工业平台。焊接内部也要先选更适合沉淀技能资产的任务，而不是从最复杂、最依赖现场传感和闭环控制的任务开始。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轻，是指不先重投入机器人本体、完整现场集成或高保真物理仿真。早期重点是把技能资产对象、数据结构、证据边界和执行接口建立起来。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真实，是指所有样板能力都要能回到客户问题和工艺语境中讨论。不能只做技术演示，也不能把仿真、公开资料或软件原型包装成真实质量结论。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当前项目的角色</w:t>
      </w:r>
    </w:p>
    <w:p>
      <w:r>
        <w:rPr>
          <w:rFonts w:ascii="Calibri" w:hAnsi="Calibri" w:eastAsia="Microsoft YaHei"/>
          <w:b w:val="0"/>
          <w:color w:val="172033"/>
          <w:sz w:val="22"/>
        </w:rPr>
        <w:t>当前项目的价值，是为公司提供了一个早期能力底座：它已经围绕经验结构化、技能包、数据接入、仿真样本、机器人执行基线和证据报告做出了一些可复用雏形。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但从公司视角看，这些内容不应被理解为一组项目功能清单，而应被抽象为三类资产：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技能资产对象：帮助公司定义什么是可复用的工业技能；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数据与证据机制：帮助公司判断哪些数据可信、哪些仍是假设、哪些需要真实验证；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执行接口雏形：帮助公司把技能资产逐步连接到机器人、焊机、仿真器和工作站。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下一步不是简单继续堆功能，而是把这些雏形放进更大的创业验证中：客户是否认可，场景是否足够痛，数据是否能获得，技能是否能复用，机器人执行是否有清晰边界。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关键问题</w:t>
      </w:r>
    </w:p>
    <w:p>
      <w:r>
        <w:rPr>
          <w:rFonts w:ascii="Calibri" w:hAnsi="Calibri" w:eastAsia="Microsoft YaHei"/>
          <w:b w:val="0"/>
          <w:color w:val="172033"/>
          <w:sz w:val="22"/>
        </w:rPr>
        <w:t>当前最重要的问题不是“还要做哪些模块”，而是公司能否回答以下几个问题。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第一，起始客户是谁。我们要找到真正受复杂焊接任务、老师傅依赖、机器人升级和工艺传承困扰的客户，而不是泛泛地服务所有制造企业。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第二，起始场景是什么。场景必须足够具体，能让技能资产被定义和验证；同时又不能太窄，否则只能变成一次性项目经验。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第三，技能资产的最小形态是什么。它既要小到能被早期团队持续生成，也要完整到能承载来源、适用范围、迁移规则、执行建议和证据状态。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第四，数据如何获得和治理。公开资料、仿真样本、专家经验、真机数据和质检结果都可以进入体系，但它们的可信等级和用途必须分开。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第五，机器人执行如何进入。公司不应一开始变成机器人本体厂或系统集成商，而应通过 adapter 和执行基线逐步连接物理世界。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第六，商业入口是什么。早期可能从场景诊断、技能资产样板、数据层建设或机器人化改造评估切入，但最终必须回到长期技能资产，而不是停留在一次性咨询或一次性调试。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暂不进入主线的事项</w:t>
      </w:r>
    </w:p>
    <w:p>
      <w:r>
        <w:rPr>
          <w:rFonts w:ascii="Calibri" w:hAnsi="Calibri" w:eastAsia="Microsoft YaHei"/>
          <w:b w:val="0"/>
          <w:color w:val="172033"/>
          <w:sz w:val="22"/>
        </w:rPr>
        <w:t>为了保持创业初期的判断力，当前不把以下事项作为主线：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不以机器人本体、焊机硬件或现场系统集成为公司核心；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不以泛工业大模型或泛数据平台作为主要叙事；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不以完整高保真仿真平台作为前提；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不把公开资料、仿真结果或软件原型写成真实焊接质量结论；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不生成或替代 WPS/PQR；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不把熔池视觉闭环或焊中闭环控制作为启动点；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172033"/>
          <w:sz w:val="22"/>
        </w:rPr>
        <w:t>不为了展示效果增加与技能资产沉淀无关的功能。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这些方向并非没有价值，而是需要在公司主线成立之后再判断是否进入。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阶段性判断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这家公司早期要证明的，不是“我们有一个焊接项目”，而是“我们能围绕焊接建立一种新的工业技能资产化方法”。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当前项目提供了起点，但创业推进必须从项目视角上升到公司视角：客户、场景、资产、数据、执行和证据都要一起成立。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如果这一点成立，Physical AI for Welding 就不只是技术方向，而会成为一家公司的核心能力。后续研发、客户沟通和资源投入，都应服务于这个判断。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678"/>
        <w:sz w:val="18"/>
      </w:rPr>
      <w:t>内部执行规划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ategyQuote">
    <w:name w:val="Strategy Quote"/>
    <w:pPr>
      <w:spacing w:before="120" w:after="240" w:line="276" w:lineRule="auto"/>
      <w:ind w:left="259" w:right="173"/>
    </w:pPr>
    <w:rPr>
      <w:rFonts w:ascii="Calibri" w:hAnsi="Calibri" w:eastAsia="Microsoft YaHei"/>
      <w:b/>
      <w:color w:val="1F3A5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