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DevOS Vision &amp; Product Strategy</w:t>
      </w:r>
    </w:p>
    <w:p>
      <w:r>
        <w:t>Version: 0.1 Draft</w:t>
        <w:br/>
        <w:t>Status: In Progress</w:t>
      </w:r>
    </w:p>
    <w:p>
      <w:pPr>
        <w:pStyle w:val="Heading1"/>
      </w:pPr>
      <w:r>
        <w:t>Executive Summary</w:t>
      </w:r>
    </w:p>
    <w:p>
      <w:r>
        <w:t>DevOS is an AI-native Software Development Operating System that orchestrates specialised AI agents across the SDLC under human supervision. It shifts engineering teams from manually performing every SDLC activity to supervising an orchestrated network of expert agents that analyse, design, plan, implement, test, review and document software.</w:t>
      </w:r>
    </w:p>
    <w:p>
      <w:pPr>
        <w:pStyle w:val="Heading1"/>
      </w:pPr>
      <w:r>
        <w:t>Vision</w:t>
      </w:r>
    </w:p>
    <w:p>
      <w:r>
        <w:t>Enable every software engineering team to deliver high-quality software through repeatable, transparent and intelligent workflows powered by collaborating AI agents.</w:t>
      </w:r>
    </w:p>
    <w:p>
      <w:pPr>
        <w:pStyle w:val="Heading1"/>
      </w:pPr>
      <w:r>
        <w:t>Problem Statement</w:t>
      </w:r>
    </w:p>
    <w:p>
      <w:pPr>
        <w:pStyle w:val="ListBullet"/>
      </w:pPr>
      <w:r>
        <w:t>Inconsistent software delivery processes.</w:t>
      </w:r>
    </w:p>
    <w:p>
      <w:pPr>
        <w:pStyle w:val="ListBullet"/>
      </w:pPr>
      <w:r>
        <w:t>Requirements that are incomplete or ambiguous.</w:t>
      </w:r>
    </w:p>
    <w:p>
      <w:pPr>
        <w:pStyle w:val="ListBullet"/>
      </w:pPr>
      <w:r>
        <w:t>Knowledge concentrated in senior engineers.</w:t>
      </w:r>
    </w:p>
    <w:p>
      <w:pPr>
        <w:pStyle w:val="ListBullet"/>
      </w:pPr>
      <w:r>
        <w:t>Manual documentation and planning.</w:t>
      </w:r>
    </w:p>
    <w:p>
      <w:pPr>
        <w:pStyle w:val="ListBullet"/>
      </w:pPr>
      <w:r>
        <w:t>AI assistants that optimise individuals rather than the engineering system.</w:t>
      </w:r>
    </w:p>
    <w:p>
      <w:pPr>
        <w:pStyle w:val="Heading1"/>
      </w:pPr>
      <w:r>
        <w:t>Product Goals</w:t>
      </w:r>
    </w:p>
    <w:p>
      <w:pPr>
        <w:pStyle w:val="ListBullet"/>
      </w:pPr>
      <w:r>
        <w:t>Workflow-first architecture.</w:t>
      </w:r>
    </w:p>
    <w:p>
      <w:pPr>
        <w:pStyle w:val="ListBullet"/>
      </w:pPr>
      <w:r>
        <w:t>Specification-driven engineering.</w:t>
      </w:r>
    </w:p>
    <w:p>
      <w:pPr>
        <w:pStyle w:val="ListBullet"/>
      </w:pPr>
      <w:r>
        <w:t>Human approval at key decision points.</w:t>
      </w:r>
    </w:p>
    <w:p>
      <w:pPr>
        <w:pStyle w:val="ListBullet"/>
      </w:pPr>
      <w:r>
        <w:t>Reusable organisational knowledge.</w:t>
      </w:r>
    </w:p>
    <w:p>
      <w:pPr>
        <w:pStyle w:val="ListBullet"/>
      </w:pPr>
      <w:r>
        <w:t>Vendor-agnostic multi-LLM support.</w:t>
      </w:r>
    </w:p>
    <w:p>
      <w:pPr>
        <w:pStyle w:val="ListBullet"/>
      </w:pPr>
      <w:r>
        <w:t>Extensible agent and integration framework.</w:t>
      </w:r>
    </w:p>
    <w:p>
      <w:pPr>
        <w:pStyle w:val="Heading1"/>
      </w:pPr>
      <w:r>
        <w:t>High-Level Platform Components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Purpose</w:t>
            </w:r>
          </w:p>
        </w:tc>
      </w:tr>
      <w:tr>
        <w:tc>
          <w:tcPr>
            <w:tcW w:type="dxa" w:w="4320"/>
          </w:tcPr>
          <w:p>
            <w:r>
              <w:t>Experience Layer</w:t>
            </w:r>
          </w:p>
        </w:tc>
        <w:tc>
          <w:tcPr>
            <w:tcW w:type="dxa" w:w="4320"/>
          </w:tcPr>
          <w:p>
            <w:r>
              <w:t>Web, IDE and collaboration interfaces.</w:t>
            </w:r>
          </w:p>
        </w:tc>
      </w:tr>
      <w:tr>
        <w:tc>
          <w:tcPr>
            <w:tcW w:type="dxa" w:w="4320"/>
          </w:tcPr>
          <w:p>
            <w:r>
              <w:t>Workflow Orchestration Kernel</w:t>
            </w:r>
          </w:p>
        </w:tc>
        <w:tc>
          <w:tcPr>
            <w:tcW w:type="dxa" w:w="4320"/>
          </w:tcPr>
          <w:p>
            <w:r>
              <w:t>Coordinates workflows, agents and approvals.</w:t>
            </w:r>
          </w:p>
        </w:tc>
      </w:tr>
      <w:tr>
        <w:tc>
          <w:tcPr>
            <w:tcW w:type="dxa" w:w="4320"/>
          </w:tcPr>
          <w:p>
            <w:r>
              <w:t>Intelligence Layer</w:t>
            </w:r>
          </w:p>
        </w:tc>
        <w:tc>
          <w:tcPr>
            <w:tcW w:type="dxa" w:w="4320"/>
          </w:tcPr>
          <w:p>
            <w:r>
              <w:t>Agents, knowledge and project context.</w:t>
            </w:r>
          </w:p>
        </w:tc>
      </w:tr>
      <w:tr>
        <w:tc>
          <w:tcPr>
            <w:tcW w:type="dxa" w:w="4320"/>
          </w:tcPr>
          <w:p>
            <w:r>
              <w:t>AI Runtime</w:t>
            </w:r>
          </w:p>
        </w:tc>
        <w:tc>
          <w:tcPr>
            <w:tcW w:type="dxa" w:w="4320"/>
          </w:tcPr>
          <w:p>
            <w:r>
              <w:t>LLM abstraction, prompting and memory.</w:t>
            </w:r>
          </w:p>
        </w:tc>
      </w:tr>
      <w:tr>
        <w:tc>
          <w:tcPr>
            <w:tcW w:type="dxa" w:w="4320"/>
          </w:tcPr>
          <w:p>
            <w:r>
              <w:t>Integration Layer</w:t>
            </w:r>
          </w:p>
        </w:tc>
        <w:tc>
          <w:tcPr>
            <w:tcW w:type="dxa" w:w="4320"/>
          </w:tcPr>
          <w:p>
            <w:r>
              <w:t>Git, Jira, CI/CD and engineering tools.</w:t>
            </w:r>
          </w:p>
        </w:tc>
      </w:tr>
      <w:tr>
        <w:tc>
          <w:tcPr>
            <w:tcW w:type="dxa" w:w="4320"/>
          </w:tcPr>
          <w:p>
            <w:r>
              <w:t>Enterprise Services</w:t>
            </w:r>
          </w:p>
        </w:tc>
        <w:tc>
          <w:tcPr>
            <w:tcW w:type="dxa" w:w="4320"/>
          </w:tcPr>
          <w:p>
            <w:r>
              <w:t>Security, governance, monitoring and analytics.</w:t>
            </w:r>
          </w:p>
        </w:tc>
      </w:tr>
    </w:tbl>
    <w:p>
      <w:pPr>
        <w:pStyle w:val="Heading1"/>
      </w:pPr>
      <w:r>
        <w:t>Roadmap</w:t>
      </w:r>
    </w:p>
    <w:p>
      <w:r>
        <w:t>Phase 1: Platform Foundation</w:t>
        <w:br/>
        <w:t>Phase 2: Planning Workflow</w:t>
        <w:br/>
        <w:t>Phase 3: Full SDLC Workflows</w:t>
        <w:br/>
        <w:t>Phase 4: Knowledge Platform</w:t>
        <w:br/>
        <w:t>Phase 5: Integrations</w:t>
        <w:br/>
        <w:t>Phase 6: Enterprise Governance</w:t>
        <w:br/>
        <w:t>Phase 7: Continuous Optimisation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