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D2D24" w14:textId="77777777" w:rsidR="008E06AA" w:rsidRDefault="008E06AA" w:rsidP="008E06AA">
      <w:p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双向适配器：</w:t>
      </w:r>
    </w:p>
    <w:p w14:paraId="30A23F20" w14:textId="3A856D25" w:rsidR="008E06AA" w:rsidRPr="008E06AA" w:rsidRDefault="008E06AA" w:rsidP="008E06AA">
      <w:pPr>
        <w:rPr>
          <w:rFonts w:ascii="宋体" w:eastAsia="宋体" w:hAnsi="宋体" w:hint="eastAsia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一个类同时实现两套不兼容的接口（EmailClient与 SmsClient），让调用方既可以按“发邮件”的方式调它，也可以按“发短信”的方式调它。</w:t>
      </w:r>
    </w:p>
    <w:p w14:paraId="399215D1" w14:textId="77777777" w:rsidR="008E06AA" w:rsidRDefault="008E06AA" w:rsidP="008E06AA">
      <w:p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实现要点：</w:t>
      </w:r>
    </w:p>
    <w:p w14:paraId="5B5C72E2" w14:textId="0E49A02A" w:rsidR="008E06AA" w:rsidRPr="008E06AA" w:rsidRDefault="008E06AA" w:rsidP="008E06AA">
      <w:pPr>
        <w:rPr>
          <w:rFonts w:ascii="宋体" w:eastAsia="宋体" w:hAnsi="宋体" w:hint="eastAsia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TwoWayAdapter 用两种构造方式之一只包装 一侧 的实现；</w:t>
      </w:r>
    </w:p>
    <w:p w14:paraId="04B03427" w14:textId="6F354E94" w:rsidR="008E06AA" w:rsidRPr="008E06AA" w:rsidRDefault="008E06AA" w:rsidP="008E06AA">
      <w:pPr>
        <w:rPr>
          <w:rFonts w:ascii="宋体" w:eastAsia="宋体" w:hAnsi="宋体" w:hint="eastAsia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包装邮件实现时：sendMail 直接走邮件，sendSms 则 适配 成走邮件</w:t>
      </w:r>
    </w:p>
    <w:p w14:paraId="76CD6CCB" w14:textId="77777777" w:rsidR="008E06AA" w:rsidRPr="008E06AA" w:rsidRDefault="008E06AA" w:rsidP="008E06AA">
      <w:pPr>
        <w:rPr>
          <w:rFonts w:ascii="宋体" w:eastAsia="宋体" w:hAnsi="宋体" w:hint="eastAsia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包装短信实现时反之。</w:t>
      </w:r>
    </w:p>
    <w:p w14:paraId="0BF847CB" w14:textId="6EBD5781" w:rsidR="008E06AA" w:rsidRPr="008E06AA" w:rsidRDefault="008E06AA">
      <w:p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代码：</w:t>
      </w:r>
    </w:p>
    <w:p w14:paraId="297C9322" w14:textId="3E6581A9" w:rsidR="008E06AA" w:rsidRPr="008E06AA" w:rsidRDefault="008E06AA" w:rsidP="008E06AA">
      <w:pPr>
        <w:pStyle w:val="a9"/>
        <w:numPr>
          <w:ilvl w:val="0"/>
          <w:numId w:val="1"/>
        </w:num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双向适配器核心：</w:t>
      </w:r>
    </w:p>
    <w:p w14:paraId="3B3090A9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TwoWayAdapter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EmailClient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SmsClient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2A6901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0B1B63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EmailClient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267E81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SmsClient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CFF70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448B0D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TwoWayAdapter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EmailClient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emailDelegate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9764D0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emailDelegate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03596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89961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4FC9BE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FB729C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TwoWayAdapter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SmsClient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smsDelegate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68BCC9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smsDelegate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1F5D5C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4D734F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4D4BDA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63E634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sendMail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833AF8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email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7A3362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sendMail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11F0AC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4AC78F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"[adapter]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sendMail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routed to SMS"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D680F4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sendSms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1DFFD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EC7D7F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975949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sendSms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4931CB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07FE48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sendSms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B2D93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43CA4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"[adapter]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sendSms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routed to email"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B3E195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sendMail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E1D82A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2E7E3B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AD4F08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54694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A68C19" w14:textId="77777777" w:rsidR="008E06AA" w:rsidRPr="008E06AA" w:rsidRDefault="008E06AA" w:rsidP="008E06AA">
      <w:pPr>
        <w:rPr>
          <w:rFonts w:ascii="宋体" w:eastAsia="宋体" w:hAnsi="宋体"/>
          <w:noProof/>
          <w:sz w:val="30"/>
          <w:szCs w:val="30"/>
        </w:rPr>
      </w:pPr>
    </w:p>
    <w:p w14:paraId="08C29A64" w14:textId="6380576B" w:rsidR="008E06AA" w:rsidRPr="008E06AA" w:rsidRDefault="008E06AA" w:rsidP="008E06AA">
      <w:p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2.两侧具体实现</w:t>
      </w:r>
    </w:p>
    <w:p w14:paraId="09EE1E9B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TwilioSms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SmsClient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18E28C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sendSms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B7DE3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"[Twilio]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sms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D4B72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831E79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34D07D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059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703378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OutlookMail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EmailClient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733B1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sendMail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AEB98B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"[Outlook] mail: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1101AF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7A578A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7D0F1E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6012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D55A1D" w14:textId="0FDF4B25" w:rsidR="008E06AA" w:rsidRDefault="008E06AA" w:rsidP="008E06AA">
      <w:pPr>
        <w:rPr>
          <w:rFonts w:hint="eastAsia"/>
          <w:noProof/>
        </w:rPr>
      </w:pPr>
      <w:r>
        <w:rPr>
          <w:rFonts w:hint="eastAsia"/>
          <w:noProof/>
        </w:rPr>
        <w:t xml:space="preserve"> </w:t>
      </w:r>
    </w:p>
    <w:p w14:paraId="2BF7041C" w14:textId="0D9CD140" w:rsidR="008E06AA" w:rsidRPr="008E06AA" w:rsidRDefault="008E06AA" w:rsidP="008E06AA">
      <w:pPr>
        <w:pStyle w:val="a9"/>
        <w:numPr>
          <w:ilvl w:val="0"/>
          <w:numId w:val="1"/>
        </w:num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两套不兼容接口</w:t>
      </w:r>
    </w:p>
    <w:p w14:paraId="37A7C31F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5827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EmailClient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F53DD3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5827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sendMail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519F06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58276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4E54B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5827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AA850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7896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SmsClient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37E917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7896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sendSms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F60413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78963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073C3E" w14:textId="77777777" w:rsidR="008E06AA" w:rsidRDefault="008E06AA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7896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B6F146" w14:textId="4194FE9B" w:rsidR="008E06AA" w:rsidRPr="008E06AA" w:rsidRDefault="008E06AA">
      <w:pPr>
        <w:rPr>
          <w:rFonts w:ascii="宋体" w:eastAsia="宋体" w:hAnsi="宋体"/>
          <w:noProof/>
          <w:sz w:val="30"/>
          <w:szCs w:val="30"/>
        </w:rPr>
      </w:pPr>
      <w:r w:rsidRPr="008E06AA">
        <w:rPr>
          <w:rFonts w:ascii="宋体" w:eastAsia="宋体" w:hAnsi="宋体" w:hint="eastAsia"/>
          <w:noProof/>
          <w:sz w:val="30"/>
          <w:szCs w:val="30"/>
        </w:rPr>
        <w:t>运行结果：</w:t>
      </w:r>
    </w:p>
    <w:p w14:paraId="5D869778" w14:textId="43A72EB0" w:rsidR="00AC382C" w:rsidRDefault="008E06AA">
      <w:r>
        <w:rPr>
          <w:rFonts w:hint="eastAsia"/>
          <w:noProof/>
        </w:rPr>
        <w:lastRenderedPageBreak/>
        <w:drawing>
          <wp:inline distT="0" distB="0" distL="0" distR="0" wp14:anchorId="579FB12E" wp14:editId="7EF8F6CB">
            <wp:extent cx="5274310" cy="1433830"/>
            <wp:effectExtent l="0" t="0" r="2540" b="0"/>
            <wp:docPr id="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0F3B" w14:textId="77777777" w:rsidR="008E06AA" w:rsidRDefault="008E06AA">
      <w:pPr>
        <w:rPr>
          <w:rFonts w:hint="eastAsia"/>
        </w:rPr>
      </w:pPr>
    </w:p>
    <w:sectPr w:rsidR="008E06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24365"/>
    <w:multiLevelType w:val="hybridMultilevel"/>
    <w:tmpl w:val="C78CBD38"/>
    <w:lvl w:ilvl="0" w:tplc="57E6A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338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AA"/>
    <w:rsid w:val="0005493F"/>
    <w:rsid w:val="00272B62"/>
    <w:rsid w:val="008E06AA"/>
    <w:rsid w:val="00AC382C"/>
    <w:rsid w:val="00D7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C137"/>
  <w15:chartTrackingRefBased/>
  <w15:docId w15:val="{83F2BD01-F654-443F-8390-7B215481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06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6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6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6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6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6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6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6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06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0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0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06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06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06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06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06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06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06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6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06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06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6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6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06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6A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E06A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A66D59-70EC-4A8E-BE10-8D20DB56F0BF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2026-05-09T07:24:00Z</dcterms:created>
  <dcterms:modified xsi:type="dcterms:W3CDTF">2026-05-09T07:32:00Z</dcterms:modified>
</cp:coreProperties>
</file>