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>
      <w:pPr>
        <w:pStyle w:val="Normal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Степаненко М.А.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    Манжула Л.В.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                   23-ИВТ-2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Построить максимально подробную блок-схему алгоритма решения задачи.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Задана строка, среди символов которой есть одно двоеточие. Определить, сколько знаков ему предшествует.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Блок-схема: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8515" cy="640207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640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Вывод:  Подразумевается язык программирования C++. Было сложно создавать блок-схему в LibreOffice, поэтому блок-схему создавала на специальном веб-сайте. Блок-схема выполняет поставленную задачу. Однако, если пользователь не введет двоеточие? программа выдаст 0, чтобы она работала корректно надо добавить еще одно условие( || n == text.size()) в цикл.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462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0749"/>
    <w:pPr>
      <w:spacing w:before="0" w:after="200"/>
      <w:ind w:left="720" w:hanging="0"/>
      <w:contextualSpacing/>
    </w:pPr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131</Words>
  <Characters>1036</Characters>
  <CharactersWithSpaces>1235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2021-02-28T21:28:00Z</dcterms:created>
  <dc:creator>александр поляков</dc:creator>
  <dc:description/>
  <dc:language>ru-RU</dc:language>
  <cp:lastModifiedBy/>
  <dcterms:modified xsi:type="dcterms:W3CDTF">2024-05-23T11:50:35Z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