
<file path=[Content_Types].xml><?xml version="1.0" encoding="utf-8"?>
<Types xmlns="http://schemas.openxmlformats.org/package/2006/content-types">
  <Default Extension="xml" ContentType="application/xml"/>
  <Default Extension="png" ContentType="image/png"/>
  <Default Extension="tiff" ContentType="image/tif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1E3EEC">
      <w:pPr>
        <w:autoSpaceDE w:val="0"/>
        <w:autoSpaceDN w:val="0"/>
        <w:adjustRightInd w:val="0"/>
        <w:spacing w:line="600" w:lineRule="exact"/>
        <w:ind w:firstLine="0" w:firstLineChars="0"/>
        <w:jc w:val="left"/>
        <w:rPr>
          <w:b/>
          <w:sz w:val="44"/>
          <w:szCs w:val="44"/>
        </w:rPr>
      </w:pPr>
      <w:r>
        <w:pict>
          <v:shape id="_x0000_s2050" o:spid="_x0000_s2050" o:spt="202" type="#_x0000_t202" style="position:absolute;left:0pt;margin-left:77.45pt;margin-top:439.05pt;height:90.7pt;width:327.45pt;mso-position-horizontal-relative:margin;mso-position-vertical-relative:margin;z-index:251659264;mso-width-relative:page;mso-height-relative:page;" filled="f" stroked="f" coordsize="21600,21600" o:gfxdata="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17ZantkAAAAMAQAADwAAAAAAAAAB&#10;ACAAAAAiAAAAZHJzL2Rvd25yZXYueG1sUEsBAhQAFAAAAAgAh07iQEkHCXQPAgAABwQAAA4AAAAA&#10;AAAAAQAgAAAAKAEAAGRycy9lMm9Eb2MueG1sUEsFBgAAAAAGAAYAWQEAAKkFAAAAAA==&#10;">
            <v:path/>
            <v:fill on="f" focussize="0,0"/>
            <v:stroke on="f"/>
            <v:imagedata o:title=""/>
            <o:lock v:ext="edit" aspectratio="f"/>
            <v:textbox inset="0mm,0mm,0mm,0mm">
              <w:txbxContent>
                <w:sdt>
                  <w:sdtPr>
                    <w:rPr>
                      <w:rFonts w:hint="eastAsia"/>
                      <w:b/>
                      <w:sz w:val="44"/>
                      <w:szCs w:val="44"/>
                    </w:rPr>
                    <w:alias w:val="在此键入论文标题"/>
                    <w:tag w:val="在此键入论文标题"/>
                    <w:id w:val="247932826"/>
                    <w:lock w:val="sdtLocked"/>
                  </w:sdtPr>
                  <w:sdtEndPr>
                    <w:rPr>
                      <w:rFonts w:hint="eastAsia"/>
                      <w:b/>
                      <w:sz w:val="44"/>
                      <w:szCs w:val="44"/>
                    </w:rPr>
                  </w:sdtEndPr>
                  <w:sdtContent>
                    <w:p w14:paraId="7BC25734">
                      <w:pPr>
                        <w:autoSpaceDE w:val="0"/>
                        <w:autoSpaceDN w:val="0"/>
                        <w:adjustRightInd w:val="0"/>
                        <w:spacing w:line="600" w:lineRule="exact"/>
                        <w:ind w:firstLine="0" w:firstLineChars="0"/>
                        <w:jc w:val="center"/>
                        <w:rPr>
                          <w:b/>
                          <w:sz w:val="44"/>
                          <w:szCs w:val="44"/>
                        </w:rPr>
                      </w:pPr>
                      <w:r>
                        <w:rPr>
                          <w:rFonts w:hint="eastAsia"/>
                          <w:b/>
                          <w:sz w:val="44"/>
                          <w:szCs w:val="44"/>
                        </w:rPr>
                        <w:t>基于</w:t>
                      </w:r>
                      <w:r>
                        <w:rPr>
                          <w:rFonts w:hint="eastAsia"/>
                          <w:b w:val="0"/>
                          <w:bCs/>
                          <w:sz w:val="44"/>
                          <w:szCs w:val="44"/>
                        </w:rPr>
                        <w:t>LFMCW</w:t>
                      </w:r>
                      <w:r>
                        <w:rPr>
                          <w:rFonts w:hint="eastAsia"/>
                          <w:b/>
                          <w:sz w:val="44"/>
                          <w:szCs w:val="44"/>
                        </w:rPr>
                        <w:t>时延轨迹特征与参数反演的等离子体诊断及色散等效研究</w:t>
                      </w:r>
                    </w:p>
                    <w:p w14:paraId="07A831A3">
                      <w:pPr>
                        <w:autoSpaceDE w:val="0"/>
                        <w:autoSpaceDN w:val="0"/>
                        <w:adjustRightInd w:val="0"/>
                        <w:spacing w:line="600" w:lineRule="exact"/>
                        <w:ind w:firstLine="0" w:firstLineChars="0"/>
                        <w:jc w:val="center"/>
                      </w:pPr>
                    </w:p>
                    <w:p w14:paraId="50A71961">
                      <w:pPr>
                        <w:autoSpaceDE w:val="0"/>
                        <w:autoSpaceDN w:val="0"/>
                        <w:adjustRightInd w:val="0"/>
                        <w:spacing w:line="600" w:lineRule="exact"/>
                        <w:ind w:firstLine="0" w:firstLineChars="0"/>
                        <w:jc w:val="center"/>
                        <w:rPr>
                          <w:b/>
                          <w:sz w:val="44"/>
                          <w:szCs w:val="44"/>
                        </w:rPr>
                      </w:pPr>
                    </w:p>
                  </w:sdtContent>
                </w:sdt>
              </w:txbxContent>
            </v:textbox>
          </v:shape>
        </w:pict>
      </w:r>
      <w:r>
        <w:pict>
          <v:shape id="_x0000_s2051" o:spid="_x0000_s2051" o:spt="202" type="#_x0000_t202" style="position:absolute;left:0pt;margin-left:99.25pt;margin-top:567pt;height:99.2pt;width:269.3pt;mso-position-horizontal-relative:margin;mso-position-vertical-relative:margin;z-index:251660288;mso-width-relative:page;mso-height-relative:page;" filled="f" stroked="f" coordsize="21600,21600" o:gfxdata="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ePhj/tsAAAANAQAADwAAAAAAAAAB&#10;ACAAAAAiAAAAZHJzL2Rvd25yZXYueG1sUEsBAhQAFAAAAAgAh07iQNH5NhUNAgAABwQAAA4AAAAA&#10;AAAAAQAgAAAAKgEAAGRycy9lMm9Eb2MueG1sUEsFBgAAAAAGAAYAWQEAAKkFAAAAAA==&#10;">
            <v:path/>
            <v:fill on="f" focussize="0,0"/>
            <v:stroke on="f"/>
            <v:imagedata o:title=""/>
            <o:lock v:ext="edit" aspectratio="f"/>
            <v:textbox inset="0mm,0mm,0mm,0mm">
              <w:txbxContent>
                <w:p w14:paraId="5BE2922C">
                  <w:pPr>
                    <w:spacing w:line="600" w:lineRule="exact"/>
                    <w:ind w:firstLine="0" w:firstLineChars="0"/>
                    <w:rPr>
                      <w:rFonts w:eastAsia="黑体"/>
                      <w:b/>
                      <w:sz w:val="28"/>
                      <w:szCs w:val="28"/>
                    </w:rPr>
                  </w:pPr>
                  <w:r>
                    <w:rPr>
                      <w:rFonts w:eastAsia="黑体"/>
                      <w:b/>
                      <w:sz w:val="28"/>
                      <w:szCs w:val="28"/>
                    </w:rPr>
                    <w:t>作者姓名</w:t>
                  </w:r>
                  <w:r>
                    <w:rPr>
                      <w:rFonts w:hint="eastAsia" w:eastAsia="黑体"/>
                      <w:b/>
                      <w:sz w:val="28"/>
                      <w:szCs w:val="28"/>
                    </w:rPr>
                    <w:t xml:space="preserve"> </w:t>
                  </w:r>
                  <w:r>
                    <w:rPr>
                      <w:rFonts w:hint="eastAsia" w:eastAsia="黑体"/>
                      <w:b/>
                      <w:sz w:val="28"/>
                      <w:szCs w:val="28"/>
                      <w:u w:val="single"/>
                    </w:rPr>
                    <w:t xml:space="preserve">           </w:t>
                  </w:r>
                  <w:r>
                    <w:rPr>
                      <w:b/>
                      <w:sz w:val="28"/>
                      <w:szCs w:val="28"/>
                      <w:u w:val="single"/>
                    </w:rPr>
                    <w:t xml:space="preserve">  </w:t>
                  </w:r>
                  <w:sdt>
                    <w:sdtPr>
                      <w:rPr>
                        <w:b/>
                        <w:sz w:val="28"/>
                        <w:szCs w:val="28"/>
                        <w:u w:val="single"/>
                      </w:rPr>
                      <w:alias w:val="输入作者姓名"/>
                      <w:tag w:val="输入作者姓名"/>
                      <w:id w:val="1011182421"/>
                      <w:lock w:val="sdtLocked"/>
                      <w:text/>
                    </w:sdtPr>
                    <w:sdtEndPr>
                      <w:rPr>
                        <w:b/>
                        <w:sz w:val="28"/>
                        <w:szCs w:val="28"/>
                        <w:u w:val="single"/>
                      </w:rPr>
                    </w:sdtEndPr>
                    <w:sdtContent>
                      <w:r>
                        <w:rPr>
                          <w:rFonts w:hint="eastAsia"/>
                          <w:b/>
                          <w:sz w:val="28"/>
                          <w:szCs w:val="28"/>
                          <w:u w:val="single"/>
                          <w:lang w:val="en-US" w:eastAsia="zh-CN"/>
                        </w:rPr>
                        <w:t>梁民健</w:t>
                      </w:r>
                    </w:sdtContent>
                  </w:sdt>
                  <w:r>
                    <w:rPr>
                      <w:b/>
                      <w:sz w:val="28"/>
                      <w:szCs w:val="28"/>
                      <w:u w:val="single"/>
                    </w:rPr>
                    <w:t xml:space="preserve">    </w:t>
                  </w:r>
                  <w:r>
                    <w:rPr>
                      <w:rFonts w:hint="eastAsia"/>
                      <w:b/>
                      <w:sz w:val="28"/>
                      <w:szCs w:val="28"/>
                      <w:u w:val="single"/>
                    </w:rPr>
                    <w:t xml:space="preserve">       </w:t>
                  </w:r>
                </w:p>
                <w:p w14:paraId="3CB87640">
                  <w:pPr>
                    <w:spacing w:line="600" w:lineRule="exact"/>
                    <w:ind w:firstLine="0" w:firstLineChars="0"/>
                    <w:rPr>
                      <w:b/>
                      <w:sz w:val="28"/>
                      <w:szCs w:val="28"/>
                      <w:u w:val="single"/>
                    </w:rPr>
                  </w:pPr>
                  <w:r>
                    <w:rPr>
                      <w:rFonts w:hint="eastAsia" w:eastAsia="黑体"/>
                      <w:b/>
                      <w:sz w:val="28"/>
                      <w:szCs w:val="28"/>
                    </w:rPr>
                    <w:t>指导教师</w:t>
                  </w:r>
                  <w:r>
                    <w:rPr>
                      <w:rFonts w:eastAsia="黑体"/>
                      <w:b/>
                      <w:sz w:val="28"/>
                      <w:szCs w:val="28"/>
                    </w:rPr>
                    <w:t>姓名、职称</w:t>
                  </w:r>
                  <w:r>
                    <w:rPr>
                      <w:rFonts w:hint="eastAsia" w:eastAsia="黑体"/>
                      <w:b/>
                      <w:sz w:val="28"/>
                      <w:szCs w:val="28"/>
                    </w:rPr>
                    <w:t xml:space="preserve"> </w:t>
                  </w:r>
                  <w:r>
                    <w:rPr>
                      <w:rFonts w:hint="eastAsia" w:eastAsia="黑体"/>
                      <w:b/>
                      <w:sz w:val="28"/>
                      <w:szCs w:val="28"/>
                      <w:u w:val="single"/>
                    </w:rPr>
                    <w:t xml:space="preserve">   </w:t>
                  </w:r>
                  <w:sdt>
                    <w:sdtPr>
                      <w:rPr>
                        <w:rFonts w:hint="eastAsia"/>
                        <w:b/>
                        <w:sz w:val="28"/>
                        <w:szCs w:val="28"/>
                        <w:u w:val="single"/>
                      </w:rPr>
                      <w:alias w:val="导师姓名"/>
                      <w:tag w:val="导师姓名"/>
                      <w:id w:val="1243916115"/>
                      <w:text/>
                    </w:sdtPr>
                    <w:sdtEndPr>
                      <w:rPr>
                        <w:rFonts w:hint="default"/>
                        <w:b/>
                        <w:sz w:val="28"/>
                        <w:szCs w:val="28"/>
                        <w:u w:val="single"/>
                      </w:rPr>
                    </w:sdtEndPr>
                    <w:sdtContent>
                      <w:r>
                        <w:rPr>
                          <w:rFonts w:hint="eastAsia"/>
                          <w:b/>
                          <w:sz w:val="28"/>
                          <w:szCs w:val="28"/>
                          <w:u w:val="single"/>
                          <w:lang w:val="en-US" w:eastAsia="zh-CN"/>
                        </w:rPr>
                        <w:t>孙超</w:t>
                      </w:r>
                    </w:sdtContent>
                  </w:sdt>
                  <w:r>
                    <w:rPr>
                      <w:rFonts w:hint="eastAsia"/>
                      <w:b/>
                      <w:sz w:val="28"/>
                      <w:szCs w:val="28"/>
                      <w:u w:val="single"/>
                    </w:rPr>
                    <w:t xml:space="preserve">  </w:t>
                  </w:r>
                  <w:sdt>
                    <w:sdtPr>
                      <w:rPr>
                        <w:rFonts w:hint="eastAsia"/>
                        <w:b/>
                        <w:sz w:val="28"/>
                        <w:szCs w:val="28"/>
                        <w:u w:val="single"/>
                      </w:rPr>
                      <w:alias w:val="职称"/>
                      <w:tag w:val="职称"/>
                      <w:id w:val="-350263284"/>
                      <w:dropDownList>
                        <w:listItem w:value="选择"/>
                        <w:listItem w:displayText=" 教授 " w:value=" 教授 "/>
                        <w:listItem w:displayText="副教授" w:value="副教授"/>
                      </w:dropDownList>
                    </w:sdtPr>
                    <w:sdtEndPr>
                      <w:rPr>
                        <w:rFonts w:hint="eastAsia"/>
                        <w:b/>
                        <w:sz w:val="28"/>
                        <w:szCs w:val="28"/>
                        <w:u w:val="single"/>
                      </w:rPr>
                    </w:sdtEndPr>
                    <w:sdtContent>
                      <w:r>
                        <w:rPr>
                          <w:rFonts w:hint="eastAsia" w:ascii="Times New Roman" w:hAnsi="Times New Roman" w:eastAsia="宋体" w:cs="Times New Roman"/>
                          <w:b/>
                          <w:kern w:val="2"/>
                          <w:sz w:val="28"/>
                          <w:szCs w:val="28"/>
                          <w:u w:val="single"/>
                          <w:lang w:val="en-US" w:eastAsia="zh-CN" w:bidi="ar-SA"/>
                        </w:rPr>
                        <w:t>副教授</w:t>
                      </w:r>
                    </w:sdtContent>
                  </w:sdt>
                  <w:r>
                    <w:rPr>
                      <w:rFonts w:hint="eastAsia"/>
                      <w:b/>
                      <w:sz w:val="28"/>
                      <w:szCs w:val="28"/>
                      <w:u w:val="single"/>
                    </w:rPr>
                    <w:t xml:space="preserve">     </w:t>
                  </w:r>
                </w:p>
                <w:p w14:paraId="1E3BABFE">
                  <w:pPr>
                    <w:spacing w:line="600" w:lineRule="exact"/>
                    <w:ind w:firstLine="0" w:firstLineChars="0"/>
                    <w:rPr>
                      <w:b/>
                      <w:sz w:val="28"/>
                      <w:szCs w:val="28"/>
                    </w:rPr>
                  </w:pPr>
                  <w:r>
                    <w:rPr>
                      <w:rFonts w:eastAsia="黑体"/>
                      <w:b/>
                      <w:sz w:val="28"/>
                      <w:szCs w:val="28"/>
                    </w:rPr>
                    <w:t>申请学位类别</w:t>
                  </w:r>
                  <w:r>
                    <w:rPr>
                      <w:rFonts w:hint="eastAsia" w:eastAsia="黑体"/>
                      <w:b/>
                      <w:sz w:val="28"/>
                      <w:szCs w:val="28"/>
                    </w:rPr>
                    <w:t xml:space="preserve"> </w:t>
                  </w:r>
                  <w:r>
                    <w:rPr>
                      <w:rFonts w:hint="eastAsia"/>
                      <w:b/>
                      <w:sz w:val="28"/>
                      <w:szCs w:val="28"/>
                      <w:u w:val="single"/>
                    </w:rPr>
                    <w:t xml:space="preserve">         </w:t>
                  </w:r>
                  <w:sdt>
                    <w:sdtPr>
                      <w:rPr>
                        <w:rFonts w:hint="eastAsia"/>
                        <w:b/>
                        <w:sz w:val="28"/>
                        <w:szCs w:val="28"/>
                        <w:u w:val="single"/>
                      </w:rPr>
                      <w:alias w:val="选择学位类别"/>
                      <w:tag w:val="选择学位类别"/>
                      <w:id w:val="-558250906"/>
                      <w:lock w:val="sdtLocked"/>
                      <w:dropDownList>
                        <w:listItem w:value="选择一项。"/>
                        <w:listItem w:displayText="工学硕士" w:value="工学硕士"/>
                        <w:listItem w:displayText="工学博士" w:value="工学博士"/>
                        <w:listItem w:displayText="哲学硕士" w:value="哲学硕士"/>
                        <w:listItem w:displayText="经济学硕士" w:value="经济学硕士"/>
                        <w:listItem w:displayText="法学硕士" w:value="法学硕士"/>
                        <w:listItem w:displayText="教育学硕士" w:value="教育学硕士"/>
                        <w:listItem w:displayText="文学硕士" w:value="文学硕士"/>
                        <w:listItem w:displayText="理学硕士" w:value="理学硕士"/>
                        <w:listItem w:displayText="理学博士" w:value="理学博士"/>
                        <w:listItem w:displayText="军事学硕士" w:value="军事学硕士"/>
                        <w:listItem w:displayText="军事学博士" w:value="军事学博士"/>
                        <w:listItem w:displayText="管理学硕士" w:value="管理学硕士"/>
                        <w:listItem w:displayText="管理学博士" w:value="管理学博士"/>
                      </w:dropDownList>
                    </w:sdtPr>
                    <w:sdtEndPr>
                      <w:rPr>
                        <w:rFonts w:hint="eastAsia"/>
                        <w:b/>
                        <w:sz w:val="28"/>
                        <w:szCs w:val="28"/>
                        <w:u w:val="single"/>
                      </w:rPr>
                    </w:sdtEndPr>
                    <w:sdtContent>
                      <w:r>
                        <w:rPr>
                          <w:rFonts w:hint="eastAsia"/>
                          <w:b/>
                          <w:sz w:val="28"/>
                          <w:szCs w:val="28"/>
                          <w:u w:val="single"/>
                        </w:rPr>
                        <w:t>工学硕士</w:t>
                      </w:r>
                    </w:sdtContent>
                  </w:sdt>
                  <w:r>
                    <w:rPr>
                      <w:rFonts w:hint="eastAsia"/>
                      <w:b/>
                      <w:sz w:val="28"/>
                      <w:szCs w:val="28"/>
                      <w:u w:val="single"/>
                    </w:rPr>
                    <w:t xml:space="preserve">          </w:t>
                  </w:r>
                </w:p>
              </w:txbxContent>
            </v:textbox>
          </v:shape>
        </w:pict>
      </w:r>
      <w:r>
        <w:rPr>
          <w:b/>
          <w:sz w:val="44"/>
          <w:szCs w:val="44"/>
        </w:rPr>
        <w:br w:type="page"/>
      </w:r>
    </w:p>
    <w:p w14:paraId="6260B9D3">
      <w:pPr>
        <w:autoSpaceDE w:val="0"/>
        <w:autoSpaceDN w:val="0"/>
        <w:adjustRightInd w:val="0"/>
        <w:spacing w:line="600" w:lineRule="exact"/>
        <w:ind w:firstLine="0" w:firstLineChars="0"/>
        <w:jc w:val="left"/>
        <w:rPr>
          <w:b/>
          <w:sz w:val="44"/>
          <w:szCs w:val="44"/>
        </w:rPr>
        <w:sectPr>
          <w:headerReference r:id="rId7" w:type="first"/>
          <w:footerReference r:id="rId10" w:type="first"/>
          <w:headerReference r:id="rId5" w:type="default"/>
          <w:footerReference r:id="rId8" w:type="default"/>
          <w:headerReference r:id="rId6" w:type="even"/>
          <w:footerReference r:id="rId9" w:type="even"/>
          <w:footnotePr>
            <w:numFmt w:val="decimalEnclosedCircleChinese"/>
            <w:numRestart w:val="eachSect"/>
          </w:footnotePr>
          <w:pgSz w:w="11907" w:h="16840"/>
          <w:pgMar w:top="1701" w:right="1418" w:bottom="1134" w:left="1418" w:header="1134" w:footer="992" w:gutter="284"/>
          <w:cols w:space="425" w:num="1"/>
          <w:docGrid w:linePitch="384" w:charSpace="7430"/>
        </w:sectPr>
      </w:pPr>
    </w:p>
    <w:p w14:paraId="33C5C88B">
      <w:pPr>
        <w:widowControl/>
        <w:spacing w:line="240" w:lineRule="auto"/>
        <w:ind w:firstLine="0" w:firstLineChars="0"/>
        <w:jc w:val="left"/>
        <w:rPr>
          <w:sz w:val="21"/>
        </w:rPr>
      </w:pPr>
      <w:r>
        <w:rPr>
          <w:sz w:val="21"/>
        </w:rPr>
        <w:br w:type="page"/>
      </w:r>
    </w:p>
    <w:p w14:paraId="45AB3DC2">
      <w:pPr>
        <w:autoSpaceDE w:val="0"/>
        <w:autoSpaceDN w:val="0"/>
        <w:adjustRightInd w:val="0"/>
        <w:ind w:firstLine="0" w:firstLineChars="0"/>
        <w:rPr>
          <w:sz w:val="21"/>
        </w:rPr>
      </w:pPr>
      <w:r>
        <w:rPr>
          <w:b/>
          <w:sz w:val="44"/>
          <w:szCs w:val="44"/>
        </w:rPr>
        <w:pict>
          <v:shape id="_x0000_s2052" o:spid="_x0000_s2052" o:spt="202" type="#_x0000_t202" style="position:absolute;left:0pt;margin-left:61.75pt;margin-top:312.1pt;height:97.9pt;width:377.4pt;mso-position-horizontal-relative:margin;mso-position-vertical-relative:margin;z-index:251661312;mso-width-relative:page;mso-height-relative:page;" filled="f" stroked="f" coordsize="21600,21600" o:gfxdata="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bg6lH2gAAAAsBAAAPAAAAAAAAAAEA&#10;IAAAACIAAABkcnMvZG93bnJldi54bWxQSwECFAAUAAAACACHTuJAbUZqZw0CAAAGBAAADgAAAAAA&#10;AAABACAAAAApAQAAZHJzL2Uyb0RvYy54bWxQSwUGAAAAAAYABgBZAQAAqAUAAAAA&#10;">
            <v:path/>
            <v:fill on="f" focussize="0,0"/>
            <v:stroke on="f"/>
            <v:imagedata o:title=""/>
            <o:lock v:ext="edit" aspectratio="f"/>
            <v:textbox inset="0mm,0mm,0mm,0mm">
              <w:txbxContent>
                <w:p w14:paraId="48E973D7">
                  <w:pPr>
                    <w:autoSpaceDE w:val="0"/>
                    <w:autoSpaceDN w:val="0"/>
                    <w:adjustRightInd w:val="0"/>
                    <w:spacing w:line="600" w:lineRule="exact"/>
                    <w:ind w:firstLine="0" w:firstLineChars="0"/>
                    <w:jc w:val="both"/>
                    <w:rPr>
                      <w:rFonts w:hint="eastAsia"/>
                      <w:b/>
                      <w:sz w:val="44"/>
                      <w:szCs w:val="44"/>
                    </w:rPr>
                  </w:pPr>
                </w:p>
                <w:sdt>
                  <w:sdtPr>
                    <w:rPr>
                      <w:rFonts w:hint="eastAsia"/>
                      <w:b/>
                      <w:sz w:val="44"/>
                      <w:szCs w:val="44"/>
                    </w:rPr>
                    <w:alias w:val="在此键入论文标题"/>
                    <w:tag w:val="在此键入论文标题"/>
                    <w:id w:val="147479833"/>
                    <w:lock w:val="sdtLocked"/>
                  </w:sdtPr>
                  <w:sdtEndPr>
                    <w:rPr>
                      <w:rFonts w:hint="eastAsia"/>
                      <w:b/>
                      <w:sz w:val="44"/>
                      <w:szCs w:val="44"/>
                    </w:rPr>
                  </w:sdtEndPr>
                  <w:sdtContent>
                    <w:p w14:paraId="49A36A5E">
                      <w:pPr>
                        <w:autoSpaceDE w:val="0"/>
                        <w:autoSpaceDN w:val="0"/>
                        <w:adjustRightInd w:val="0"/>
                        <w:spacing w:line="600" w:lineRule="exact"/>
                        <w:ind w:firstLine="0" w:firstLineChars="0"/>
                        <w:jc w:val="center"/>
                        <w:rPr>
                          <w:b/>
                          <w:sz w:val="44"/>
                          <w:szCs w:val="44"/>
                        </w:rPr>
                      </w:pPr>
                      <w:r>
                        <w:rPr>
                          <w:rFonts w:hint="eastAsia"/>
                          <w:b/>
                          <w:sz w:val="44"/>
                          <w:szCs w:val="44"/>
                        </w:rPr>
                        <w:t>基于</w:t>
                      </w:r>
                      <w:r>
                        <w:rPr>
                          <w:rFonts w:hint="eastAsia"/>
                          <w:b w:val="0"/>
                          <w:bCs/>
                          <w:sz w:val="44"/>
                          <w:szCs w:val="44"/>
                        </w:rPr>
                        <w:t>LFMCW</w:t>
                      </w:r>
                      <w:r>
                        <w:rPr>
                          <w:rFonts w:hint="eastAsia"/>
                          <w:b/>
                          <w:sz w:val="44"/>
                          <w:szCs w:val="44"/>
                        </w:rPr>
                        <w:t>时延轨迹特征与参数反演的等离子体诊断及色散等效研究</w:t>
                      </w:r>
                    </w:p>
                    <w:p w14:paraId="0FDC2803">
                      <w:pPr>
                        <w:autoSpaceDE w:val="0"/>
                        <w:autoSpaceDN w:val="0"/>
                        <w:adjustRightInd w:val="0"/>
                        <w:spacing w:line="600" w:lineRule="exact"/>
                        <w:ind w:firstLine="0" w:firstLineChars="0"/>
                        <w:jc w:val="center"/>
                      </w:pPr>
                    </w:p>
                    <w:p w14:paraId="0427A70D">
                      <w:pPr>
                        <w:autoSpaceDE w:val="0"/>
                        <w:autoSpaceDN w:val="0"/>
                        <w:adjustRightInd w:val="0"/>
                        <w:spacing w:line="600" w:lineRule="exact"/>
                        <w:ind w:firstLine="0" w:firstLineChars="0"/>
                        <w:jc w:val="center"/>
                        <w:rPr>
                          <w:b/>
                          <w:sz w:val="44"/>
                          <w:szCs w:val="44"/>
                        </w:rPr>
                      </w:pPr>
                    </w:p>
                  </w:sdtContent>
                </w:sdt>
                <w:p w14:paraId="39113E7F">
                  <w:pPr>
                    <w:autoSpaceDE w:val="0"/>
                    <w:autoSpaceDN w:val="0"/>
                    <w:adjustRightInd w:val="0"/>
                    <w:spacing w:line="600" w:lineRule="exact"/>
                    <w:ind w:firstLine="0" w:firstLineChars="0"/>
                    <w:jc w:val="both"/>
                    <w:rPr>
                      <w:b/>
                      <w:sz w:val="44"/>
                      <w:szCs w:val="44"/>
                    </w:rPr>
                  </w:pPr>
                </w:p>
                <w:p w14:paraId="0EAF3C00">
                  <w:pPr>
                    <w:autoSpaceDE w:val="0"/>
                    <w:autoSpaceDN w:val="0"/>
                    <w:adjustRightInd w:val="0"/>
                    <w:spacing w:line="600" w:lineRule="exact"/>
                    <w:ind w:firstLine="0" w:firstLineChars="0"/>
                    <w:jc w:val="center"/>
                    <w:rPr>
                      <w:b/>
                      <w:sz w:val="44"/>
                      <w:szCs w:val="44"/>
                    </w:rPr>
                  </w:pPr>
                </w:p>
              </w:txbxContent>
            </v:textbox>
          </v:shape>
        </w:pict>
      </w:r>
      <w:r>
        <w:pict>
          <v:shape id="_x0000_s2053" o:spid="_x0000_s2053" o:spt="202" type="#_x0000_t202" style="position:absolute;left:0pt;margin-left:127.35pt;margin-top:439.6pt;height:257.5pt;width:297.6pt;mso-position-horizontal-relative:margin;mso-position-vertical-relative:margin;z-index:251664384;mso-width-relative:page;mso-height-relative:page;" filled="f" stroked="f" coordsize="21600,21600" o:gfxdata="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1rNAx2wAAAAwBAAAPAAAAAAAA&#10;AAEAIAAAACIAAABkcnMvZG93bnJldi54bWxQSwECFAAUAAAACACHTuJAMtE5og8CAAAGBAAADgAA&#10;AAAAAAABACAAAAAqAQAAZHJzL2Uyb0RvYy54bWxQSwUGAAAAAAYABgBZAQAAqwUAAAAA&#10;">
            <v:path/>
            <v:fill on="f" focussize="0,0"/>
            <v:stroke on="f"/>
            <v:imagedata o:title=""/>
            <o:lock v:ext="edit" aspectratio="f"/>
            <v:textbox inset="0mm,0mm,0mm,0mm">
              <w:txbxContent>
                <w:p w14:paraId="1B6159BD">
                  <w:pPr>
                    <w:spacing w:line="640" w:lineRule="exact"/>
                    <w:rPr>
                      <w:sz w:val="28"/>
                      <w:szCs w:val="28"/>
                    </w:rPr>
                  </w:pPr>
                  <w:r>
                    <w:rPr>
                      <w:rFonts w:hint="eastAsia" w:ascii="宋体" w:hAnsi="宋体"/>
                      <w:b/>
                      <w:sz w:val="28"/>
                      <w:szCs w:val="28"/>
                    </w:rPr>
                    <w:t>作者姓名</w:t>
                  </w:r>
                  <w:r>
                    <w:rPr>
                      <w:rFonts w:hint="eastAsia" w:hAnsi="宋体"/>
                      <w:b/>
                      <w:sz w:val="28"/>
                      <w:szCs w:val="28"/>
                    </w:rPr>
                    <w:t>：</w:t>
                  </w:r>
                  <w:sdt>
                    <w:sdtPr>
                      <w:rPr>
                        <w:rFonts w:hint="eastAsia"/>
                        <w:sz w:val="28"/>
                        <w:szCs w:val="28"/>
                      </w:rPr>
                      <w:id w:val="-1322421938"/>
                      <w:text/>
                    </w:sdtPr>
                    <w:sdtEndPr>
                      <w:rPr>
                        <w:rFonts w:hint="default"/>
                        <w:sz w:val="28"/>
                        <w:szCs w:val="28"/>
                      </w:rPr>
                    </w:sdtEndPr>
                    <w:sdtContent>
                      <w:r>
                        <w:rPr>
                          <w:rFonts w:hint="eastAsia"/>
                          <w:sz w:val="28"/>
                          <w:szCs w:val="28"/>
                          <w:lang w:val="en-US" w:eastAsia="zh-CN"/>
                        </w:rPr>
                        <w:t>梁民健</w:t>
                      </w:r>
                    </w:sdtContent>
                  </w:sdt>
                </w:p>
                <w:p w14:paraId="293B7025">
                  <w:pPr>
                    <w:spacing w:line="640" w:lineRule="exact"/>
                    <w:ind w:firstLine="0" w:firstLineChars="0"/>
                    <w:rPr>
                      <w:sz w:val="28"/>
                      <w:szCs w:val="28"/>
                    </w:rPr>
                  </w:pPr>
                  <w:r>
                    <w:rPr>
                      <w:rFonts w:hint="eastAsia" w:ascii="宋体" w:hAnsi="宋体"/>
                      <w:b/>
                      <w:sz w:val="28"/>
                      <w:szCs w:val="28"/>
                    </w:rPr>
                    <w:t>一级学科</w:t>
                  </w:r>
                  <w:r>
                    <w:rPr>
                      <w:rFonts w:hint="eastAsia" w:hAnsi="宋体"/>
                      <w:b/>
                      <w:sz w:val="28"/>
                      <w:szCs w:val="28"/>
                    </w:rPr>
                    <w:t>：</w:t>
                  </w:r>
                  <w:sdt>
                    <w:sdtPr>
                      <w:rPr>
                        <w:rFonts w:hint="eastAsia" w:hAnsi="宋体"/>
                        <w:sz w:val="28"/>
                        <w:szCs w:val="28"/>
                      </w:rPr>
                      <w:id w:val="-1714725183"/>
                      <w:dropDownList>
                        <w:listItem w:value="选择一项"/>
                        <w:listItem w:displayText="哲学" w:value="哲学"/>
                        <w:listItem w:displayText="应用经济学" w:value="应用经济学"/>
                        <w:listItem w:displayText="马克思主义理论" w:value="马克思主义理论"/>
                        <w:listItem w:displayText="教育学" w:value="教育学"/>
                        <w:listItem w:displayText="体育学" w:value="体育学"/>
                        <w:listItem w:displayText="外国语言文学" w:value="外国语言文学"/>
                        <w:listItem w:displayText="数学" w:value="数学"/>
                        <w:listItem w:displayText="物理学" w:value="物理学"/>
                        <w:listItem w:displayText="统计学" w:value="统计学"/>
                        <w:listItem w:displayText="力学" w:value="力学"/>
                        <w:listItem w:displayText="机械工程" w:value="机械工程"/>
                        <w:listItem w:displayText="光学工程" w:value="光学工程"/>
                        <w:listItem w:displayText="仪器科学与技术" w:value="仪器科学与技术"/>
                        <w:listItem w:displayText="材料科学与工程" w:value="材料科学与工程"/>
                        <w:listItem w:displayText="电气工程" w:value="电气工程"/>
                        <w:listItem w:displayText="电子科学与技术" w:value="电子科学与技术"/>
                        <w:listItem w:displayText="信息与通信工程" w:value="信息与通信工程"/>
                        <w:listItem w:displayText="控制科学与工程" w:value="控制科学与工程"/>
                        <w:listItem w:displayText="计算机科学与技术" w:value="计算机科学与技术"/>
                        <w:listItem w:displayText="化学工程与技术" w:value="化学工程与技术"/>
                        <w:listItem w:displayText="交通运输工程" w:value="交通运输工程"/>
                        <w:listItem w:displayText="环境科学与工程" w:value="环境科学与工程"/>
                        <w:listItem w:displayText="生物医学工程" w:value="生物医学工程"/>
                        <w:listItem w:displayText="软件工程" w:value="软件工程"/>
                        <w:listItem w:displayText="军队指挥学" w:value="军队指挥学"/>
                        <w:listItem w:displayText="管理科学与工程" w:value="管理科学与工程"/>
                        <w:listItem w:displayText="工商管理" w:value="工商管理"/>
                        <w:listItem w:displayText="公共管理" w:value="公共管理"/>
                        <w:listItem w:displayText="图书情报与档案管理" w:value="图书情报与档案管理"/>
                        <w:listItem w:displayText="网络空间安全" w:value="网络空间安全"/>
                      </w:dropDownList>
                    </w:sdtPr>
                    <w:sdtEndPr>
                      <w:rPr>
                        <w:rFonts w:hint="eastAsia" w:hAnsi="宋体"/>
                        <w:sz w:val="28"/>
                        <w:szCs w:val="28"/>
                      </w:rPr>
                    </w:sdtEndPr>
                    <w:sdtContent>
                      <w:r>
                        <w:rPr>
                          <w:rFonts w:hint="eastAsia" w:ascii="Times New Roman" w:hAnsi="宋体" w:eastAsia="宋体" w:cs="Times New Roman"/>
                          <w:kern w:val="2"/>
                          <w:sz w:val="28"/>
                          <w:szCs w:val="28"/>
                          <w:lang w:val="en-US" w:eastAsia="zh-CN" w:bidi="ar-SA"/>
                        </w:rPr>
                        <w:t>信息与通信工程</w:t>
                      </w:r>
                    </w:sdtContent>
                  </w:sdt>
                </w:p>
                <w:p w14:paraId="69B4A42F">
                  <w:pPr>
                    <w:spacing w:line="640" w:lineRule="exact"/>
                    <w:ind w:firstLine="0" w:firstLineChars="0"/>
                    <w:rPr>
                      <w:sz w:val="28"/>
                      <w:szCs w:val="28"/>
                    </w:rPr>
                  </w:pPr>
                  <w:r>
                    <w:rPr>
                      <w:rFonts w:hint="eastAsia" w:ascii="宋体" w:hAnsi="宋体"/>
                      <w:b/>
                      <w:sz w:val="28"/>
                      <w:szCs w:val="28"/>
                    </w:rPr>
                    <w:t>二级学科（研究方向）</w:t>
                  </w:r>
                  <w:r>
                    <w:rPr>
                      <w:rFonts w:hint="eastAsia"/>
                      <w:b/>
                      <w:sz w:val="28"/>
                      <w:szCs w:val="28"/>
                    </w:rPr>
                    <w:t>：</w:t>
                  </w:r>
                  <w:sdt>
                    <w:sdtPr>
                      <w:rPr>
                        <w:rFonts w:hint="eastAsia"/>
                        <w:sz w:val="28"/>
                        <w:szCs w:val="28"/>
                      </w:rPr>
                      <w:id w:val="-868215952"/>
                      <w:dropDownList>
                        <w:listItem w:value="选择一项。"/>
                        <w:listItem w:displayText="美学" w:value="美学"/>
                        <w:listItem w:displayText="宗教学" w:value="宗教学"/>
                        <w:listItem w:displayText="国民经济学" w:value="国民经济学"/>
                        <w:listItem w:displayText="金融学" w:value="金融学"/>
                        <w:listItem w:displayText="产业经济学" w:value="产业经济学"/>
                        <w:listItem w:displayText="马克思主义基本原理" w:value="马克思主义基本原理"/>
                        <w:listItem w:displayText="思想政治教育" w:value="思想政治教育"/>
                        <w:listItem w:displayText="高等教育学" w:value="高等教育学"/>
                        <w:listItem w:displayText="教育技术学" w:value="教育技术学"/>
                        <w:listItem w:displayText="教育哲学" w:value="教育哲学"/>
                        <w:listItem w:displayText="体育教育训练学" w:value="体育教育训练学"/>
                        <w:listItem w:displayText="英语语言文学" w:value="英语语言文学"/>
                        <w:listItem w:displayText="外国语言学及应用语言学" w:value="外国语言学及应用语言学"/>
                        <w:listItem w:displayText="计算数学" w:value="计算数学"/>
                        <w:listItem w:displayText="概率论与数理统计" w:value="概率论与数理统计"/>
                        <w:listItem w:displayText="应用数学" w:value="应用数学"/>
                        <w:listItem w:displayText="运筹学与控制论" w:value="运筹学与控制论"/>
                        <w:listItem w:displayText="等离子体物理" w:value="等离子体物理"/>
                        <w:listItem w:displayText="凝聚态物理" w:value="凝聚态物理"/>
                        <w:listItem w:displayText="光学" w:value="光学"/>
                        <w:listItem w:displayText="无线电物理" w:value="无线电物理"/>
                        <w:listItem w:displayText="统计学" w:value="统计学"/>
                        <w:listItem w:displayText="工程力学" w:value="工程力学"/>
                        <w:listItem w:displayText="机械制造及其自动化" w:value="机械制造及其自动化"/>
                        <w:listItem w:displayText="机械电子工程" w:value="机械电子工程"/>
                        <w:listItem w:displayText="机械设计及理论" w:value="机械设计及理论"/>
                        <w:listItem w:displayText="电子机械科学与技术" w:value="电子机械科学与技术"/>
                        <w:listItem w:displayText="工业设计" w:value="工业设计"/>
                        <w:listItem w:displayText="光学工程" w:value="光学工程"/>
                        <w:listItem w:displayText="精密仪器及机械" w:value="精密仪器及机械"/>
                        <w:listItem w:displayText="测试计量技术及仪器" w:value="测试计量技术及仪器"/>
                        <w:listItem w:displayText="材料物理与化学" w:value="材料物理与化学"/>
                        <w:listItem w:displayText="材料学" w:value="材料学"/>
                        <w:listItem w:displayText="电机与电器" w:value="电机与电器"/>
                        <w:listItem w:displayText="电力电子与电力传动" w:value="电力电子与电力传动"/>
                        <w:listItem w:displayText="物理电子学" w:value="物理电子学"/>
                        <w:listItem w:displayText="电路与系统" w:value="电路与系统"/>
                        <w:listItem w:displayText="微电子学与固体电子学" w:value="微电子学与固体电子学"/>
                        <w:listItem w:displayText="电磁场与微波技术" w:value="电磁场与微波技术"/>
                        <w:listItem w:displayText="信息对抗技术" w:value="信息对抗技术"/>
                        <w:listItem w:displayText="集成电路系统设计" w:value="集成电路系统设计"/>
                        <w:listItem w:displayText="通信与信息系统" w:value="通信与信息系统"/>
                        <w:listItem w:displayText="信号与信息处理" w:value="信号与信息处理"/>
                        <w:listItem w:displayText="智能信息处理" w:value="智能信息处理"/>
                        <w:listItem w:displayText="空间信息科学与技术" w:value="空间信息科学与技术"/>
                        <w:listItem w:displayText="控制理论与控制工程" w:value="控制理论与控制工程"/>
                        <w:listItem w:displayText="检测技术与自动化装置" w:value="检测技术与自动化装置"/>
                        <w:listItem w:displayText="系统工程" w:value="系统工程"/>
                        <w:listItem w:displayText="模式识别与智能系统" w:value="模式识别与智能系统"/>
                        <w:listItem w:displayText="导航、制导与控制" w:value="导航、制导与控制"/>
                        <w:listItem w:displayText="计算机系统结构" w:value="计算机系统结构"/>
                        <w:listItem w:displayText="计算机软件与理论" w:value="计算机软件与理论"/>
                        <w:listItem w:displayText="计算机应用技术" w:value="计算机应用技术"/>
                        <w:listItem w:displayText="应用化学" w:value="应用化学"/>
                        <w:listItem w:displayText="交通信息工程及控制" w:value="交通信息工程及控制"/>
                        <w:listItem w:displayText="环境科学" w:value="环境科学"/>
                        <w:listItem w:displayText="环境工程" w:value="环境工程"/>
                        <w:listItem w:displayText="生物医学工程" w:value="生物医学工程"/>
                        <w:listItem w:displayText="生物材料与细胞工程" w:value="生物材料与细胞工程"/>
                        <w:listItem w:displayText="软件工程" w:value="软件工程"/>
                        <w:listItem w:displayText="软件工程技术" w:value="软件工程技术"/>
                        <w:listItem w:displayText="军事通信学" w:value="军事通信学"/>
                        <w:listItem w:displayText="密码学" w:value="密码学"/>
                        <w:listItem w:displayText="管理科学与工程" w:value="管理科学与工程"/>
                        <w:listItem w:displayText="管理哲学" w:value="管理哲学"/>
                        <w:listItem w:displayText="会计学" w:value="会计学"/>
                        <w:listItem w:displayText="企业管理" w:value="企业管理"/>
                        <w:listItem w:displayText="技术经济及管理" w:value="技术经济及管理"/>
                        <w:listItem w:displayText="行政管理" w:value="行政管理"/>
                        <w:listItem w:displayText="图书馆学" w:value="图书馆学"/>
                        <w:listItem w:displayText="情报学" w:value="情报学"/>
                        <w:listItem w:displayText="光通信" w:value="光通信"/>
                        <w:listItem w:displayText="信息安全" w:value="信息安全"/>
                        <w:listItem w:displayText="生物信息科学与技术" w:value="生物信息科学与技术"/>
                        <w:listItem w:displayText="机器人技术" w:value="机器人技术"/>
                        <w:listItem w:displayText="遥感信息科学与技术" w:value="遥感信息科学与技术"/>
                        <w:listItem w:displayText="空间科学与技术" w:value="空间科学与技术"/>
                        <w:listItem w:displayText="马克思主义中国化研究" w:value="马克思主义中国化研究"/>
                        <w:listItem w:displayText="外国文学" w:value="外国文学"/>
                        <w:listItem w:displayText="翻译学" w:value="翻译学"/>
                        <w:listItem w:displayText="基础数学" w:value="基础数学"/>
                        <w:listItem w:displayText="流体力学" w:value="流体力学"/>
                        <w:listItem w:displayText="固体力学" w:value="固体力学"/>
                        <w:listItem w:displayText="智能机电系统及测控技术" w:value="智能机电系统及测控技术"/>
                        <w:listItem w:displayText="空间科学仪器与电磁实验技术" w:value="空间科学仪器与电磁实验技术"/>
                        <w:listItem w:displayText="飞行器测控与导航制导" w:value="飞行器测控与导航制导"/>
                        <w:listItem w:displayText="智能检测与新型传感器" w:value="智能检测与新型传感器"/>
                      </w:dropDownList>
                    </w:sdtPr>
                    <w:sdtEndPr>
                      <w:rPr>
                        <w:rFonts w:hint="eastAsia"/>
                        <w:sz w:val="28"/>
                        <w:szCs w:val="28"/>
                      </w:rPr>
                    </w:sdtEndPr>
                    <w:sdtContent>
                      <w:r>
                        <w:rPr>
                          <w:rFonts w:hint="eastAsia" w:ascii="Times New Roman" w:hAnsi="Times New Roman" w:eastAsia="宋体" w:cs="Times New Roman"/>
                          <w:kern w:val="2"/>
                          <w:sz w:val="28"/>
                          <w:szCs w:val="28"/>
                          <w:lang w:val="en-US" w:eastAsia="zh-CN" w:bidi="ar-SA"/>
                        </w:rPr>
                        <w:t>飞行器测控与导航制导</w:t>
                      </w:r>
                    </w:sdtContent>
                  </w:sdt>
                </w:p>
                <w:p w14:paraId="021CECAE">
                  <w:pPr>
                    <w:spacing w:line="640" w:lineRule="exact"/>
                    <w:ind w:firstLine="0" w:firstLineChars="0"/>
                    <w:jc w:val="left"/>
                    <w:rPr>
                      <w:sz w:val="28"/>
                      <w:szCs w:val="28"/>
                    </w:rPr>
                  </w:pPr>
                  <w:r>
                    <w:rPr>
                      <w:rFonts w:hint="eastAsia" w:ascii="宋体" w:hAnsi="宋体"/>
                      <w:b/>
                      <w:sz w:val="28"/>
                      <w:szCs w:val="28"/>
                    </w:rPr>
                    <w:t>学位类别：</w:t>
                  </w:r>
                  <w:sdt>
                    <w:sdtPr>
                      <w:rPr>
                        <w:rFonts w:hint="eastAsia"/>
                        <w:sz w:val="28"/>
                        <w:szCs w:val="28"/>
                      </w:rPr>
                      <w:id w:val="-705721619"/>
                      <w:dropDownList>
                        <w:listItem w:value="选择一项。"/>
                        <w:listItem w:displayText="工学硕士" w:value="工学硕士"/>
                        <w:listItem w:displayText="工学博士" w:value="工学博士"/>
                        <w:listItem w:displayText="哲学硕士" w:value="哲学硕士"/>
                        <w:listItem w:displayText="经济学硕士" w:value="经济学硕士"/>
                        <w:listItem w:displayText="法学硕士" w:value="法学硕士"/>
                        <w:listItem w:displayText="教育学硕士" w:value="教育学硕士"/>
                        <w:listItem w:displayText="文学硕士" w:value="文学硕士"/>
                        <w:listItem w:displayText="理学硕士" w:value="理学硕士"/>
                        <w:listItem w:displayText="理学博士" w:value="理学博士"/>
                        <w:listItem w:displayText="军事学硕士" w:value="军事学硕士"/>
                        <w:listItem w:displayText="军事学博士" w:value="军事学博士"/>
                        <w:listItem w:displayText="管理学硕士" w:value="管理学硕士"/>
                        <w:listItem w:displayText="管理学博士" w:value="管理学博士"/>
                      </w:dropDownList>
                    </w:sdtPr>
                    <w:sdtEndPr>
                      <w:rPr>
                        <w:rFonts w:hint="eastAsia"/>
                        <w:sz w:val="28"/>
                        <w:szCs w:val="28"/>
                      </w:rPr>
                    </w:sdtEndPr>
                    <w:sdtContent>
                      <w:r>
                        <w:rPr>
                          <w:rFonts w:hint="eastAsia"/>
                          <w:sz w:val="28"/>
                          <w:szCs w:val="28"/>
                        </w:rPr>
                        <w:t>工学硕士</w:t>
                      </w:r>
                    </w:sdtContent>
                  </w:sdt>
                </w:p>
                <w:p w14:paraId="5AE3BEF2">
                  <w:pPr>
                    <w:spacing w:line="640" w:lineRule="exact"/>
                    <w:ind w:firstLine="0" w:firstLineChars="0"/>
                    <w:jc w:val="left"/>
                    <w:rPr>
                      <w:sz w:val="28"/>
                      <w:szCs w:val="28"/>
                    </w:rPr>
                  </w:pPr>
                  <w:r>
                    <w:rPr>
                      <w:rFonts w:hint="eastAsia" w:ascii="宋体" w:hAnsi="宋体"/>
                      <w:b/>
                      <w:sz w:val="28"/>
                      <w:szCs w:val="28"/>
                    </w:rPr>
                    <w:t>指导教师姓名、职称</w:t>
                  </w:r>
                  <w:r>
                    <w:rPr>
                      <w:rFonts w:hint="eastAsia" w:hAnsi="宋体"/>
                      <w:b/>
                      <w:sz w:val="28"/>
                      <w:szCs w:val="28"/>
                    </w:rPr>
                    <w:t>：</w:t>
                  </w:r>
                  <w:sdt>
                    <w:sdtPr>
                      <w:rPr>
                        <w:rFonts w:hint="eastAsia"/>
                        <w:sz w:val="28"/>
                        <w:szCs w:val="28"/>
                      </w:rPr>
                      <w:id w:val="342675160"/>
                      <w:lock w:val="sdtLocked"/>
                      <w:text/>
                    </w:sdtPr>
                    <w:sdtEndPr>
                      <w:rPr>
                        <w:rFonts w:hint="default"/>
                        <w:sz w:val="28"/>
                        <w:szCs w:val="28"/>
                      </w:rPr>
                    </w:sdtEndPr>
                    <w:sdtContent>
                      <w:r>
                        <w:rPr>
                          <w:rFonts w:hint="eastAsia"/>
                          <w:sz w:val="28"/>
                          <w:szCs w:val="28"/>
                          <w:lang w:val="en-US" w:eastAsia="zh-CN"/>
                        </w:rPr>
                        <w:t>孙超</w:t>
                      </w:r>
                    </w:sdtContent>
                  </w:sdt>
                  <w:r>
                    <w:rPr>
                      <w:rFonts w:hint="eastAsia"/>
                      <w:sz w:val="28"/>
                      <w:szCs w:val="28"/>
                    </w:rPr>
                    <w:t xml:space="preserve"> </w:t>
                  </w:r>
                  <w:sdt>
                    <w:sdtPr>
                      <w:rPr>
                        <w:rFonts w:hint="eastAsia"/>
                        <w:sz w:val="28"/>
                        <w:szCs w:val="28"/>
                      </w:rPr>
                      <w:id w:val="-1389799089"/>
                      <w:dropDownList>
                        <w:listItem w:value="选择一项。"/>
                        <w:listItem w:displayText=" 教授 " w:value=" 教授 "/>
                        <w:listItem w:displayText="副教授" w:value="副教授"/>
                      </w:dropDownList>
                    </w:sdtPr>
                    <w:sdtEndPr>
                      <w:rPr>
                        <w:rFonts w:hint="eastAsia"/>
                        <w:sz w:val="28"/>
                        <w:szCs w:val="28"/>
                      </w:rPr>
                    </w:sdtEndPr>
                    <w:sdtContent>
                      <w:r>
                        <w:rPr>
                          <w:rFonts w:hint="eastAsia" w:ascii="Times New Roman" w:hAnsi="Times New Roman" w:eastAsia="宋体" w:cs="Times New Roman"/>
                          <w:kern w:val="2"/>
                          <w:sz w:val="28"/>
                          <w:szCs w:val="28"/>
                          <w:lang w:val="en-US" w:eastAsia="zh-CN" w:bidi="ar-SA"/>
                        </w:rPr>
                        <w:t>副教授</w:t>
                      </w:r>
                    </w:sdtContent>
                  </w:sdt>
                </w:p>
                <w:p w14:paraId="4A4F53CA">
                  <w:pPr>
                    <w:spacing w:line="640" w:lineRule="exact"/>
                    <w:ind w:firstLine="0" w:firstLineChars="0"/>
                    <w:jc w:val="left"/>
                    <w:rPr>
                      <w:sz w:val="28"/>
                      <w:szCs w:val="28"/>
                    </w:rPr>
                  </w:pPr>
                  <w:r>
                    <w:rPr>
                      <w:rFonts w:hint="eastAsia" w:ascii="宋体" w:hAnsi="宋体"/>
                      <w:b/>
                      <w:sz w:val="28"/>
                      <w:szCs w:val="28"/>
                    </w:rPr>
                    <w:t>学　　院：</w:t>
                  </w:r>
                  <w:sdt>
                    <w:sdtPr>
                      <w:rPr>
                        <w:rFonts w:hint="eastAsia"/>
                        <w:sz w:val="28"/>
                        <w:szCs w:val="28"/>
                      </w:rPr>
                      <w:id w:val="1986197323"/>
                      <w:dropDownList>
                        <w:listItem w:value="选择一项。"/>
                        <w:listItem w:displayText="通信工程学院" w:value="通信工程学院"/>
                        <w:listItem w:displayText="电子工程学院" w:value="电子工程学院"/>
                        <w:listItem w:displayText="计算机科学与技术学院" w:value="计算机科学与技术学院"/>
                        <w:listItem w:displayText="机电工程学院" w:value="机电工程学院"/>
                        <w:listItem w:displayText="物理与光电工程学院" w:value="物理与光电工程学院"/>
                        <w:listItem w:displayText="经济与管理学院" w:value="经济与管理学院"/>
                        <w:listItem w:displayText="数学与统计学院" w:value="数学与统计学院"/>
                        <w:listItem w:displayText="微电子学院" w:value="微电子学院"/>
                        <w:listItem w:displayText="外国语学院" w:value="外国语学院"/>
                        <w:listItem w:displayText="生命科学技术学院" w:value="生命科学技术学院"/>
                        <w:listItem w:displayText="空间科学与技术学院" w:value="空间科学与技术学院"/>
                        <w:listItem w:displayText="先进材料与纳米科技学院" w:value="先进材料与纳米科技学院"/>
                        <w:listItem w:displayText="网络与信息安全学院" w:value="网络与信息安全学院"/>
                        <w:listItem w:displayText="人文学院" w:value="人文学院"/>
                        <w:listItem w:displayText="马克思主义学院" w:value="马克思主义学院"/>
                        <w:listItem w:displayText="人工智能学院" w:value="人工智能学院"/>
                      </w:dropDownList>
                    </w:sdtPr>
                    <w:sdtEndPr>
                      <w:rPr>
                        <w:rFonts w:hint="eastAsia"/>
                        <w:sz w:val="28"/>
                        <w:szCs w:val="28"/>
                      </w:rPr>
                    </w:sdtEndPr>
                    <w:sdtContent>
                      <w:r>
                        <w:rPr>
                          <w:rFonts w:hint="eastAsia"/>
                          <w:sz w:val="28"/>
                          <w:szCs w:val="28"/>
                        </w:rPr>
                        <w:t>空间科学与技术学院</w:t>
                      </w:r>
                    </w:sdtContent>
                  </w:sdt>
                </w:p>
                <w:p w14:paraId="200DC819">
                  <w:pPr>
                    <w:spacing w:line="640" w:lineRule="exact"/>
                    <w:ind w:firstLine="0" w:firstLineChars="0"/>
                    <w:jc w:val="left"/>
                    <w:rPr>
                      <w:sz w:val="28"/>
                      <w:szCs w:val="28"/>
                    </w:rPr>
                  </w:pPr>
                  <w:r>
                    <w:rPr>
                      <w:rFonts w:hint="eastAsia" w:ascii="宋体" w:hAnsi="宋体"/>
                      <w:b/>
                      <w:sz w:val="28"/>
                      <w:szCs w:val="28"/>
                    </w:rPr>
                    <w:t>提交日期</w:t>
                  </w:r>
                  <w:r>
                    <w:rPr>
                      <w:rFonts w:hint="eastAsia"/>
                      <w:b/>
                      <w:sz w:val="28"/>
                      <w:szCs w:val="28"/>
                    </w:rPr>
                    <w:t>：</w:t>
                  </w:r>
                  <w:sdt>
                    <w:sdtPr>
                      <w:rPr>
                        <w:rFonts w:hint="eastAsia"/>
                        <w:sz w:val="28"/>
                        <w:szCs w:val="28"/>
                      </w:rPr>
                      <w:id w:val="-1803917780"/>
                      <w:date w:fullDate="2024-06-14T00:00:00Z">
                        <w:dateFormat w:val="yyyy年M月"/>
                        <w:lid w:val="zh-CN"/>
                        <w:storeMappedDataAs w:val="datetime"/>
                        <w:calendar w:val="gregorian"/>
                      </w:date>
                    </w:sdtPr>
                    <w:sdtEndPr>
                      <w:rPr>
                        <w:rFonts w:hint="eastAsia"/>
                        <w:sz w:val="28"/>
                        <w:szCs w:val="28"/>
                      </w:rPr>
                    </w:sdtEndPr>
                    <w:sdtContent>
                      <w:r>
                        <w:rPr>
                          <w:rFonts w:hint="eastAsia"/>
                          <w:sz w:val="28"/>
                          <w:szCs w:val="28"/>
                        </w:rPr>
                        <w:t>202</w:t>
                      </w:r>
                      <w:r>
                        <w:rPr>
                          <w:rFonts w:hint="eastAsia"/>
                          <w:sz w:val="28"/>
                          <w:szCs w:val="28"/>
                          <w:lang w:val="en-US" w:eastAsia="zh-CN"/>
                        </w:rPr>
                        <w:t>6</w:t>
                      </w:r>
                      <w:r>
                        <w:rPr>
                          <w:rFonts w:hint="eastAsia"/>
                          <w:sz w:val="28"/>
                          <w:szCs w:val="28"/>
                        </w:rPr>
                        <w:t>年6月</w:t>
                      </w:r>
                    </w:sdtContent>
                  </w:sdt>
                </w:p>
              </w:txbxContent>
            </v:textbox>
          </v:shape>
        </w:pict>
      </w:r>
      <w:r>
        <w:pict>
          <v:shape id="_x0000_s2054" o:spid="_x0000_s2054" o:spt="202" type="#_x0000_t202" style="position:absolute;left:0pt;margin-left:0pt;margin-top:113.4pt;height:127.55pt;width:439.35pt;mso-position-horizontal-relative:margin;mso-position-vertical-relative:margin;z-index:251663360;mso-width-relative:page;mso-height-relative:page;" filled="f" stroked="f" coordsize="21600,21600" o:gfxdata="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1bvyo1wAAAAgBAAAPAAAAAAAAAAEA&#10;IAAAACIAAABkcnMvZG93bnJldi54bWxQSwECFAAUAAAACACHTuJA6pV/JBACAAAGBAAADgAAAAAA&#10;AAABACAAAAAmAQAAZHJzL2Uyb0RvYy54bWxQSwUGAAAAAAYABgBZAQAAqAUAAAAA&#10;">
            <v:path/>
            <v:fill on="f" focussize="0,0"/>
            <v:stroke on="f"/>
            <v:imagedata o:title=""/>
            <o:lock v:ext="edit" aspectratio="f"/>
            <v:textbox inset="0mm,0mm,0mm,0mm">
              <w:txbxContent>
                <w:p w14:paraId="4A7900CF">
                  <w:pPr>
                    <w:spacing w:line="600" w:lineRule="exact"/>
                    <w:jc w:val="center"/>
                    <w:rPr>
                      <w:rFonts w:eastAsia="黑体"/>
                      <w:b/>
                      <w:sz w:val="52"/>
                      <w:szCs w:val="52"/>
                    </w:rPr>
                  </w:pPr>
                  <w:r>
                    <w:rPr>
                      <w:rFonts w:eastAsia="黑体"/>
                      <w:b/>
                      <w:sz w:val="52"/>
                      <w:szCs w:val="52"/>
                    </w:rPr>
                    <w:t>西安电子科技大学</w:t>
                  </w:r>
                </w:p>
                <w:p w14:paraId="4C7A4E5C">
                  <w:pPr>
                    <w:spacing w:line="600" w:lineRule="exact"/>
                    <w:jc w:val="center"/>
                    <w:rPr>
                      <w:sz w:val="44"/>
                      <w:szCs w:val="44"/>
                    </w:rPr>
                  </w:pPr>
                </w:p>
                <w:p w14:paraId="6BD9F944">
                  <w:pPr>
                    <w:spacing w:line="600" w:lineRule="exact"/>
                    <w:jc w:val="center"/>
                    <w:rPr>
                      <w:sz w:val="44"/>
                      <w:szCs w:val="44"/>
                    </w:rPr>
                  </w:pPr>
                </w:p>
                <w:p w14:paraId="5AEF70C1">
                  <w:pPr>
                    <w:spacing w:line="600" w:lineRule="exact"/>
                    <w:jc w:val="center"/>
                    <w:rPr>
                      <w:b/>
                      <w:sz w:val="48"/>
                      <w:szCs w:val="48"/>
                    </w:rPr>
                  </w:pPr>
                  <w:sdt>
                    <w:sdtPr>
                      <w:rPr>
                        <w:b/>
                        <w:sz w:val="48"/>
                        <w:szCs w:val="48"/>
                      </w:rPr>
                      <w:alias w:val="选择学位类别"/>
                      <w:tag w:val="选择学位类别"/>
                      <w:id w:val="-493338829"/>
                      <w:lock w:val="sdtLocked"/>
                      <w:dropDownList>
                        <w:listItem w:value="选择一项。"/>
                        <w:listItem w:displayText="硕士学位" w:value="硕士学位"/>
                        <w:listItem w:displayText="博士学位" w:value="博士学位"/>
                      </w:dropDownList>
                    </w:sdtPr>
                    <w:sdtEndPr>
                      <w:rPr>
                        <w:b/>
                        <w:sz w:val="48"/>
                        <w:szCs w:val="48"/>
                      </w:rPr>
                    </w:sdtEndPr>
                    <w:sdtContent>
                      <w:r>
                        <w:rPr>
                          <w:b/>
                          <w:sz w:val="48"/>
                          <w:szCs w:val="48"/>
                        </w:rPr>
                        <w:t>硕士学位</w:t>
                      </w:r>
                    </w:sdtContent>
                  </w:sdt>
                  <w:r>
                    <w:rPr>
                      <w:b/>
                      <w:sz w:val="48"/>
                      <w:szCs w:val="48"/>
                    </w:rPr>
                    <w:t>论文</w:t>
                  </w:r>
                </w:p>
              </w:txbxContent>
            </v:textbox>
          </v:shape>
        </w:pict>
      </w:r>
      <w:r>
        <w:pict>
          <v:shape id="_x0000_s2055" o:spid="_x0000_s2055" o:spt="202" type="#_x0000_t202" style="position:absolute;left:0pt;margin-left:309pt;margin-top:8.5pt;height:31.2pt;width:127.55pt;mso-position-horizontal-relative:margin;mso-position-vertical-relative:margin;z-index:251663360;mso-width-relative:page;mso-height-relative:page;" filled="f" stroked="f" coordsize="21600,21600" o:gfxdata="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e49PjYAAAACQEAAA8AAAAAAAAAAQAg&#10;AAAAIgAAAGRycy9kb3ducmV2LnhtbFBLAQIUABQAAAAIAIdO4kDIUNPaDgIAAAUEAAAOAAAAAAAA&#10;AAEAIAAAACcBAABkcnMvZTJvRG9jLnhtbFBLBQYAAAAABgAGAFkBAACnBQAAAAA=&#10;">
            <v:path/>
            <v:fill on="f" focussize="0,0"/>
            <v:stroke on="f"/>
            <v:imagedata o:title=""/>
            <o:lock v:ext="edit" aspectratio="f"/>
            <v:textbox inset="0mm,0mm,0mm,0mm">
              <w:txbxContent>
                <w:p w14:paraId="1560E9FC">
                  <w:pPr>
                    <w:spacing w:line="288" w:lineRule="auto"/>
                    <w:ind w:firstLine="0" w:firstLineChars="0"/>
                  </w:pPr>
                  <w:r>
                    <w:rPr>
                      <w:rFonts w:hint="eastAsia" w:ascii="宋体" w:hAnsi="宋体"/>
                      <w:b/>
                      <w:sz w:val="21"/>
                    </w:rPr>
                    <w:t>学　号　</w:t>
                  </w:r>
                  <w:r>
                    <w:rPr>
                      <w:rFonts w:hint="eastAsia"/>
                      <w:b/>
                      <w:sz w:val="21"/>
                      <w:u w:val="single"/>
                    </w:rPr>
                    <w:t xml:space="preserve">  </w:t>
                  </w:r>
                  <w:r>
                    <w:rPr>
                      <w:b/>
                      <w:sz w:val="21"/>
                      <w:u w:val="single"/>
                    </w:rPr>
                    <w:t xml:space="preserve"> </w:t>
                  </w:r>
                  <w:sdt>
                    <w:sdtPr>
                      <w:rPr>
                        <w:b/>
                        <w:sz w:val="21"/>
                        <w:u w:val="single"/>
                      </w:rPr>
                      <w:id w:val="1602374232"/>
                    </w:sdtPr>
                    <w:sdtEndPr>
                      <w:rPr>
                        <w:b/>
                        <w:sz w:val="21"/>
                        <w:u w:val="single"/>
                      </w:rPr>
                    </w:sdtEndPr>
                    <w:sdtContent>
                      <w:r>
                        <w:rPr>
                          <w:b/>
                          <w:sz w:val="21"/>
                          <w:u w:val="single"/>
                        </w:rPr>
                        <w:t>2</w:t>
                      </w:r>
                      <w:r>
                        <w:rPr>
                          <w:rFonts w:hint="eastAsia"/>
                          <w:b/>
                          <w:sz w:val="21"/>
                          <w:u w:val="single"/>
                          <w:lang w:val="en-US" w:eastAsia="zh-CN"/>
                        </w:rPr>
                        <w:t>3131213939</w:t>
                      </w:r>
                    </w:sdtContent>
                  </w:sdt>
                  <w:r>
                    <w:rPr>
                      <w:b/>
                      <w:sz w:val="21"/>
                      <w:u w:val="single"/>
                    </w:rPr>
                    <w:t xml:space="preserve"> </w:t>
                  </w:r>
                  <w:r>
                    <w:rPr>
                      <w:rFonts w:hint="eastAsia"/>
                      <w:b/>
                      <w:sz w:val="21"/>
                      <w:u w:val="single"/>
                    </w:rPr>
                    <w:t xml:space="preserve">  </w:t>
                  </w:r>
                  <w:r>
                    <w:rPr>
                      <w:b/>
                      <w:sz w:val="21"/>
                      <w:u w:val="single"/>
                    </w:rPr>
                    <w:t xml:space="preserve">     </w:t>
                  </w:r>
                </w:p>
                <w:p w14:paraId="64EAB247">
                  <w:pPr>
                    <w:spacing w:line="288" w:lineRule="auto"/>
                    <w:ind w:firstLine="0" w:firstLineChars="0"/>
                  </w:pPr>
                  <w:r>
                    <w:rPr>
                      <w:rFonts w:hint="eastAsia" w:ascii="宋体" w:hAnsi="宋体"/>
                      <w:b/>
                      <w:sz w:val="21"/>
                    </w:rPr>
                    <w:t>密　级　</w:t>
                  </w:r>
                  <w:r>
                    <w:rPr>
                      <w:b/>
                      <w:sz w:val="21"/>
                      <w:u w:val="single"/>
                    </w:rPr>
                    <w:t xml:space="preserve"> </w:t>
                  </w:r>
                  <w:r>
                    <w:rPr>
                      <w:rFonts w:hint="eastAsia"/>
                      <w:b/>
                      <w:sz w:val="21"/>
                      <w:u w:val="single"/>
                    </w:rPr>
                    <w:t xml:space="preserve">    </w:t>
                  </w:r>
                  <w:sdt>
                    <w:sdtPr>
                      <w:rPr>
                        <w:rFonts w:hint="eastAsia"/>
                        <w:b/>
                        <w:sz w:val="21"/>
                        <w:u w:val="single"/>
                      </w:rPr>
                      <w:alias w:val="选择密级"/>
                      <w:tag w:val="选择密级"/>
                      <w:id w:val="499713003"/>
                      <w:dropDownList>
                        <w:listItem w:value="选择一项。"/>
                        <w:listItem w:displayText="秘密" w:value="秘密"/>
                        <w:listItem w:displayText="公开" w:value="公开"/>
                      </w:dropDownList>
                    </w:sdtPr>
                    <w:sdtEndPr>
                      <w:rPr>
                        <w:rFonts w:hint="eastAsia"/>
                        <w:b/>
                        <w:sz w:val="21"/>
                        <w:u w:val="single"/>
                      </w:rPr>
                    </w:sdtEndPr>
                    <w:sdtContent>
                      <w:r>
                        <w:rPr>
                          <w:rFonts w:hint="eastAsia"/>
                          <w:b/>
                          <w:sz w:val="21"/>
                          <w:u w:val="single"/>
                        </w:rPr>
                        <w:t>公开</w:t>
                      </w:r>
                    </w:sdtContent>
                  </w:sdt>
                  <w:r>
                    <w:rPr>
                      <w:b/>
                      <w:sz w:val="21"/>
                      <w:u w:val="single"/>
                    </w:rPr>
                    <w:t xml:space="preserve"> </w:t>
                  </w:r>
                  <w:r>
                    <w:rPr>
                      <w:rFonts w:hint="eastAsia"/>
                      <w:b/>
                      <w:sz w:val="21"/>
                      <w:u w:val="single"/>
                    </w:rPr>
                    <w:t xml:space="preserve">  </w:t>
                  </w:r>
                  <w:r>
                    <w:rPr>
                      <w:b/>
                      <w:sz w:val="21"/>
                      <w:u w:val="single"/>
                    </w:rPr>
                    <w:t xml:space="preserve"> </w:t>
                  </w:r>
                  <w:r>
                    <w:rPr>
                      <w:rFonts w:hint="eastAsia"/>
                      <w:b/>
                      <w:sz w:val="21"/>
                      <w:u w:val="single"/>
                    </w:rPr>
                    <w:t xml:space="preserve">  </w:t>
                  </w:r>
                  <w:r>
                    <w:rPr>
                      <w:b/>
                      <w:sz w:val="21"/>
                      <w:u w:val="single"/>
                    </w:rPr>
                    <w:t xml:space="preserve"> </w:t>
                  </w:r>
                </w:p>
              </w:txbxContent>
            </v:textbox>
          </v:shape>
        </w:pict>
      </w:r>
      <w:r>
        <w:pict>
          <v:shape id="_x0000_s2056" o:spid="_x0000_s2056" o:spt="202" type="#_x0000_t202" style="position:absolute;left:0pt;margin-left:5.65pt;margin-top:8.5pt;height:31.2pt;width:127.55pt;mso-position-horizontal-relative:margin;mso-position-vertical-relative:margin;z-index:251662336;mso-width-relative:page;mso-height-relative:page;" filled="f" stroked="f" coordsize="21600,21600" o:gfxdata="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QEB9INcAAAAIAQAADwAAAAAAAAABACAA&#10;AAAiAAAAZHJzL2Rvd25yZXYueG1sUEsBAhQAFAAAAAgAh07iQLTOdUQOAgAABQQAAA4AAAAAAAAA&#10;AQAgAAAAJgEAAGRycy9lMm9Eb2MueG1sUEsFBgAAAAAGAAYAWQEAAKYFAAAAAA==&#10;">
            <v:path/>
            <v:fill on="f" focussize="0,0"/>
            <v:stroke on="f"/>
            <v:imagedata o:title=""/>
            <o:lock v:ext="edit" aspectratio="f"/>
            <v:textbox inset="0mm,0mm,0mm,0mm">
              <w:txbxContent>
                <w:p w14:paraId="1E42FF88">
                  <w:pPr>
                    <w:spacing w:line="288" w:lineRule="auto"/>
                    <w:ind w:firstLine="0" w:firstLineChars="0"/>
                  </w:pPr>
                  <w:r>
                    <w:rPr>
                      <w:rFonts w:hint="eastAsia" w:ascii="宋体" w:hAnsi="宋体"/>
                      <w:b/>
                      <w:sz w:val="21"/>
                    </w:rPr>
                    <w:t>学校代码</w:t>
                  </w:r>
                  <w:r>
                    <w:rPr>
                      <w:rFonts w:hint="eastAsia" w:ascii="宋体" w:hAnsi="宋体"/>
                      <w:b/>
                      <w:sz w:val="22"/>
                    </w:rPr>
                    <w:tab/>
                  </w:r>
                  <w:r>
                    <w:rPr>
                      <w:rFonts w:hint="eastAsia" w:ascii="宋体" w:hAnsi="宋体"/>
                      <w:b/>
                      <w:sz w:val="22"/>
                    </w:rPr>
                    <w:t xml:space="preserve"> </w:t>
                  </w:r>
                  <w:r>
                    <w:rPr>
                      <w:b/>
                      <w:sz w:val="21"/>
                      <w:u w:val="single"/>
                    </w:rPr>
                    <w:t xml:space="preserve"> </w:t>
                  </w:r>
                  <w:r>
                    <w:rPr>
                      <w:rFonts w:hint="eastAsia"/>
                      <w:b/>
                      <w:sz w:val="21"/>
                      <w:u w:val="single"/>
                    </w:rPr>
                    <w:t xml:space="preserve">  </w:t>
                  </w:r>
                  <w:r>
                    <w:rPr>
                      <w:b/>
                      <w:sz w:val="21"/>
                      <w:u w:val="single"/>
                    </w:rPr>
                    <w:t xml:space="preserve"> 10701</w:t>
                  </w:r>
                  <w:r>
                    <w:rPr>
                      <w:sz w:val="21"/>
                      <w:u w:val="single"/>
                    </w:rPr>
                    <w:t xml:space="preserve"> </w:t>
                  </w:r>
                  <w:r>
                    <w:rPr>
                      <w:b/>
                      <w:sz w:val="21"/>
                      <w:u w:val="single"/>
                    </w:rPr>
                    <w:t xml:space="preserve"> </w:t>
                  </w:r>
                  <w:r>
                    <w:rPr>
                      <w:rFonts w:hint="eastAsia"/>
                      <w:b/>
                      <w:sz w:val="21"/>
                      <w:u w:val="single"/>
                    </w:rPr>
                    <w:t xml:space="preserve"> </w:t>
                  </w:r>
                  <w:r>
                    <w:rPr>
                      <w:b/>
                      <w:sz w:val="21"/>
                      <w:u w:val="single"/>
                    </w:rPr>
                    <w:t xml:space="preserve">  </w:t>
                  </w:r>
                  <w:r>
                    <w:rPr>
                      <w:rFonts w:hint="eastAsia"/>
                      <w:b/>
                      <w:sz w:val="21"/>
                      <w:u w:val="single"/>
                    </w:rPr>
                    <w:t xml:space="preserve"> </w:t>
                  </w:r>
                  <w:r>
                    <w:rPr>
                      <w:b/>
                      <w:sz w:val="21"/>
                      <w:u w:val="single"/>
                    </w:rPr>
                    <w:t xml:space="preserve"> </w:t>
                  </w:r>
                </w:p>
                <w:p w14:paraId="7B6311CF">
                  <w:pPr>
                    <w:spacing w:line="288" w:lineRule="auto"/>
                    <w:ind w:firstLine="0" w:firstLineChars="0"/>
                  </w:pPr>
                  <w:r>
                    <w:rPr>
                      <w:rFonts w:hint="eastAsia" w:ascii="宋体" w:hAnsi="宋体"/>
                      <w:b/>
                      <w:spacing w:val="64"/>
                      <w:kern w:val="0"/>
                      <w:sz w:val="21"/>
                      <w:fitText w:val="886" w:id="832213760"/>
                    </w:rPr>
                    <w:t>分类</w:t>
                  </w:r>
                  <w:r>
                    <w:rPr>
                      <w:rFonts w:hint="eastAsia" w:ascii="宋体" w:hAnsi="宋体"/>
                      <w:b/>
                      <w:spacing w:val="0"/>
                      <w:kern w:val="0"/>
                      <w:sz w:val="21"/>
                      <w:fitText w:val="886" w:id="832213760"/>
                    </w:rPr>
                    <w:t>号</w:t>
                  </w:r>
                  <w:r>
                    <w:rPr>
                      <w:rFonts w:hint="eastAsia" w:ascii="宋体" w:hAnsi="宋体"/>
                      <w:b/>
                      <w:sz w:val="21"/>
                    </w:rPr>
                    <w:tab/>
                  </w:r>
                  <w:r>
                    <w:rPr>
                      <w:rFonts w:hint="eastAsia" w:ascii="宋体" w:hAnsi="宋体"/>
                      <w:b/>
                      <w:sz w:val="21"/>
                    </w:rPr>
                    <w:t xml:space="preserve"> </w:t>
                  </w:r>
                  <w:r>
                    <w:rPr>
                      <w:b/>
                      <w:sz w:val="21"/>
                      <w:u w:val="single"/>
                    </w:rPr>
                    <w:t xml:space="preserve">  </w:t>
                  </w:r>
                  <w:r>
                    <w:rPr>
                      <w:rFonts w:hint="eastAsia"/>
                      <w:b/>
                      <w:sz w:val="21"/>
                      <w:u w:val="single"/>
                    </w:rPr>
                    <w:t xml:space="preserve"> </w:t>
                  </w:r>
                  <w:r>
                    <w:rPr>
                      <w:b/>
                      <w:sz w:val="21"/>
                      <w:u w:val="single"/>
                    </w:rPr>
                    <w:t xml:space="preserve"> </w:t>
                  </w:r>
                  <w:sdt>
                    <w:sdtPr>
                      <w:rPr>
                        <w:b/>
                        <w:sz w:val="21"/>
                        <w:u w:val="single"/>
                      </w:rPr>
                      <w:id w:val="-2047901713"/>
                      <w:showingPlcHdr/>
                    </w:sdtPr>
                    <w:sdtEndPr>
                      <w:rPr>
                        <w:b/>
                        <w:sz w:val="21"/>
                        <w:u w:val="single"/>
                      </w:rPr>
                    </w:sdtEndPr>
                    <w:sdtContent>
                      <w:r>
                        <w:rPr>
                          <w:rFonts w:hint="eastAsia"/>
                          <w:color w:val="FF0000"/>
                          <w:u w:val="single"/>
                        </w:rPr>
                        <w:t>TN82</w:t>
                      </w:r>
                    </w:sdtContent>
                  </w:sdt>
                  <w:r>
                    <w:rPr>
                      <w:b/>
                      <w:sz w:val="21"/>
                      <w:u w:val="single"/>
                    </w:rPr>
                    <w:t xml:space="preserve">    </w:t>
                  </w:r>
                  <w:r>
                    <w:rPr>
                      <w:rFonts w:hint="eastAsia"/>
                      <w:b/>
                      <w:sz w:val="21"/>
                      <w:u w:val="single"/>
                    </w:rPr>
                    <w:t xml:space="preserve"> </w:t>
                  </w:r>
                  <w:r>
                    <w:rPr>
                      <w:b/>
                      <w:sz w:val="21"/>
                      <w:u w:val="single"/>
                    </w:rPr>
                    <w:t xml:space="preserve"> </w:t>
                  </w:r>
                </w:p>
              </w:txbxContent>
            </v:textbox>
          </v:shape>
        </w:pict>
      </w:r>
      <w:r>
        <w:rPr>
          <w:sz w:val="21"/>
        </w:rPr>
        <w:br w:type="page"/>
      </w:r>
    </w:p>
    <w:p w14:paraId="556D1D55">
      <w:pPr>
        <w:autoSpaceDE w:val="0"/>
        <w:autoSpaceDN w:val="0"/>
        <w:adjustRightInd w:val="0"/>
        <w:ind w:firstLine="0" w:firstLineChars="0"/>
        <w:rPr>
          <w:sz w:val="21"/>
          <w:u w:val="single"/>
        </w:rPr>
        <w:sectPr>
          <w:footnotePr>
            <w:numFmt w:val="decimalEnclosedCircleChinese"/>
            <w:numRestart w:val="eachSect"/>
          </w:footnotePr>
          <w:type w:val="oddPage"/>
          <w:pgSz w:w="11907" w:h="16840"/>
          <w:pgMar w:top="1701" w:right="1134" w:bottom="1134" w:left="1701" w:header="1134" w:footer="992" w:gutter="284"/>
          <w:cols w:space="425" w:num="1"/>
          <w:docGrid w:linePitch="384" w:charSpace="7430"/>
        </w:sectPr>
      </w:pPr>
    </w:p>
    <w:p w14:paraId="560B2842">
      <w:pPr>
        <w:widowControl/>
        <w:spacing w:line="240" w:lineRule="auto"/>
        <w:ind w:firstLine="0" w:firstLineChars="0"/>
        <w:jc w:val="left"/>
        <w:rPr>
          <w:b/>
          <w:bCs/>
          <w:sz w:val="44"/>
          <w:szCs w:val="44"/>
        </w:rPr>
      </w:pPr>
      <w:r>
        <w:rPr>
          <w:b/>
          <w:bCs/>
          <w:sz w:val="44"/>
          <w:szCs w:val="44"/>
        </w:rPr>
        <w:br w:type="page"/>
      </w:r>
    </w:p>
    <w:p w14:paraId="051458C7">
      <w:pPr>
        <w:spacing w:line="600" w:lineRule="exact"/>
        <w:ind w:firstLine="0" w:firstLineChars="0"/>
        <w:rPr>
          <w:b/>
          <w:bCs/>
          <w:sz w:val="44"/>
          <w:szCs w:val="44"/>
        </w:rPr>
      </w:pPr>
      <w:r>
        <w:pict>
          <v:shape id="_x0000_s2057" o:spid="_x0000_s2057" o:spt="202" type="#_x0000_t202" style="position:absolute;left:0pt;margin-left:0pt;margin-top:530.25pt;height:127.55pt;width:439.35pt;mso-position-horizontal-relative:margin;mso-position-vertical-relative:margin;z-index:251667456;mso-width-relative:page;mso-height-relative:page;" filled="f" stroked="f" coordsize="21600,21600" o:gfxdata="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KARWRNgAAAAKAQAADwAAAAAAAAAB&#10;ACAAAAAiAAAAZHJzL2Rvd25yZXYueG1sUEsBAhQAFAAAAAgAh07iQHN02zIQAgAABgQAAA4AAAAA&#10;AAAAAQAgAAAAJwEAAGRycy9lMm9Eb2MueG1sUEsFBgAAAAAGAAYAWQEAAKkFAAAAAA==&#10;">
            <v:path/>
            <v:fill on="f" focussize="0,0"/>
            <v:stroke on="f"/>
            <v:imagedata o:title=""/>
            <o:lock v:ext="edit" aspectratio="f"/>
            <v:textbox inset="0mm,0mm,0mm,0mm">
              <w:txbxContent>
                <w:p w14:paraId="4D222081">
                  <w:pPr>
                    <w:spacing w:line="600" w:lineRule="exact"/>
                    <w:ind w:firstLine="0" w:firstLineChars="0"/>
                    <w:jc w:val="center"/>
                    <w:rPr>
                      <w:sz w:val="32"/>
                      <w:szCs w:val="32"/>
                    </w:rPr>
                  </w:pPr>
                  <w:r>
                    <w:rPr>
                      <w:sz w:val="32"/>
                      <w:szCs w:val="32"/>
                    </w:rPr>
                    <w:t>By</w:t>
                  </w:r>
                </w:p>
                <w:p w14:paraId="668D96C8">
                  <w:pPr>
                    <w:spacing w:line="600" w:lineRule="exact"/>
                    <w:ind w:firstLine="0" w:firstLineChars="0"/>
                    <w:jc w:val="center"/>
                    <w:rPr>
                      <w:sz w:val="32"/>
                      <w:szCs w:val="32"/>
                    </w:rPr>
                  </w:pPr>
                  <w:sdt>
                    <w:sdtPr>
                      <w:rPr>
                        <w:sz w:val="32"/>
                        <w:szCs w:val="32"/>
                      </w:rPr>
                      <w:alias w:val="键入作者英文姓名"/>
                      <w:tag w:val="键入作者英文姓名"/>
                      <w:id w:val="1267427202"/>
                    </w:sdtPr>
                    <w:sdtEndPr>
                      <w:rPr>
                        <w:sz w:val="32"/>
                        <w:szCs w:val="32"/>
                      </w:rPr>
                    </w:sdtEndPr>
                    <w:sdtContent>
                      <w:r>
                        <w:rPr>
                          <w:sz w:val="32"/>
                          <w:szCs w:val="32"/>
                        </w:rPr>
                        <w:t>Cao Gang</w:t>
                      </w:r>
                    </w:sdtContent>
                  </w:sdt>
                </w:p>
                <w:p w14:paraId="13960578">
                  <w:pPr>
                    <w:spacing w:line="600" w:lineRule="exact"/>
                    <w:ind w:firstLine="0" w:firstLineChars="0"/>
                    <w:jc w:val="center"/>
                    <w:rPr>
                      <w:sz w:val="32"/>
                      <w:szCs w:val="32"/>
                    </w:rPr>
                  </w:pPr>
                  <w:r>
                    <w:rPr>
                      <w:sz w:val="32"/>
                      <w:szCs w:val="32"/>
                    </w:rPr>
                    <w:t xml:space="preserve">Supervisor: </w:t>
                  </w:r>
                  <w:sdt>
                    <w:sdtPr>
                      <w:rPr>
                        <w:sz w:val="32"/>
                        <w:szCs w:val="32"/>
                      </w:rPr>
                      <w:id w:val="-290052086"/>
                      <w:lock w:val="sdtLocked"/>
                    </w:sdtPr>
                    <w:sdtEndPr>
                      <w:rPr>
                        <w:sz w:val="32"/>
                        <w:szCs w:val="32"/>
                      </w:rPr>
                    </w:sdtEndPr>
                    <w:sdtContent>
                      <w:r>
                        <w:rPr>
                          <w:sz w:val="32"/>
                          <w:szCs w:val="32"/>
                        </w:rPr>
                        <w:t>Liu Yan Ming</w:t>
                      </w:r>
                    </w:sdtContent>
                  </w:sdt>
                  <w:r>
                    <w:rPr>
                      <w:rFonts w:hint="eastAsia"/>
                      <w:sz w:val="32"/>
                      <w:szCs w:val="32"/>
                    </w:rPr>
                    <w:t xml:space="preserve">  </w:t>
                  </w:r>
                  <w:r>
                    <w:rPr>
                      <w:sz w:val="32"/>
                      <w:szCs w:val="32"/>
                    </w:rPr>
                    <w:t>Title:</w:t>
                  </w:r>
                  <w:r>
                    <w:rPr>
                      <w:rFonts w:hint="eastAsia"/>
                      <w:sz w:val="32"/>
                      <w:szCs w:val="32"/>
                    </w:rPr>
                    <w:t xml:space="preserve"> </w:t>
                  </w:r>
                  <w:sdt>
                    <w:sdtPr>
                      <w:rPr>
                        <w:rFonts w:hint="eastAsia"/>
                        <w:sz w:val="32"/>
                        <w:szCs w:val="32"/>
                      </w:rPr>
                      <w:id w:val="-1054234562"/>
                      <w:dropDownList>
                        <w:listItem w:value="选择一项。"/>
                        <w:listItem w:displayText="Professor" w:value="Professor"/>
                        <w:listItem w:displayText="Associate Professor" w:value="Associate Professor"/>
                      </w:dropDownList>
                    </w:sdtPr>
                    <w:sdtEndPr>
                      <w:rPr>
                        <w:rFonts w:hint="eastAsia"/>
                        <w:sz w:val="32"/>
                        <w:szCs w:val="32"/>
                      </w:rPr>
                    </w:sdtEndPr>
                    <w:sdtContent>
                      <w:r>
                        <w:rPr>
                          <w:rFonts w:hint="eastAsia"/>
                          <w:sz w:val="32"/>
                          <w:szCs w:val="32"/>
                        </w:rPr>
                        <w:t>Professor</w:t>
                      </w:r>
                    </w:sdtContent>
                  </w:sdt>
                </w:p>
                <w:p w14:paraId="3E2BA13C">
                  <w:pPr>
                    <w:spacing w:line="600" w:lineRule="exact"/>
                    <w:ind w:firstLine="0" w:firstLineChars="0"/>
                    <w:jc w:val="center"/>
                    <w:rPr>
                      <w:sz w:val="32"/>
                      <w:szCs w:val="32"/>
                    </w:rPr>
                  </w:pPr>
                  <w:sdt>
                    <w:sdtPr>
                      <w:rPr>
                        <w:rFonts w:hint="eastAsia"/>
                        <w:sz w:val="32"/>
                        <w:szCs w:val="32"/>
                      </w:rPr>
                      <w:id w:val="720481217"/>
                      <w:date w:fullDate="2024-06-14T00:00:00Z">
                        <w:dateFormat w:val="MMMM yyyy"/>
                        <w:lid w:val="en-US"/>
                        <w:storeMappedDataAs w:val="datetime"/>
                        <w:calendar w:val="gregorian"/>
                      </w:date>
                    </w:sdtPr>
                    <w:sdtEndPr>
                      <w:rPr>
                        <w:rFonts w:hint="eastAsia"/>
                        <w:sz w:val="32"/>
                        <w:szCs w:val="32"/>
                      </w:rPr>
                    </w:sdtEndPr>
                    <w:sdtContent>
                      <w:r>
                        <w:rPr>
                          <w:sz w:val="32"/>
                          <w:szCs w:val="32"/>
                        </w:rPr>
                        <w:t>June 2024</w:t>
                      </w:r>
                    </w:sdtContent>
                  </w:sdt>
                </w:p>
              </w:txbxContent>
            </v:textbox>
          </v:shape>
        </w:pict>
      </w:r>
      <w:r>
        <w:pict>
          <v:shape id="_x0000_s2058" o:spid="_x0000_s2058" o:spt="202" type="#_x0000_t202" style="position:absolute;left:0pt;margin-left:0pt;margin-top:170.1pt;height:155.9pt;width:439.35pt;mso-position-horizontal-relative:margin;mso-position-vertical-relative:margin;z-index:251666432;mso-width-relative:page;mso-height-relative:page;" filled="f" stroked="f" coordsize="21600,21600" o:gfxdata="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O0XMR2AAAAAgBAAAPAAAAAAAAAAEA&#10;IAAAACIAAABkcnMvZG93bnJldi54bWxQSwECFAAUAAAACACHTuJA2QzZOA8CAAAGBAAADgAAAAAA&#10;AAABACAAAAAnAQAAZHJzL2Uyb0RvYy54bWxQSwUGAAAAAAYABgBZAQAAqAUAAAAA&#10;">
            <v:path/>
            <v:fill on="f" focussize="0,0"/>
            <v:stroke on="f"/>
            <v:imagedata o:title=""/>
            <o:lock v:ext="edit" aspectratio="f"/>
            <v:textbox inset="0mm,0mm,0mm,0mm">
              <w:txbxContent>
                <w:p w14:paraId="5E8DDBBA">
                  <w:pPr>
                    <w:spacing w:line="600" w:lineRule="exact"/>
                    <w:ind w:firstLine="0" w:firstLineChars="0"/>
                    <w:jc w:val="center"/>
                    <w:rPr>
                      <w:sz w:val="32"/>
                      <w:szCs w:val="32"/>
                    </w:rPr>
                  </w:pPr>
                  <w:r>
                    <w:rPr>
                      <w:sz w:val="32"/>
                      <w:szCs w:val="32"/>
                    </w:rPr>
                    <w:t xml:space="preserve">A </w:t>
                  </w:r>
                  <w:sdt>
                    <w:sdtPr>
                      <w:rPr>
                        <w:rFonts w:hint="eastAsia"/>
                        <w:sz w:val="32"/>
                        <w:szCs w:val="32"/>
                      </w:rPr>
                      <w:alias w:val="硕士Thesis博士Dissertation"/>
                      <w:tag w:val="硕士Thesis博士Dissertation"/>
                      <w:id w:val="-1945842323"/>
                      <w:dropDownList>
                        <w:listItem w:value="选择一项。"/>
                        <w:listItem w:displayText="thesis" w:value="thesis"/>
                        <w:listItem w:displayText="dissertation" w:value="dissertation"/>
                      </w:dropDownList>
                    </w:sdtPr>
                    <w:sdtEndPr>
                      <w:rPr>
                        <w:rFonts w:hint="eastAsia"/>
                        <w:sz w:val="32"/>
                        <w:szCs w:val="32"/>
                      </w:rPr>
                    </w:sdtEndPr>
                    <w:sdtContent>
                      <w:r>
                        <w:rPr>
                          <w:rFonts w:hint="eastAsia"/>
                          <w:sz w:val="32"/>
                          <w:szCs w:val="32"/>
                        </w:rPr>
                        <w:t>thesis</w:t>
                      </w:r>
                    </w:sdtContent>
                  </w:sdt>
                  <w:r>
                    <w:rPr>
                      <w:sz w:val="32"/>
                      <w:szCs w:val="32"/>
                    </w:rPr>
                    <w:t xml:space="preserve"> submitted to</w:t>
                  </w:r>
                </w:p>
                <w:p w14:paraId="795D4076">
                  <w:pPr>
                    <w:spacing w:line="600" w:lineRule="exact"/>
                    <w:ind w:firstLine="0" w:firstLineChars="0"/>
                    <w:jc w:val="center"/>
                    <w:rPr>
                      <w:sz w:val="32"/>
                      <w:szCs w:val="32"/>
                    </w:rPr>
                  </w:pPr>
                  <w:r>
                    <w:rPr>
                      <w:sz w:val="32"/>
                      <w:szCs w:val="32"/>
                    </w:rPr>
                    <w:t>XIDIAN UNIVERSITY</w:t>
                  </w:r>
                </w:p>
                <w:p w14:paraId="71AA5635">
                  <w:pPr>
                    <w:spacing w:line="600" w:lineRule="exact"/>
                    <w:ind w:firstLine="0" w:firstLineChars="0"/>
                    <w:jc w:val="center"/>
                    <w:rPr>
                      <w:sz w:val="32"/>
                      <w:szCs w:val="32"/>
                    </w:rPr>
                  </w:pPr>
                  <w:r>
                    <w:rPr>
                      <w:sz w:val="32"/>
                      <w:szCs w:val="32"/>
                    </w:rPr>
                    <w:t>in partial fulfillment of the requirements</w:t>
                  </w:r>
                </w:p>
                <w:p w14:paraId="0AB31212">
                  <w:pPr>
                    <w:spacing w:line="600" w:lineRule="exact"/>
                    <w:ind w:firstLine="0" w:firstLineChars="0"/>
                    <w:jc w:val="center"/>
                    <w:rPr>
                      <w:sz w:val="32"/>
                      <w:szCs w:val="32"/>
                    </w:rPr>
                  </w:pPr>
                  <w:r>
                    <w:rPr>
                      <w:rFonts w:hint="eastAsia"/>
                      <w:sz w:val="32"/>
                      <w:szCs w:val="32"/>
                    </w:rPr>
                    <w:t>f</w:t>
                  </w:r>
                  <w:r>
                    <w:rPr>
                      <w:sz w:val="32"/>
                      <w:szCs w:val="32"/>
                    </w:rPr>
                    <w:t>or the degree</w:t>
                  </w:r>
                  <w:r>
                    <w:rPr>
                      <w:rFonts w:hint="eastAsia"/>
                      <w:sz w:val="32"/>
                      <w:szCs w:val="32"/>
                    </w:rPr>
                    <w:t xml:space="preserve"> </w:t>
                  </w:r>
                  <w:r>
                    <w:rPr>
                      <w:sz w:val="32"/>
                      <w:szCs w:val="32"/>
                    </w:rPr>
                    <w:t xml:space="preserve">of </w:t>
                  </w:r>
                  <w:sdt>
                    <w:sdtPr>
                      <w:rPr>
                        <w:sz w:val="32"/>
                        <w:szCs w:val="32"/>
                      </w:rPr>
                      <w:alias w:val="选择学位"/>
                      <w:tag w:val="选择学位"/>
                      <w:id w:val="-2095933422"/>
                      <w:dropDownList>
                        <w:listItem w:value="选择一项。"/>
                        <w:listItem w:displayText="Master" w:value="Master"/>
                        <w:listItem w:displayText="Doctor of Philosophy" w:value="Doctor of Philosophy"/>
                      </w:dropDownList>
                    </w:sdtPr>
                    <w:sdtEndPr>
                      <w:rPr>
                        <w:sz w:val="32"/>
                        <w:szCs w:val="32"/>
                      </w:rPr>
                    </w:sdtEndPr>
                    <w:sdtContent>
                      <w:r>
                        <w:rPr>
                          <w:sz w:val="32"/>
                          <w:szCs w:val="32"/>
                        </w:rPr>
                        <w:t>Master</w:t>
                      </w:r>
                    </w:sdtContent>
                  </w:sdt>
                </w:p>
                <w:p w14:paraId="59C059CF">
                  <w:pPr>
                    <w:spacing w:line="600" w:lineRule="exact"/>
                    <w:ind w:firstLine="0" w:firstLineChars="0"/>
                    <w:jc w:val="center"/>
                    <w:rPr>
                      <w:sz w:val="32"/>
                      <w:szCs w:val="32"/>
                    </w:rPr>
                  </w:pPr>
                  <w:r>
                    <w:rPr>
                      <w:sz w:val="32"/>
                      <w:szCs w:val="32"/>
                    </w:rPr>
                    <w:t xml:space="preserve">in </w:t>
                  </w:r>
                  <w:sdt>
                    <w:sdtPr>
                      <w:rPr>
                        <w:rFonts w:hint="eastAsia"/>
                        <w:sz w:val="32"/>
                        <w:szCs w:val="32"/>
                      </w:rPr>
                      <w:alias w:val="选择一级学科"/>
                      <w:tag w:val="选择一级学科"/>
                      <w:id w:val="-1941822807"/>
                      <w:dropDownList>
                        <w:listItem w:value="选择一项。"/>
                        <w:listItem w:displayText="Philosophy" w:value="Philosophy"/>
                        <w:listItem w:displayText="Applied Economics" w:value="Applied Economics"/>
                        <w:listItem w:displayText="Marxist Theory" w:value="Marxist Theory"/>
                        <w:listItem w:displayText="Education Science" w:value="Education Science"/>
                        <w:listItem w:displayText="Science of Physical Culture and Sports" w:value="Science of Physical Culture and Sports"/>
                        <w:listItem w:displayText="Foreign Languages and Literature" w:value="Foreign Languages and Literature"/>
                        <w:listItem w:displayText="Mathematics" w:value="Mathematics"/>
                        <w:listItem w:displayText="Physics" w:value="Physics"/>
                        <w:listItem w:displayText="Statistics" w:value="Statistics"/>
                        <w:listItem w:displayText="Mechanics" w:value="Mechanics"/>
                        <w:listItem w:displayText="Mechanical Engineering" w:value="Mechanical Engineering"/>
                        <w:listItem w:displayText="Optical Engineering" w:value="Optical Engineering"/>
                        <w:listItem w:displayText="Instrument Science and Technology" w:value="Instrument Science and Technology"/>
                        <w:listItem w:displayText="Materials Science and Engineering" w:value="Materials Science and Engineering"/>
                        <w:listItem w:displayText="Electrical Engineering" w:value="Electrical Engineering"/>
                        <w:listItem w:displayText="Electronics Science and Technology" w:value="Electronics Science and Technology"/>
                        <w:listItem w:displayText="Information and Communications Engineering" w:value="Information and Communications Engineering"/>
                        <w:listItem w:displayText="Control Science and Engineering" w:value="Control Science and Engineering"/>
                        <w:listItem w:displayText="Computer Science and Technology" w:value="Computer Science and Technology"/>
                        <w:listItem w:displayText="Chemical Engineering and Technology" w:value="Chemical Engineering and Technology"/>
                        <w:listItem w:displayText="Communication and Transportation Engineering" w:value="Communication and Transportation Engineering"/>
                        <w:listItem w:displayText="Environmental Science and Engineering" w:value="Environmental Science and Engineering"/>
                        <w:listItem w:displayText="Biomedical Engineering" w:value="Biomedical Engineering"/>
                        <w:listItem w:displayText="Software Engineering" w:value="Software Engineering"/>
                        <w:listItem w:displayText="Science of Command" w:value="Science of Command"/>
                        <w:listItem w:displayText="Management Science and Engineering" w:value="Management Science and Engineering"/>
                        <w:listItem w:displayText="Business Administration" w:value="Business Administration"/>
                        <w:listItem w:displayText="Public Management" w:value="Public Management"/>
                        <w:listItem w:displayText="Science of Library, Information and Archival" w:value="Science of Library, Information and Archival"/>
                        <w:listItem w:displayText="Cyber Security" w:value="Cyber Security"/>
                      </w:dropDownList>
                    </w:sdtPr>
                    <w:sdtEndPr>
                      <w:rPr>
                        <w:rFonts w:hint="eastAsia"/>
                        <w:sz w:val="32"/>
                        <w:szCs w:val="32"/>
                      </w:rPr>
                    </w:sdtEndPr>
                    <w:sdtContent>
                      <w:r>
                        <w:rPr>
                          <w:rFonts w:hint="eastAsia"/>
                          <w:sz w:val="32"/>
                          <w:szCs w:val="32"/>
                        </w:rPr>
                        <w:t>Instrument Science and Technology</w:t>
                      </w:r>
                    </w:sdtContent>
                  </w:sdt>
                </w:p>
                <w:p w14:paraId="6D07DEDC">
                  <w:pPr>
                    <w:spacing w:line="600" w:lineRule="exact"/>
                    <w:jc w:val="center"/>
                    <w:rPr>
                      <w:b/>
                      <w:bCs/>
                      <w:sz w:val="44"/>
                      <w:szCs w:val="44"/>
                    </w:rPr>
                  </w:pPr>
                </w:p>
              </w:txbxContent>
            </v:textbox>
          </v:shape>
        </w:pict>
      </w:r>
      <w:r>
        <w:pict>
          <v:shape id="_x0000_s2059" o:spid="_x0000_s2059" o:spt="202" type="#_x0000_t202" style="position:absolute;left:0pt;margin-left:0pt;margin-top:0pt;height:99.2pt;width:439.35pt;mso-position-horizontal-relative:margin;mso-position-vertical-relative:margin;z-index:251665408;mso-width-relative:page;mso-height-relative:page;" filled="f" stroked="f" coordsize="21600,21600" o:gfxdata="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JVSR7NUAAAAFAQAADwAAAAAAAAABACAA&#10;AAAiAAAAZHJzL2Rvd25yZXYueG1sUEsBAhQAFAAAAAgAh07iQFFRLE8QAgAABgQAAA4AAAAAAAAA&#10;AQAgAAAAJAEAAGRycy9lMm9Eb2MueG1sUEsFBgAAAAAGAAYAWQEAAKYFAAAAAA==&#10;">
            <v:path/>
            <v:fill on="f" focussize="0,0"/>
            <v:stroke on="f"/>
            <v:imagedata o:title=""/>
            <o:lock v:ext="edit" aspectratio="f"/>
            <v:textbox inset="0mm,0mm,0mm,0mm">
              <w:txbxContent>
                <w:p w14:paraId="378BEFA0">
                  <w:pPr>
                    <w:spacing w:line="600" w:lineRule="exact"/>
                    <w:jc w:val="center"/>
                    <w:rPr>
                      <w:b/>
                      <w:bCs/>
                      <w:sz w:val="44"/>
                      <w:szCs w:val="44"/>
                    </w:rPr>
                  </w:pPr>
                  <w:r>
                    <w:rPr>
                      <w:b/>
                      <w:bCs/>
                      <w:sz w:val="44"/>
                      <w:szCs w:val="44"/>
                    </w:rPr>
                    <w:t>Design of Plasma Diagnostic System based on Linear Frequency Modulated Continuous Wave</w:t>
                  </w:r>
                </w:p>
              </w:txbxContent>
            </v:textbox>
          </v:shape>
        </w:pict>
      </w:r>
      <w:bookmarkStart w:id="0" w:name="_Toc240043105"/>
      <w:bookmarkEnd w:id="0"/>
      <w:bookmarkStart w:id="1" w:name="_Toc240077776"/>
      <w:bookmarkEnd w:id="1"/>
      <w:bookmarkStart w:id="2" w:name="_Toc241394702"/>
      <w:bookmarkEnd w:id="2"/>
      <w:bookmarkStart w:id="3" w:name="_Toc240292255"/>
      <w:bookmarkEnd w:id="3"/>
      <w:bookmarkStart w:id="4" w:name="_Toc240276870"/>
      <w:bookmarkEnd w:id="4"/>
      <w:bookmarkStart w:id="5" w:name="_Toc322350690"/>
      <w:bookmarkEnd w:id="5"/>
      <w:bookmarkStart w:id="6" w:name="_Toc322350902"/>
      <w:bookmarkEnd w:id="6"/>
      <w:bookmarkStart w:id="7" w:name="_Toc240726450"/>
      <w:bookmarkEnd w:id="7"/>
      <w:bookmarkStart w:id="8" w:name="_Toc240041261"/>
      <w:bookmarkEnd w:id="8"/>
      <w:bookmarkStart w:id="9" w:name="_Toc247623561"/>
      <w:bookmarkEnd w:id="9"/>
      <w:bookmarkStart w:id="10" w:name="_Toc247598409"/>
      <w:bookmarkEnd w:id="10"/>
      <w:bookmarkStart w:id="11" w:name="_Toc248548341"/>
      <w:bookmarkEnd w:id="11"/>
      <w:r>
        <w:rPr>
          <w:b/>
          <w:bCs/>
          <w:sz w:val="44"/>
          <w:szCs w:val="44"/>
        </w:rPr>
        <w:br w:type="page"/>
      </w:r>
    </w:p>
    <w:p w14:paraId="789E73E0">
      <w:pPr>
        <w:spacing w:line="600" w:lineRule="exact"/>
        <w:ind w:firstLine="0" w:firstLineChars="0"/>
        <w:rPr>
          <w:b/>
          <w:bCs/>
          <w:sz w:val="44"/>
          <w:szCs w:val="44"/>
        </w:rPr>
        <w:sectPr>
          <w:footnotePr>
            <w:numFmt w:val="decimalEnclosedCircleChinese"/>
            <w:numRestart w:val="eachSect"/>
          </w:footnotePr>
          <w:type w:val="oddPage"/>
          <w:pgSz w:w="11907" w:h="16840"/>
          <w:pgMar w:top="1701" w:right="1418" w:bottom="1134" w:left="1418" w:header="1134" w:footer="992" w:gutter="284"/>
          <w:cols w:space="425" w:num="1"/>
          <w:docGrid w:linePitch="384" w:charSpace="7430"/>
        </w:sectPr>
      </w:pPr>
    </w:p>
    <w:p w14:paraId="71D0514E">
      <w:pPr>
        <w:widowControl/>
        <w:spacing w:line="240" w:lineRule="auto"/>
        <w:ind w:firstLine="0" w:firstLineChars="0"/>
        <w:jc w:val="left"/>
        <w:rPr>
          <w:b/>
          <w:bCs/>
          <w:sz w:val="28"/>
        </w:rPr>
      </w:pPr>
      <w:r>
        <w:rPr>
          <w:b/>
          <w:bCs/>
          <w:sz w:val="28"/>
        </w:rPr>
        <w:br w:type="page"/>
      </w:r>
    </w:p>
    <w:p w14:paraId="5FCC2421">
      <w:pPr>
        <w:ind w:firstLine="0" w:firstLineChars="0"/>
        <w:jc w:val="center"/>
        <w:rPr>
          <w:b/>
          <w:bCs/>
          <w:sz w:val="28"/>
        </w:rPr>
      </w:pPr>
      <w:r>
        <w:rPr>
          <w:b/>
          <w:bCs/>
          <w:sz w:val="28"/>
        </w:rPr>
        <w:t>西安电子科技大学</w:t>
      </w:r>
    </w:p>
    <w:p w14:paraId="3592FD80">
      <w:pPr>
        <w:ind w:firstLine="0" w:firstLineChars="0"/>
        <w:jc w:val="center"/>
        <w:rPr>
          <w:b/>
          <w:bCs/>
          <w:sz w:val="28"/>
        </w:rPr>
      </w:pPr>
      <w:r>
        <w:rPr>
          <w:b/>
          <w:bCs/>
          <w:sz w:val="28"/>
        </w:rPr>
        <w:t>学位论文独创性（或创新性）声明</w:t>
      </w:r>
    </w:p>
    <w:p w14:paraId="6313E679">
      <w:pPr>
        <w:ind w:firstLine="480"/>
      </w:pPr>
    </w:p>
    <w:p w14:paraId="0D7D9B08">
      <w:pPr>
        <w:ind w:firstLine="480"/>
      </w:pPr>
      <w:r>
        <w:rPr>
          <w:rFonts w:hint="eastAsia"/>
        </w:rPr>
        <w:t>秉承学校严谨的学风和优良的科学道德，本人声明所呈交的论文是我个人在导师指导下进行的研究工作及取得的研究成果。尽我所知，除了文中特别加以标注和致谢中所罗列的内容以外，论文中不包含其他人已经发表或撰写过的研究成果；也不包含为获得西安电子科技大学或其它教育机构的学位或证书而使用过的材料。与我一同工作的同事对本研究所做的任何贡献均已在论文中作了明确的说明并表示了谢意。</w:t>
      </w:r>
    </w:p>
    <w:p w14:paraId="26B14B0A">
      <w:pPr>
        <w:ind w:firstLine="480"/>
      </w:pPr>
      <w:r>
        <w:rPr>
          <w:rFonts w:hint="eastAsia"/>
        </w:rPr>
        <w:t>学位论文若有不实之处，本人承担一切法律责任。</w:t>
      </w:r>
    </w:p>
    <w:p w14:paraId="7A987CE5">
      <w:pPr>
        <w:ind w:firstLine="480"/>
      </w:pPr>
    </w:p>
    <w:p w14:paraId="46FC5B39">
      <w:pPr>
        <w:ind w:firstLine="480"/>
      </w:pPr>
      <w:r>
        <w:t>本人签名：</w:t>
      </w:r>
      <w:r>
        <w:rPr>
          <w:u w:val="single"/>
        </w:rPr>
        <w:t xml:space="preserve">                    </w:t>
      </w:r>
      <w:r>
        <w:t xml:space="preserve">        日    期：</w:t>
      </w:r>
      <w:r>
        <w:rPr>
          <w:u w:val="single"/>
        </w:rPr>
        <w:t xml:space="preserve">                    </w:t>
      </w:r>
    </w:p>
    <w:p w14:paraId="5A446143">
      <w:pPr>
        <w:ind w:firstLine="562"/>
        <w:jc w:val="center"/>
        <w:rPr>
          <w:b/>
          <w:bCs/>
          <w:sz w:val="28"/>
        </w:rPr>
      </w:pPr>
    </w:p>
    <w:p w14:paraId="0C543317">
      <w:pPr>
        <w:ind w:firstLine="560"/>
        <w:jc w:val="center"/>
        <w:rPr>
          <w:bCs/>
          <w:sz w:val="28"/>
        </w:rPr>
      </w:pPr>
    </w:p>
    <w:p w14:paraId="1538B47A">
      <w:pPr>
        <w:ind w:firstLine="560"/>
        <w:jc w:val="center"/>
        <w:rPr>
          <w:bCs/>
          <w:sz w:val="28"/>
        </w:rPr>
      </w:pPr>
    </w:p>
    <w:p w14:paraId="3B706BDC">
      <w:pPr>
        <w:ind w:firstLine="560"/>
        <w:jc w:val="center"/>
        <w:rPr>
          <w:bCs/>
          <w:sz w:val="28"/>
        </w:rPr>
      </w:pPr>
    </w:p>
    <w:p w14:paraId="62E6B1F5">
      <w:pPr>
        <w:ind w:firstLine="560"/>
        <w:jc w:val="center"/>
        <w:rPr>
          <w:bCs/>
          <w:sz w:val="28"/>
        </w:rPr>
      </w:pPr>
    </w:p>
    <w:p w14:paraId="4745F871">
      <w:pPr>
        <w:ind w:firstLine="560"/>
        <w:jc w:val="center"/>
        <w:rPr>
          <w:bCs/>
          <w:sz w:val="28"/>
        </w:rPr>
      </w:pPr>
    </w:p>
    <w:p w14:paraId="6258EB3A">
      <w:pPr>
        <w:ind w:firstLine="560"/>
        <w:jc w:val="center"/>
        <w:rPr>
          <w:bCs/>
          <w:sz w:val="28"/>
        </w:rPr>
      </w:pPr>
    </w:p>
    <w:p w14:paraId="08450AA8">
      <w:pPr>
        <w:ind w:firstLine="560"/>
        <w:jc w:val="center"/>
        <w:rPr>
          <w:bCs/>
          <w:sz w:val="28"/>
        </w:rPr>
      </w:pPr>
    </w:p>
    <w:p w14:paraId="5BB688CD">
      <w:pPr>
        <w:ind w:firstLine="0" w:firstLineChars="0"/>
        <w:jc w:val="center"/>
        <w:rPr>
          <w:b/>
          <w:bCs/>
          <w:sz w:val="28"/>
        </w:rPr>
      </w:pPr>
      <w:r>
        <w:rPr>
          <w:b/>
          <w:bCs/>
          <w:sz w:val="28"/>
        </w:rPr>
        <w:t>西安电子科技大学</w:t>
      </w:r>
    </w:p>
    <w:p w14:paraId="04AAFC0A">
      <w:pPr>
        <w:ind w:firstLine="0" w:firstLineChars="0"/>
        <w:jc w:val="center"/>
        <w:rPr>
          <w:b/>
          <w:bCs/>
          <w:sz w:val="28"/>
        </w:rPr>
      </w:pPr>
      <w:r>
        <w:rPr>
          <w:b/>
          <w:bCs/>
          <w:sz w:val="28"/>
        </w:rPr>
        <w:t>关于论文使用授权的说明</w:t>
      </w:r>
    </w:p>
    <w:p w14:paraId="2E93BDC3">
      <w:pPr>
        <w:ind w:firstLine="480"/>
      </w:pPr>
    </w:p>
    <w:p w14:paraId="74E3A92B">
      <w:pPr>
        <w:pStyle w:val="61"/>
        <w:spacing w:before="0"/>
        <w:rPr>
          <w:rFonts w:ascii="宋体" w:cs="宋体"/>
          <w:color w:val="000000"/>
          <w:kern w:val="0"/>
          <w:lang w:val="zh-CN"/>
        </w:rPr>
      </w:pPr>
      <w:r>
        <w:rPr>
          <w:rFonts w:hint="eastAsia"/>
        </w:rPr>
        <w:t>本人完全了解西安电子科技大学有关保留和使用学位论文的规定，即：研究生在校攻读学位期间论文工作的知识产权属于西安电子科技大学。学校有权保留送交论文的复印件，允许查阅、借阅论文；学校可以公布论文的全部或部分内容，允许采用影印、缩印或其它复制手段保存论文。同时本人保证，</w:t>
      </w:r>
      <w:r>
        <w:rPr>
          <w:rFonts w:hint="eastAsia" w:ascii="宋体" w:cs="宋体"/>
          <w:color w:val="000000"/>
          <w:kern w:val="0"/>
          <w:lang w:val="zh-CN"/>
        </w:rPr>
        <w:t>结合学位论文研究成果完成的论文、发明专利等成果，署名单位为西安电子科技大学。</w:t>
      </w:r>
    </w:p>
    <w:p w14:paraId="5CDDD3D3">
      <w:pPr>
        <w:pStyle w:val="61"/>
        <w:spacing w:before="0"/>
        <w:rPr>
          <w:u w:val="single"/>
        </w:rPr>
      </w:pPr>
      <w:r>
        <w:rPr>
          <w:rFonts w:hint="eastAsia"/>
        </w:rPr>
        <w:t>保密的学位论文在</w:t>
      </w:r>
      <w:r>
        <w:rPr>
          <w:rFonts w:hint="eastAsia"/>
          <w:u w:val="single"/>
        </w:rPr>
        <w:t xml:space="preserve">   </w:t>
      </w:r>
      <w:r>
        <w:rPr>
          <w:rFonts w:hint="eastAsia"/>
        </w:rPr>
        <w:t>年解密后适用本授权书。</w:t>
      </w:r>
    </w:p>
    <w:p w14:paraId="45143392">
      <w:pPr>
        <w:ind w:firstLine="480"/>
      </w:pPr>
    </w:p>
    <w:p w14:paraId="330B53C9">
      <w:pPr>
        <w:ind w:firstLine="480"/>
      </w:pPr>
      <w:r>
        <w:t>本人签名：</w:t>
      </w:r>
      <w:r>
        <w:rPr>
          <w:u w:val="single"/>
        </w:rPr>
        <w:t xml:space="preserve">                    </w:t>
      </w:r>
      <w:r>
        <w:t xml:space="preserve">        导师签名：</w:t>
      </w:r>
      <w:r>
        <w:rPr>
          <w:u w:val="single"/>
        </w:rPr>
        <w:t xml:space="preserve">                    </w:t>
      </w:r>
    </w:p>
    <w:p w14:paraId="549A2780">
      <w:pPr>
        <w:ind w:firstLine="480"/>
      </w:pPr>
    </w:p>
    <w:p w14:paraId="38EA3F67">
      <w:pPr>
        <w:ind w:firstLine="480"/>
        <w:rPr>
          <w:u w:val="single"/>
        </w:rPr>
      </w:pPr>
      <w:r>
        <w:t>日    期：</w:t>
      </w:r>
      <w:r>
        <w:rPr>
          <w:u w:val="single"/>
        </w:rPr>
        <w:t xml:space="preserve">                    </w:t>
      </w:r>
      <w:r>
        <w:t xml:space="preserve">        日    期：</w:t>
      </w:r>
      <w:r>
        <w:rPr>
          <w:u w:val="single"/>
        </w:rPr>
        <w:t xml:space="preserve">                    </w:t>
      </w:r>
    </w:p>
    <w:p w14:paraId="0D8F2D76">
      <w:pPr>
        <w:widowControl/>
        <w:spacing w:line="240" w:lineRule="auto"/>
        <w:ind w:firstLine="0" w:firstLineChars="0"/>
        <w:jc w:val="left"/>
      </w:pPr>
      <w:r>
        <w:br w:type="page"/>
      </w:r>
      <w:r>
        <w:br w:type="page"/>
      </w:r>
    </w:p>
    <w:p w14:paraId="48CFAF94">
      <w:pPr>
        <w:ind w:firstLine="0" w:firstLineChars="0"/>
        <w:sectPr>
          <w:footerReference r:id="rId11" w:type="default"/>
          <w:footnotePr>
            <w:numFmt w:val="decimalEnclosedCircleChinese"/>
            <w:numRestart w:val="eachSect"/>
          </w:footnotePr>
          <w:type w:val="oddPage"/>
          <w:pgSz w:w="11907" w:h="16840"/>
          <w:pgMar w:top="1701" w:right="1418" w:bottom="1134" w:left="1418" w:header="1134" w:footer="992" w:gutter="284"/>
          <w:pgNumType w:fmt="upperRoman" w:start="1"/>
          <w:cols w:space="425" w:num="1"/>
          <w:docGrid w:linePitch="384" w:charSpace="7430"/>
        </w:sectPr>
      </w:pPr>
    </w:p>
    <w:p w14:paraId="1A8EE4E8">
      <w:pPr>
        <w:pStyle w:val="41"/>
      </w:pPr>
      <w:bookmarkStart w:id="12" w:name="摘要"/>
      <w:r>
        <w:rPr>
          <w:rFonts w:hint="eastAsia"/>
        </w:rPr>
        <w:t>摘要</w:t>
      </w:r>
    </w:p>
    <w:p w14:paraId="17374497">
      <w:r>
        <w:rPr>
          <w:rFonts w:hint="eastAsia"/>
        </w:rPr>
        <w:t>针对高超声速飞行器再入与临近空间飞行过程中等离子体鞘套引发的”黑障”问题，电子密度动态诊断是认识电磁传播机理和支撑抗黑障设计的重要基础。传统微波干涉法以相位为观测量，在高电子密度条件下面临整周模糊；宽带线性调频连续波（LFMCW）时延法虽可将微小时延映射为差频频率偏移，但在强色散条件下，群时延的频率依赖性会导致差频信号出现频谱散焦、峰值偏移和线性反演失效。为解决这一问题，本文不再将色散视为待抑制的干扰，而是将差频信号中的群时延演化轨迹作为新的观测量，在阐明色散等离子体中LFMCW传播机理的基础上，研究时延特征提取、降维参数反演及其工程验证。</w:t>
      </w:r>
    </w:p>
    <w:p w14:paraId="27460733">
      <w:r>
        <w:rPr>
          <w:rFonts w:hint="eastAsia"/>
        </w:rPr>
        <w:t>本文基于Drude模型推导了非磁化等离子体的复介电常数、传播常数与群时延解析表达式，建立了全频段频率-群时延非线性映射模型，定义了群时延非线性度因子，并给出了基于局部线性化近似的工程判据</w:t>
      </w:r>
      <m:oMath>
        <m:r>
          <m:rPr/>
          <m:t>χ</m:t>
        </m:r>
        <m:r>
          <m:rPr>
            <m:sty m:val="p"/>
          </m:rPr>
          <m:t>(</m:t>
        </m:r>
        <m:sSub>
          <m:sSubPr/>
          <m:e>
            <m:r>
              <m:rPr/>
              <m:t>f</m:t>
            </m:r>
          </m:e>
          <m:sub>
            <m:r>
              <m:rPr/>
              <m:t>c</m:t>
            </m:r>
          </m:sub>
        </m:sSub>
        <m:r>
          <m:rPr>
            <m:sty m:val="p"/>
          </m:rPr>
          <m:t>)=</m:t>
        </m:r>
        <m:r>
          <m:rPr/>
          <m:t>B</m:t>
        </m:r>
        <m:r>
          <m:rPr>
            <m:sty m:val="p"/>
          </m:rPr>
          <m:t>⋅</m:t>
        </m:r>
        <m:r>
          <m:rPr/>
          <m:t>η</m:t>
        </m:r>
        <m:r>
          <m:rPr>
            <m:sty m:val="p"/>
          </m:rPr>
          <m:t>(</m:t>
        </m:r>
        <m:sSub>
          <m:sSubPr/>
          <m:e>
            <m:r>
              <m:rPr/>
              <m:t>f</m:t>
            </m:r>
          </m:e>
          <m:sub>
            <m:r>
              <m:rPr/>
              <m:t>c</m:t>
            </m:r>
          </m:sub>
        </m:sSub>
        <m:r>
          <m:rPr>
            <m:sty m:val="p"/>
          </m:rPr>
          <m:t>)⋅</m:t>
        </m:r>
        <m:sSub>
          <m:sSubPr/>
          <m:e>
            <m:r>
              <m:rPr/>
              <m:t>τ</m:t>
            </m:r>
          </m:e>
          <m:sub>
            <m:r>
              <m:rPr/>
              <m:t>0</m:t>
            </m:r>
          </m:sub>
        </m:sSub>
        <m:r>
          <m:rPr>
            <m:sty m:val="p"/>
          </m:rPr>
          <m:t>≲</m:t>
        </m:r>
        <m:r>
          <m:rPr/>
          <m:t>1</m:t>
        </m:r>
      </m:oMath>
      <w:r>
        <w:rPr>
          <w:rFonts w:hint="eastAsia"/>
        </w:rPr>
        <w:t>，用于表征传统LFMCW时延诊断方法的局部适用边界。该方法通过对全频段差频信号进行FFT分析，提取其主峰对应的差频频移，进而换算传播时延，并在远离截止频率的近似条件下将时延映射为电子密度。理论分析表明，碰撞频率</w:t>
      </w:r>
      <m:oMath>
        <m:sSub>
          <m:sSubPr/>
          <m:e>
            <m:r>
              <m:rPr/>
              <m:t>ν</m:t>
            </m:r>
          </m:e>
          <m:sub>
            <m:r>
              <m:rPr/>
              <m:t>e</m:t>
            </m:r>
          </m:sub>
        </m:sSub>
      </m:oMath>
      <w:r>
        <w:rPr>
          <w:rFonts w:hint="eastAsia"/>
        </w:rPr>
        <w:t>对群时延的贡献为</w:t>
      </w:r>
      <m:oMath>
        <m:r>
          <m:rPr>
            <m:sty m:val="p"/>
          </m:rPr>
          <m:t>(</m:t>
        </m:r>
        <m:sSub>
          <m:sSubPr/>
          <m:e>
            <m:r>
              <m:rPr/>
              <m:t>ν</m:t>
            </m:r>
          </m:e>
          <m:sub>
            <m:r>
              <m:rPr/>
              <m:t>e</m:t>
            </m:r>
          </m:sub>
        </m:sSub>
        <m:r>
          <m:rPr>
            <m:sty m:val="p"/>
          </m:rPr>
          <m:t>/</m:t>
        </m:r>
        <m:r>
          <m:rPr/>
          <m:t>ω</m:t>
        </m:r>
        <m:sSup>
          <m:sSupPr/>
          <m:e>
            <m:r>
              <m:rPr>
                <m:sty m:val="p"/>
              </m:rPr>
              <m:t>)</m:t>
            </m:r>
          </m:e>
          <m:sup>
            <m:r>
              <m:rPr/>
              <m:t>2</m:t>
            </m:r>
          </m:sup>
        </m:sSup>
      </m:oMath>
      <w:r>
        <w:rPr>
          <w:rFonts w:hint="eastAsia"/>
        </w:rPr>
        <w:t>量级的二阶微扰，而电子密度</w:t>
      </w:r>
      <m:oMath>
        <m:sSub>
          <m:sSubPr/>
          <m:e>
            <m:r>
              <m:rPr/>
              <m:t>n</m:t>
            </m:r>
          </m:e>
          <m:sub>
            <m:r>
              <m:rPr/>
              <m:t>e</m:t>
            </m:r>
          </m:sub>
        </m:sSub>
      </m:oMath>
      <w:r>
        <w:rPr>
          <w:rFonts w:hint="eastAsia"/>
        </w:rPr>
        <w:t>决定群时延曲线的主导形态。据此，本文采用固定</w:t>
      </w:r>
      <m:oMath>
        <m:sSub>
          <m:sSubPr/>
          <m:e>
            <m:r>
              <m:rPr/>
              <m:t>ν</m:t>
            </m:r>
          </m:e>
          <m:sub>
            <m:r>
              <m:rPr/>
              <m:t>e</m:t>
            </m:r>
          </m:sub>
        </m:sSub>
      </m:oMath>
      <w:r>
        <w:rPr>
          <w:rFonts w:hint="eastAsia"/>
        </w:rPr>
        <w:t>、仅反演</w:t>
      </w:r>
      <m:oMath>
        <m:sSub>
          <m:sSubPr/>
          <m:e>
            <m:r>
              <m:rPr/>
              <m:t>n</m:t>
            </m:r>
          </m:e>
          <m:sub>
            <m:r>
              <m:rPr/>
              <m:t>e</m:t>
            </m:r>
          </m:sub>
        </m:sSub>
      </m:oMath>
      <w:r>
        <w:rPr>
          <w:rFonts w:hint="eastAsia"/>
        </w:rPr>
        <w:t>的降维策略，并构建了滑动窗口—MDL信源数估计—TLS-ESPRIT特征提取—Metropolis-Hastings</w:t>
      </w:r>
      <w:r>
        <w:t xml:space="preserve"> </w:t>
      </w:r>
      <w:r>
        <w:rPr>
          <w:rFonts w:hint="eastAsia"/>
        </w:rPr>
        <w:t>MCMC反演的处理链路。该方法通过逐窗重构频率-时延特征轨迹并引入幅度加权似然函数，实现了电子密度反演及不确定性量化。</w:t>
      </w:r>
    </w:p>
    <w:p w14:paraId="7A7CFBD9">
      <w:r>
        <w:rPr>
          <w:rFonts w:hint="eastAsia"/>
        </w:rPr>
        <w:t>在理论与仿真验证方面，本文构建了由MATLAB解析计算和CST全波电磁仿真组成的双重验证框架。结果表明，截止频率附近群时延呈显著渐近发散，电子密度主导时延曲线形态，碰撞频率主要影响幅度衰减；单点观测信息不足，参数辨识存在明显不适定性；引入宽带频率—群时延曲线后，可显著增强参数可辨识性并改善反演稳定性。Drude模型仿真表明，在强色散条件下，传统整段差频信号FFT主峰检测方法的电子密度反演误差可超过100%，而本文方法在SNR为20</w:t>
      </w:r>
      <w:r>
        <w:t xml:space="preserve"> </w:t>
      </w:r>
      <w:r>
        <w:rPr>
          <w:rFonts w:hint="eastAsia"/>
        </w:rPr>
        <w:t>dB时的反演误差优于0.5%，在10</w:t>
      </w:r>
      <w:r>
        <w:t xml:space="preserve"> </w:t>
      </w:r>
      <w:r>
        <w:rPr>
          <w:rFonts w:hint="eastAsia"/>
        </w:rPr>
        <w:t>dB至30</w:t>
      </w:r>
      <w:r>
        <w:t xml:space="preserve"> </w:t>
      </w:r>
      <w:r>
        <w:rPr>
          <w:rFonts w:hint="eastAsia"/>
        </w:rPr>
        <w:t>dB范围内保持稳定；后验分布分析表明，</w:t>
      </w:r>
      <m:oMath>
        <m:sSub>
          <m:sSubPr/>
          <m:e>
            <m:r>
              <m:rPr/>
              <m:t>n</m:t>
            </m:r>
          </m:e>
          <m:sub>
            <m:r>
              <m:rPr/>
              <m:t>e</m:t>
            </m:r>
          </m:sub>
        </m:sSub>
      </m:oMath>
      <w:r>
        <w:rPr>
          <w:rFonts w:hint="eastAsia"/>
        </w:rPr>
        <w:t>为强可观测参数，</w:t>
      </w:r>
      <m:oMath>
        <m:sSub>
          <m:sSubPr/>
          <m:e>
            <m:r>
              <m:rPr/>
              <m:t>ν</m:t>
            </m:r>
          </m:e>
          <m:sub>
            <m:r>
              <m:rPr/>
              <m:t>e</m:t>
            </m:r>
          </m:sub>
        </m:sSub>
      </m:oMath>
      <w:r>
        <w:rPr>
          <w:rFonts w:hint="eastAsia"/>
        </w:rPr>
        <w:t>为弱可观测参数。</w:t>
      </w:r>
    </w:p>
    <w:p w14:paraId="05DFFA0F">
      <w:r>
        <w:rPr>
          <w:rFonts w:hint="eastAsia"/>
        </w:rPr>
        <w:t>在工程与等效验证方面，本文完成了Ka波段宽带LFMCW诊断系统设计，将系统扫频带宽由800</w:t>
      </w:r>
      <w:r>
        <w:t xml:space="preserve"> </w:t>
      </w:r>
      <w:r>
        <w:rPr>
          <w:rFonts w:hint="eastAsia"/>
        </w:rPr>
        <w:t>MHz提升至3</w:t>
      </w:r>
      <w:r>
        <w:t xml:space="preserve"> </w:t>
      </w:r>
      <w:r>
        <w:rPr>
          <w:rFonts w:hint="eastAsia"/>
        </w:rPr>
        <w:t>GHz。移动靶标标定结果显示，系统在3</w:t>
      </w:r>
      <w:r>
        <w:t xml:space="preserve"> </w:t>
      </w:r>
      <w:r>
        <w:rPr>
          <w:rFonts w:hint="eastAsia"/>
        </w:rPr>
        <w:t>GHz配置下实现了3.33</w:t>
      </w:r>
      <w:r>
        <w:t xml:space="preserve"> </w:t>
      </w:r>
      <w:r>
        <w:rPr>
          <w:rFonts w:hint="eastAsia"/>
        </w:rPr>
        <w:t>ps的最小时延分辨率，按诊断信号中心频率32</w:t>
      </w:r>
      <w:r>
        <w:t xml:space="preserve"> </w:t>
      </w:r>
      <w:r>
        <w:rPr>
          <w:rFonts w:hint="eastAsia"/>
        </w:rPr>
        <w:t>GHz、等离子体直径200</w:t>
      </w:r>
      <w:r>
        <w:t xml:space="preserve"> </w:t>
      </w:r>
      <w:r>
        <w:rPr>
          <w:rFonts w:hint="eastAsia"/>
        </w:rPr>
        <w:t>mm计算，对应电子密度诊断下限约为</w:t>
      </w:r>
      <m:oMath>
        <m:r>
          <m:rPr/>
          <m:t>1.24</m:t>
        </m:r>
        <m:r>
          <m:rPr>
            <m:sty m:val="p"/>
          </m:rPr>
          <m:t>×</m:t>
        </m:r>
        <m:sSup>
          <m:sSupPr/>
          <m:e>
            <m:r>
              <m:rPr/>
              <m:t>10</m:t>
            </m:r>
          </m:e>
          <m:sup>
            <m:r>
              <m:rPr/>
              <m:t>17</m:t>
            </m:r>
          </m:sup>
        </m:sSup>
      </m:oMath>
      <w:r>
        <w:t xml:space="preserve"> m</w:t>
      </w:r>
      <m:oMath>
        <m:sSup>
          <m:sSupPr/>
          <m:e>
            <m:r>
              <m:rPr/>
              <m:t>​</m:t>
            </m:r>
          </m:e>
          <m:sup>
            <m:r>
              <m:rPr>
                <m:sty m:val="p"/>
              </m:rPr>
              <m:t>−</m:t>
            </m:r>
            <m:r>
              <m:rPr/>
              <m:t>3</m:t>
            </m:r>
          </m:sup>
        </m:sSup>
      </m:oMath>
      <w:r>
        <w:rPr>
          <w:rFonts w:hint="eastAsia"/>
        </w:rPr>
        <w:t>。此外，本文采用微波带通滤波器作为色散等效验证载体，而非最终诊断对象，在ADS全链路仿真环境中完成了去嵌入、时延轨迹提取和拟合验证。结果表明，所提方法能够从LFMCW差频信号中稳定提取色散介质的群时延轨迹特征；当色散函数的数学形式已知时，这些特征点可进一步驱动后续参数反演。</w:t>
      </w:r>
    </w:p>
    <w:p w14:paraId="795ECD6B">
      <w:r>
        <w:rPr>
          <w:rFonts w:hint="eastAsia"/>
        </w:rPr>
        <w:t>研究结果表明，本文方法拓展了传统”单峰检测—单值时延”方法在强色散条件下的适用边界，实现了基于群时延轨迹特征的参数反演。相关结果为高电子密度等离子体的动态诊断提供了新的技术途径，并为真实等离子体环境中的在线测量与抗黑障应用提供了可迁移的方法链路。</w:t>
      </w:r>
    </w:p>
    <w:p w14:paraId="149815FE">
      <w:r>
        <w:rPr>
          <w:rFonts w:hint="eastAsia"/>
          <w:b/>
          <w:bCs/>
        </w:rPr>
        <w:t>关键词：</w:t>
      </w:r>
      <w:r>
        <w:t xml:space="preserve"> </w:t>
      </w:r>
      <w:r>
        <w:rPr>
          <w:rFonts w:hint="eastAsia"/>
        </w:rPr>
        <w:t>LFMCW；等离子体诊断；色散介质群时延轨迹；时频分析；参数反演</w:t>
      </w:r>
    </w:p>
    <w:bookmarkEnd w:id="12"/>
    <w:p w14:paraId="29347041">
      <w:pPr>
        <w:pStyle w:val="41"/>
      </w:pPr>
      <w:bookmarkStart w:id="13" w:name="abstract"/>
      <w:r>
        <w:t>ABSTRACT</w:t>
      </w:r>
    </w:p>
    <w:p w14:paraId="1F5AA8DB">
      <w:r>
        <w:t>Accurate dynamic measurement of electron density is essential for understanding electromagnetic propagation in plasma sheaths and for blackout mitigation in hypersonic flight and atmospheric reentry. Conventional microwave interferometry uses phase as the observation quantity and therefore suffers from phase ambiguity in high-density plasma. Although linear frequency-modulated continuous-wave (LFMCW) delay measurement avoids phase wrapping by converting propagation delay into beat-frequency shifts, it still fails under strong dispersion, where the frequency dependence of group delay causes beat-spectrum defocusing, peak bias, and breakdown of linear inversion. Instead of treating dispersion as interference to be suppressed, this thesis uses the group-delay trajectory embedded in the beat signal as a new observable and studies LFMCW propagation in dispersive plasma, group-delay trajectory extraction, reduced-order parameter inversion, and engineering validation.</w:t>
      </w:r>
    </w:p>
    <w:p w14:paraId="3F4798A9">
      <w:r>
        <w:t xml:space="preserve">Based on the Drude model, the complex permittivity, propagation constant, and group delay of unmagnetized plasma are derived, and a full-band nonlinear mapping between probing frequency and group delay is established. A group-delay nonlinearity factor is introduced, An engineering criterion based on the local linearization approximation, </w:t>
      </w:r>
      <m:oMath>
        <m:r>
          <m:rPr/>
          <m:t>χ</m:t>
        </m:r>
        <m:r>
          <m:rPr>
            <m:sty m:val="p"/>
          </m:rPr>
          <m:t>(</m:t>
        </m:r>
        <m:sSub>
          <m:sSubPr/>
          <m:e>
            <m:r>
              <m:rPr/>
              <m:t>f</m:t>
            </m:r>
          </m:e>
          <m:sub>
            <m:r>
              <m:rPr/>
              <m:t>c</m:t>
            </m:r>
          </m:sub>
        </m:sSub>
        <m:r>
          <m:rPr>
            <m:sty m:val="p"/>
          </m:rPr>
          <m:t>)=</m:t>
        </m:r>
        <m:r>
          <m:rPr/>
          <m:t>B</m:t>
        </m:r>
        <m:r>
          <m:rPr>
            <m:sty m:val="p"/>
          </m:rPr>
          <m:t>⋅</m:t>
        </m:r>
        <m:r>
          <m:rPr/>
          <m:t>η</m:t>
        </m:r>
        <m:r>
          <m:rPr>
            <m:sty m:val="p"/>
          </m:rPr>
          <m:t>(</m:t>
        </m:r>
        <m:sSub>
          <m:sSubPr/>
          <m:e>
            <m:r>
              <m:rPr/>
              <m:t>f</m:t>
            </m:r>
          </m:e>
          <m:sub>
            <m:r>
              <m:rPr/>
              <m:t>c</m:t>
            </m:r>
          </m:sub>
        </m:sSub>
        <m:r>
          <m:rPr>
            <m:sty m:val="p"/>
          </m:rPr>
          <m:t>)⋅</m:t>
        </m:r>
        <m:sSub>
          <m:sSubPr/>
          <m:e>
            <m:r>
              <m:rPr/>
              <m:t>τ</m:t>
            </m:r>
          </m:e>
          <m:sub>
            <m:r>
              <m:rPr/>
              <m:t>0</m:t>
            </m:r>
          </m:sub>
        </m:sSub>
        <m:r>
          <m:rPr>
            <m:sty m:val="p"/>
          </m:rPr>
          <m:t>≲</m:t>
        </m:r>
        <m:r>
          <m:rPr/>
          <m:t>1</m:t>
        </m:r>
      </m:oMath>
      <w:r>
        <w:t xml:space="preserve">, is further established to characterize the local applicability boundary of the conventional LFMCW full-band FFT peak-shift-based diagnostic method. In this method, the beat signal is processed by a full-band FFT, and the propagation delay is estimated from the frequency shift corresponding to the spectral main peak, which is then mapped to the electron density. Theoretical analysis shows that the effect of collision frequency </w:t>
      </w:r>
      <m:oMath>
        <m:sSub>
          <m:sSubPr/>
          <m:e>
            <m:r>
              <m:rPr/>
              <m:t>ν</m:t>
            </m:r>
          </m:e>
          <m:sub>
            <m:r>
              <m:rPr/>
              <m:t>e</m:t>
            </m:r>
          </m:sub>
        </m:sSub>
      </m:oMath>
      <w:r>
        <w:t xml:space="preserve"> on group delay is only a second-order perturbation of order </w:t>
      </w:r>
      <m:oMath>
        <m:r>
          <m:rPr>
            <m:sty m:val="p"/>
          </m:rPr>
          <m:t>(</m:t>
        </m:r>
        <m:sSub>
          <m:sSubPr/>
          <m:e>
            <m:r>
              <m:rPr/>
              <m:t>ν</m:t>
            </m:r>
          </m:e>
          <m:sub>
            <m:r>
              <m:rPr/>
              <m:t>e</m:t>
            </m:r>
          </m:sub>
        </m:sSub>
        <m:r>
          <m:rPr>
            <m:sty m:val="p"/>
          </m:rPr>
          <m:t>/</m:t>
        </m:r>
        <m:r>
          <m:rPr/>
          <m:t>ω</m:t>
        </m:r>
        <m:sSup>
          <m:sSupPr/>
          <m:e>
            <m:r>
              <m:rPr>
                <m:sty m:val="p"/>
              </m:rPr>
              <m:t>)</m:t>
            </m:r>
          </m:e>
          <m:sup>
            <m:r>
              <m:rPr/>
              <m:t>2</m:t>
            </m:r>
          </m:sup>
        </m:sSup>
      </m:oMath>
      <w:r>
        <w:t xml:space="preserve">, whereas electron density </w:t>
      </w:r>
      <m:oMath>
        <m:sSub>
          <m:sSubPr/>
          <m:e>
            <m:r>
              <m:rPr/>
              <m:t>n</m:t>
            </m:r>
          </m:e>
          <m:sub>
            <m:r>
              <m:rPr/>
              <m:t>e</m:t>
            </m:r>
          </m:sub>
        </m:sSub>
      </m:oMath>
      <w:r>
        <w:t xml:space="preserve"> governs the dominant shape of the delay curve. Accordingly, a reduced-dimensional strategy is adopted by fixing </w:t>
      </w:r>
      <m:oMath>
        <m:sSub>
          <m:sSubPr/>
          <m:e>
            <m:r>
              <m:rPr/>
              <m:t>ν</m:t>
            </m:r>
          </m:e>
          <m:sub>
            <m:r>
              <m:rPr/>
              <m:t>e</m:t>
            </m:r>
          </m:sub>
        </m:sSub>
      </m:oMath>
      <w:r>
        <w:t xml:space="preserve"> and inverting only </w:t>
      </w:r>
      <m:oMath>
        <m:sSub>
          <m:sSubPr/>
          <m:e>
            <m:r>
              <m:rPr/>
              <m:t>n</m:t>
            </m:r>
          </m:e>
          <m:sub>
            <m:r>
              <m:rPr/>
              <m:t>e</m:t>
            </m:r>
          </m:sub>
        </m:sSub>
      </m:oMath>
      <w:r>
        <w:t>. On this basis, a processing chain of sliding-window analysis, MDL-based source number estimation, TLS-ESPRIT feature extraction, and Metropolis-Hastings MCMC inversion is constructed to reconstruct the frequency-delay trajectory and quantify inversion uncertainty through an amplitude-weighted likelihood function.</w:t>
      </w:r>
    </w:p>
    <w:p w14:paraId="34FEE558">
      <w:r>
        <w:t xml:space="preserve">For theoretical and simulation-based validation, a dual framework combining MATLAB analytical calculation and CST full-wave simulation is established. The results show that group delay exhibits pronounced asymptotic divergence near the cutoff frequency, that electron density dominates the delay-curve shape, and that collision frequency mainly affects amplitude attenuation. They also show that single-point observation provides insufficient information and leads to an ill-posed identification problem, whereas introducing the wideband frequency-group-delay curve significantly improves identifiability and inversion stability. Simulations based on the Drude plasma model indicate that, under strong dispersion, the conventional inversion method based on a single FFT peak over the entire beat signal can produce errors exceeding 100%, while the proposed method keeps the inversion error below 0.5% at an SNR of 20 dB and remains stable from 10 dB to 30 dB. Posterior analysis further confirms that </w:t>
      </w:r>
      <m:oMath>
        <m:sSub>
          <m:sSubPr/>
          <m:e>
            <m:r>
              <m:rPr/>
              <m:t>n</m:t>
            </m:r>
          </m:e>
          <m:sub>
            <m:r>
              <m:rPr/>
              <m:t>e</m:t>
            </m:r>
          </m:sub>
        </m:sSub>
      </m:oMath>
      <w:r>
        <w:t xml:space="preserve"> is strongly observable, whereas </w:t>
      </w:r>
      <m:oMath>
        <m:sSub>
          <m:sSubPr/>
          <m:e>
            <m:r>
              <m:rPr/>
              <m:t>ν</m:t>
            </m:r>
          </m:e>
          <m:sub>
            <m:r>
              <m:rPr/>
              <m:t>e</m:t>
            </m:r>
          </m:sub>
        </m:sSub>
      </m:oMath>
      <w:r>
        <w:t xml:space="preserve"> is only weakly observable.</w:t>
      </w:r>
    </w:p>
    <w:p w14:paraId="508FF89D">
      <w:r>
        <w:t xml:space="preserve">For engineering validation using an equivalent medium, a Ka-band wideband LFMCW diagnostic system is developed, and the sweep bandwidth is increased from 800 MHz to 3 GHz. Moving-target calibration demonstrates a minimum delay resolution of 3.33 ps, corresponding to a lower detectable electron density of approximately </w:t>
      </w:r>
      <m:oMath>
        <m:r>
          <m:rPr/>
          <m:t>1.24</m:t>
        </m:r>
        <m:r>
          <m:rPr>
            <m:sty m:val="p"/>
          </m:rPr>
          <m:t>×</m:t>
        </m:r>
        <m:sSup>
          <m:sSupPr/>
          <m:e>
            <m:r>
              <m:rPr/>
              <m:t>10</m:t>
            </m:r>
          </m:e>
          <m:sup>
            <m:r>
              <m:rPr/>
              <m:t>17</m:t>
            </m:r>
          </m:sup>
        </m:sSup>
      </m:oMath>
      <w:r>
        <w:t xml:space="preserve"> m</w:t>
      </w:r>
      <m:oMath>
        <m:sSup>
          <m:sSupPr/>
          <m:e>
            <m:r>
              <m:rPr/>
              <m:t>​</m:t>
            </m:r>
          </m:e>
          <m:sup>
            <m:r>
              <m:rPr>
                <m:sty m:val="p"/>
              </m:rPr>
              <m:t>−</m:t>
            </m:r>
            <m:r>
              <m:rPr/>
              <m:t>3</m:t>
            </m:r>
          </m:sup>
        </m:sSup>
      </m:oMath>
      <w:r>
        <w:t xml:space="preserve"> for a 32 GHz probing center frequency and a 200 mm plasma diameter. A microwave bandpass filter is further employed not as the final diagnostic target, but as a controllable equivalent medium with a known dispersion model in an ADS full-link simulation. De-embedding, trajectory extraction, and fitting verification show that the proposed method can stably extract group-delay trajectory features from the LFMCW beat signal, and that these features can further drive subsequent parameter inversion once the mathematical form of the dispersion function is known.</w:t>
      </w:r>
    </w:p>
    <w:p w14:paraId="4E752495">
      <w:r>
        <w:t>The results demonstrate that the proposed method extends the applicability of conventional plasma diagnostics beyond the single-peak, single-delay paradigm under strong dispersion and enables parameter inversion based on group-delay trajectory features. These results provide a new approach for dynamic diagnosis of high-density plasma and support future online measurement and blackout-mitigation applications in real plasma environments.</w:t>
      </w:r>
    </w:p>
    <w:p w14:paraId="2729AB55">
      <w:r>
        <w:rPr>
          <w:b/>
          <w:bCs/>
        </w:rPr>
        <w:t>Key words:</w:t>
      </w:r>
      <w:r>
        <w:t xml:space="preserve"> LFMCW; plasma diagnostics; group-delay trajectory in dispersive media; time-frequency analysis; parameter inversion</w:t>
      </w:r>
    </w:p>
    <w:bookmarkEnd w:id="13"/>
    <w:p w14:paraId="08CB6EBF">
      <w:pPr>
        <w:pStyle w:val="41"/>
      </w:pPr>
      <w:bookmarkStart w:id="14" w:name="_Toc167440848"/>
      <w:r>
        <w:rPr>
          <w:rFonts w:hint="eastAsia"/>
        </w:rPr>
        <w:t>插图索引</w:t>
      </w:r>
      <w:bookmarkEnd w:id="14"/>
    </w:p>
    <w:p w14:paraId="7F645AD7">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rPr>
          <w:szCs w:val="24"/>
        </w:rPr>
        <w:fldChar w:fldCharType="begin"/>
      </w:r>
      <w:r>
        <w:rPr>
          <w:szCs w:val="24"/>
        </w:rPr>
        <w:instrText xml:space="preserve"> TOC \t "标题-图" \c </w:instrText>
      </w:r>
      <w:r>
        <w:rPr>
          <w:szCs w:val="24"/>
        </w:rPr>
        <w:fldChar w:fldCharType="separate"/>
      </w:r>
      <w:r>
        <w:t>图1.1</w:t>
      </w:r>
      <w:r>
        <w:rPr>
          <w:rFonts w:asciiTheme="minorHAnsi" w:hAnsiTheme="minorHAnsi" w:eastAsiaTheme="minorEastAsia" w:cstheme="minorBidi"/>
          <w:sz w:val="21"/>
          <w:szCs w:val="22"/>
          <w14:ligatures w14:val="standardContextual"/>
        </w:rPr>
        <w:tab/>
      </w:r>
      <w:r>
        <w:t>等离子体电磁实验装置</w:t>
      </w:r>
      <w:r>
        <w:tab/>
      </w:r>
      <w:r>
        <w:fldChar w:fldCharType="begin"/>
      </w:r>
      <w:r>
        <w:instrText xml:space="preserve"> PAGEREF _Toc167441010 \h </w:instrText>
      </w:r>
      <w:r>
        <w:fldChar w:fldCharType="separate"/>
      </w:r>
      <w:r>
        <w:t>2</w:t>
      </w:r>
      <w:r>
        <w:fldChar w:fldCharType="end"/>
      </w:r>
    </w:p>
    <w:p w14:paraId="47FDF8EB">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图1.2</w:t>
      </w:r>
      <w:r>
        <w:rPr>
          <w:rFonts w:asciiTheme="minorHAnsi" w:hAnsiTheme="minorHAnsi" w:eastAsiaTheme="minorEastAsia" w:cstheme="minorBidi"/>
          <w:sz w:val="21"/>
          <w:szCs w:val="22"/>
          <w14:ligatures w14:val="standardContextual"/>
        </w:rPr>
        <w:tab/>
      </w:r>
      <w:r>
        <w:t>等离子体诊断方法</w:t>
      </w:r>
      <w:r>
        <w:tab/>
      </w:r>
      <w:r>
        <w:fldChar w:fldCharType="begin"/>
      </w:r>
      <w:r>
        <w:instrText xml:space="preserve"> PAGEREF _Toc167441011 \h </w:instrText>
      </w:r>
      <w:r>
        <w:fldChar w:fldCharType="separate"/>
      </w:r>
      <w:r>
        <w:t>3</w:t>
      </w:r>
      <w:r>
        <w:fldChar w:fldCharType="end"/>
      </w:r>
    </w:p>
    <w:p w14:paraId="7543314D">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图2.1</w:t>
      </w:r>
      <w:r>
        <w:rPr>
          <w:rFonts w:asciiTheme="minorHAnsi" w:hAnsiTheme="minorHAnsi" w:eastAsiaTheme="minorEastAsia" w:cstheme="minorBidi"/>
          <w:sz w:val="21"/>
          <w:szCs w:val="22"/>
          <w14:ligatures w14:val="standardContextual"/>
        </w:rPr>
        <w:tab/>
      </w:r>
      <w:r>
        <w:t>微波干涉法原理图</w:t>
      </w:r>
      <w:r>
        <w:tab/>
      </w:r>
      <w:r>
        <w:fldChar w:fldCharType="begin"/>
      </w:r>
      <w:r>
        <w:instrText xml:space="preserve"> PAGEREF _Toc167441012 \h </w:instrText>
      </w:r>
      <w:r>
        <w:fldChar w:fldCharType="separate"/>
      </w:r>
      <w:r>
        <w:t>14</w:t>
      </w:r>
      <w:r>
        <w:fldChar w:fldCharType="end"/>
      </w:r>
    </w:p>
    <w:p w14:paraId="2DC74053">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图2.2</w:t>
      </w:r>
      <w:r>
        <w:rPr>
          <w:rFonts w:asciiTheme="minorHAnsi" w:hAnsiTheme="minorHAnsi" w:eastAsiaTheme="minorEastAsia" w:cstheme="minorBidi"/>
          <w:sz w:val="21"/>
          <w:szCs w:val="22"/>
          <w14:ligatures w14:val="standardContextual"/>
        </w:rPr>
        <w:tab/>
      </w:r>
      <w:r>
        <w:t>微波反射法原理图</w:t>
      </w:r>
      <w:r>
        <w:tab/>
      </w:r>
      <w:r>
        <w:fldChar w:fldCharType="begin"/>
      </w:r>
      <w:r>
        <w:instrText xml:space="preserve"> PAGEREF _Toc167441013 \h </w:instrText>
      </w:r>
      <w:r>
        <w:fldChar w:fldCharType="separate"/>
      </w:r>
      <w:r>
        <w:t>16</w:t>
      </w:r>
      <w:r>
        <w:fldChar w:fldCharType="end"/>
      </w:r>
    </w:p>
    <w:p w14:paraId="4FFB729D">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图2.3</w:t>
      </w:r>
      <w:r>
        <w:rPr>
          <w:rFonts w:asciiTheme="minorHAnsi" w:hAnsiTheme="minorHAnsi" w:eastAsiaTheme="minorEastAsia" w:cstheme="minorBidi"/>
          <w:sz w:val="21"/>
          <w:szCs w:val="22"/>
          <w14:ligatures w14:val="standardContextual"/>
        </w:rPr>
        <w:tab/>
      </w:r>
      <w:r>
        <w:t>扫频信号及差频信号瞬时频率曲线图</w:t>
      </w:r>
      <w:r>
        <w:tab/>
      </w:r>
      <w:r>
        <w:fldChar w:fldCharType="begin"/>
      </w:r>
      <w:r>
        <w:instrText xml:space="preserve"> PAGEREF _Toc167441014 \h </w:instrText>
      </w:r>
      <w:r>
        <w:fldChar w:fldCharType="separate"/>
      </w:r>
      <w:r>
        <w:t>18</w:t>
      </w:r>
      <w:r>
        <w:fldChar w:fldCharType="end"/>
      </w:r>
    </w:p>
    <w:p w14:paraId="7C68CF4B">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图2.4</w:t>
      </w:r>
      <w:r>
        <w:rPr>
          <w:rFonts w:asciiTheme="minorHAnsi" w:hAnsiTheme="minorHAnsi" w:eastAsiaTheme="minorEastAsia" w:cstheme="minorBidi"/>
          <w:sz w:val="21"/>
          <w:szCs w:val="22"/>
          <w14:ligatures w14:val="standardContextual"/>
        </w:rPr>
        <w:tab/>
      </w:r>
      <w:r>
        <w:t>锯齿波调制的单周期扫频信号时域曲线图</w:t>
      </w:r>
      <w:r>
        <w:tab/>
      </w:r>
      <w:r>
        <w:fldChar w:fldCharType="begin"/>
      </w:r>
      <w:r>
        <w:instrText xml:space="preserve"> PAGEREF _Toc167441015 \h </w:instrText>
      </w:r>
      <w:r>
        <w:fldChar w:fldCharType="separate"/>
      </w:r>
      <w:r>
        <w:t>18</w:t>
      </w:r>
      <w:r>
        <w:fldChar w:fldCharType="end"/>
      </w:r>
    </w:p>
    <w:p w14:paraId="5BE55D6A">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图2.5</w:t>
      </w:r>
      <w:r>
        <w:rPr>
          <w:rFonts w:asciiTheme="minorHAnsi" w:hAnsiTheme="minorHAnsi" w:eastAsiaTheme="minorEastAsia" w:cstheme="minorBidi"/>
          <w:sz w:val="21"/>
          <w:szCs w:val="22"/>
          <w14:ligatures w14:val="standardContextual"/>
        </w:rPr>
        <w:tab/>
      </w:r>
      <w:r>
        <w:t>调频线性度误差示意图</w:t>
      </w:r>
      <w:r>
        <w:tab/>
      </w:r>
      <w:r>
        <w:fldChar w:fldCharType="begin"/>
      </w:r>
      <w:r>
        <w:instrText xml:space="preserve"> PAGEREF _Toc167441016 \h </w:instrText>
      </w:r>
      <w:r>
        <w:fldChar w:fldCharType="separate"/>
      </w:r>
      <w:r>
        <w:t>22</w:t>
      </w:r>
      <w:r>
        <w:fldChar w:fldCharType="end"/>
      </w:r>
    </w:p>
    <w:p w14:paraId="093D9E60">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图3.1</w:t>
      </w:r>
      <w:r>
        <w:rPr>
          <w:rFonts w:asciiTheme="minorHAnsi" w:hAnsiTheme="minorHAnsi" w:eastAsiaTheme="minorEastAsia" w:cstheme="minorBidi"/>
          <w:sz w:val="21"/>
          <w:szCs w:val="22"/>
          <w14:ligatures w14:val="standardContextual"/>
        </w:rPr>
        <w:tab/>
      </w:r>
      <w:r>
        <w:t>典型微波干涉仪原理图</w:t>
      </w:r>
      <w:r>
        <w:tab/>
      </w:r>
      <w:r>
        <w:fldChar w:fldCharType="begin"/>
      </w:r>
      <w:r>
        <w:instrText xml:space="preserve"> PAGEREF _Toc167441017 \h </w:instrText>
      </w:r>
      <w:r>
        <w:fldChar w:fldCharType="separate"/>
      </w:r>
      <w:r>
        <w:t>26</w:t>
      </w:r>
      <w:r>
        <w:fldChar w:fldCharType="end"/>
      </w:r>
    </w:p>
    <w:p w14:paraId="1BF18DD0">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图3.2</w:t>
      </w:r>
      <w:r>
        <w:rPr>
          <w:rFonts w:asciiTheme="minorHAnsi" w:hAnsiTheme="minorHAnsi" w:eastAsiaTheme="minorEastAsia" w:cstheme="minorBidi"/>
          <w:sz w:val="21"/>
          <w:szCs w:val="22"/>
          <w14:ligatures w14:val="standardContextual"/>
        </w:rPr>
        <w:tab/>
      </w:r>
      <w:r>
        <w:t>典型线性调频连续波系统示意图</w:t>
      </w:r>
      <w:r>
        <w:tab/>
      </w:r>
      <w:r>
        <w:fldChar w:fldCharType="begin"/>
      </w:r>
      <w:r>
        <w:instrText xml:space="preserve"> PAGEREF _Toc167441018 \h </w:instrText>
      </w:r>
      <w:r>
        <w:fldChar w:fldCharType="separate"/>
      </w:r>
      <w:r>
        <w:t>27</w:t>
      </w:r>
      <w:r>
        <w:fldChar w:fldCharType="end"/>
      </w:r>
    </w:p>
    <w:p w14:paraId="1CDA1C3D">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图3.3</w:t>
      </w:r>
      <w:r>
        <w:rPr>
          <w:rFonts w:asciiTheme="minorHAnsi" w:hAnsiTheme="minorHAnsi" w:eastAsiaTheme="minorEastAsia" w:cstheme="minorBidi"/>
          <w:sz w:val="21"/>
          <w:szCs w:val="22"/>
          <w14:ligatures w14:val="standardContextual"/>
        </w:rPr>
        <w:tab/>
      </w:r>
      <w:r>
        <w:t>线性调频连续波诊断系统方案示意图</w:t>
      </w:r>
      <w:r>
        <w:tab/>
      </w:r>
      <w:r>
        <w:fldChar w:fldCharType="begin"/>
      </w:r>
      <w:r>
        <w:instrText xml:space="preserve"> PAGEREF _Toc167441019 \h </w:instrText>
      </w:r>
      <w:r>
        <w:fldChar w:fldCharType="separate"/>
      </w:r>
      <w:r>
        <w:t>28</w:t>
      </w:r>
      <w:r>
        <w:fldChar w:fldCharType="end"/>
      </w:r>
    </w:p>
    <w:p w14:paraId="767A020F">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图3.4</w:t>
      </w:r>
      <w:r>
        <w:rPr>
          <w:rFonts w:asciiTheme="minorHAnsi" w:hAnsiTheme="minorHAnsi" w:eastAsiaTheme="minorEastAsia" w:cstheme="minorBidi"/>
          <w:sz w:val="21"/>
          <w:szCs w:val="22"/>
          <w14:ligatures w14:val="standardContextual"/>
        </w:rPr>
        <w:tab/>
      </w:r>
      <w:r>
        <w:rPr>
          <w:rFonts w:ascii="宋体" w:hAnsi="宋体"/>
        </w:rPr>
        <w:t>诊断系统链路方案示意图</w:t>
      </w:r>
      <w:r>
        <w:tab/>
      </w:r>
      <w:r>
        <w:fldChar w:fldCharType="begin"/>
      </w:r>
      <w:r>
        <w:instrText xml:space="preserve"> PAGEREF _Toc167441020 \h </w:instrText>
      </w:r>
      <w:r>
        <w:fldChar w:fldCharType="separate"/>
      </w:r>
      <w:r>
        <w:t>29</w:t>
      </w:r>
      <w:r>
        <w:fldChar w:fldCharType="end"/>
      </w:r>
    </w:p>
    <w:p w14:paraId="41ADF89A">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图3.5</w:t>
      </w:r>
      <w:r>
        <w:rPr>
          <w:rFonts w:asciiTheme="minorHAnsi" w:hAnsiTheme="minorHAnsi" w:eastAsiaTheme="minorEastAsia" w:cstheme="minorBidi"/>
          <w:sz w:val="21"/>
          <w:szCs w:val="22"/>
          <w14:ligatures w14:val="standardContextual"/>
        </w:rPr>
        <w:tab/>
      </w:r>
      <w:r>
        <w:t>频综板LMX2820正常工作示意图</w:t>
      </w:r>
      <w:r>
        <w:tab/>
      </w:r>
      <w:r>
        <w:fldChar w:fldCharType="begin"/>
      </w:r>
      <w:r>
        <w:instrText xml:space="preserve"> PAGEREF _Toc167441021 \h </w:instrText>
      </w:r>
      <w:r>
        <w:fldChar w:fldCharType="separate"/>
      </w:r>
      <w:r>
        <w:t>30</w:t>
      </w:r>
      <w:r>
        <w:fldChar w:fldCharType="end"/>
      </w:r>
    </w:p>
    <w:p w14:paraId="4A270F3A">
      <w:pPr>
        <w:pStyle w:val="24"/>
        <w:tabs>
          <w:tab w:val="left" w:pos="1471"/>
          <w:tab w:val="right" w:leader="dot" w:pos="8777"/>
        </w:tabs>
        <w:ind w:left="960" w:hanging="480"/>
        <w:rPr>
          <w:rFonts w:asciiTheme="minorHAnsi" w:hAnsiTheme="minorHAnsi" w:eastAsiaTheme="minorEastAsia" w:cstheme="minorBidi"/>
          <w:sz w:val="21"/>
          <w:szCs w:val="22"/>
          <w14:ligatures w14:val="standardContextual"/>
        </w:rPr>
      </w:pPr>
      <w:r>
        <w:t>图3.6</w:t>
      </w:r>
      <w:r>
        <w:rPr>
          <w:rFonts w:asciiTheme="minorHAnsi" w:hAnsiTheme="minorHAnsi" w:eastAsiaTheme="minorEastAsia" w:cstheme="minorBidi"/>
          <w:sz w:val="21"/>
          <w:szCs w:val="22"/>
          <w14:ligatures w14:val="standardContextual"/>
        </w:rPr>
        <w:tab/>
      </w:r>
      <w:r>
        <w:t>PC端控制泰克信号源示意图</w:t>
      </w:r>
      <w:r>
        <w:tab/>
      </w:r>
      <w:r>
        <w:fldChar w:fldCharType="begin"/>
      </w:r>
      <w:r>
        <w:instrText xml:space="preserve"> PAGEREF _Toc167441022 \h </w:instrText>
      </w:r>
      <w:r>
        <w:fldChar w:fldCharType="separate"/>
      </w:r>
      <w:r>
        <w:t>30</w:t>
      </w:r>
      <w:r>
        <w:fldChar w:fldCharType="end"/>
      </w:r>
    </w:p>
    <w:p w14:paraId="577FF165">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图3.7</w:t>
      </w:r>
      <w:r>
        <w:rPr>
          <w:rFonts w:asciiTheme="minorHAnsi" w:hAnsiTheme="minorHAnsi" w:eastAsiaTheme="minorEastAsia" w:cstheme="minorBidi"/>
          <w:sz w:val="21"/>
          <w:szCs w:val="22"/>
          <w14:ligatures w14:val="standardContextual"/>
        </w:rPr>
        <w:tab/>
      </w:r>
      <w:r>
        <w:t>低通滤波器电路图</w:t>
      </w:r>
      <w:r>
        <w:tab/>
      </w:r>
      <w:r>
        <w:fldChar w:fldCharType="begin"/>
      </w:r>
      <w:r>
        <w:instrText xml:space="preserve"> PAGEREF _Toc167441023 \h </w:instrText>
      </w:r>
      <w:r>
        <w:fldChar w:fldCharType="separate"/>
      </w:r>
      <w:r>
        <w:t>35</w:t>
      </w:r>
      <w:r>
        <w:fldChar w:fldCharType="end"/>
      </w:r>
    </w:p>
    <w:p w14:paraId="625C9AE9">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图3.8</w:t>
      </w:r>
      <w:r>
        <w:rPr>
          <w:rFonts w:asciiTheme="minorHAnsi" w:hAnsiTheme="minorHAnsi" w:eastAsiaTheme="minorEastAsia" w:cstheme="minorBidi"/>
          <w:sz w:val="21"/>
          <w:szCs w:val="22"/>
          <w14:ligatures w14:val="standardContextual"/>
        </w:rPr>
        <w:tab/>
      </w:r>
      <w:r>
        <w:t>低通滤波器实物图</w:t>
      </w:r>
      <w:r>
        <w:tab/>
      </w:r>
      <w:r>
        <w:fldChar w:fldCharType="begin"/>
      </w:r>
      <w:r>
        <w:instrText xml:space="preserve"> PAGEREF _Toc167441024 \h </w:instrText>
      </w:r>
      <w:r>
        <w:fldChar w:fldCharType="separate"/>
      </w:r>
      <w:r>
        <w:t>36</w:t>
      </w:r>
      <w:r>
        <w:fldChar w:fldCharType="end"/>
      </w:r>
    </w:p>
    <w:p w14:paraId="15AFDA14">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图3.9</w:t>
      </w:r>
      <w:r>
        <w:rPr>
          <w:rFonts w:asciiTheme="minorHAnsi" w:hAnsiTheme="minorHAnsi" w:eastAsiaTheme="minorEastAsia" w:cstheme="minorBidi"/>
          <w:sz w:val="21"/>
          <w:szCs w:val="22"/>
          <w14:ligatures w14:val="standardContextual"/>
        </w:rPr>
        <w:tab/>
      </w:r>
      <w:r>
        <w:t>低通滤波器仿真及实测的S21曲线图</w:t>
      </w:r>
      <w:r>
        <w:tab/>
      </w:r>
      <w:r>
        <w:fldChar w:fldCharType="begin"/>
      </w:r>
      <w:r>
        <w:instrText xml:space="preserve"> PAGEREF _Toc167441025 \h </w:instrText>
      </w:r>
      <w:r>
        <w:fldChar w:fldCharType="separate"/>
      </w:r>
      <w:r>
        <w:t>36</w:t>
      </w:r>
      <w:r>
        <w:fldChar w:fldCharType="end"/>
      </w:r>
    </w:p>
    <w:p w14:paraId="164DE74B">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图3.10</w:t>
      </w:r>
      <w:r>
        <w:rPr>
          <w:rFonts w:asciiTheme="minorHAnsi" w:hAnsiTheme="minorHAnsi" w:eastAsiaTheme="minorEastAsia" w:cstheme="minorBidi"/>
          <w:sz w:val="21"/>
          <w:szCs w:val="22"/>
          <w14:ligatures w14:val="standardContextual"/>
        </w:rPr>
        <w:tab/>
      </w:r>
      <w:r>
        <w:t>诊断系统链路仿真模型示意图</w:t>
      </w:r>
      <w:r>
        <w:tab/>
      </w:r>
      <w:r>
        <w:fldChar w:fldCharType="begin"/>
      </w:r>
      <w:r>
        <w:instrText xml:space="preserve"> PAGEREF _Toc167441026 \h </w:instrText>
      </w:r>
      <w:r>
        <w:fldChar w:fldCharType="separate"/>
      </w:r>
      <w:r>
        <w:t>37</w:t>
      </w:r>
      <w:r>
        <w:fldChar w:fldCharType="end"/>
      </w:r>
    </w:p>
    <w:p w14:paraId="45AEDA4C">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图3.11</w:t>
      </w:r>
      <w:r>
        <w:rPr>
          <w:rFonts w:asciiTheme="minorHAnsi" w:hAnsiTheme="minorHAnsi" w:eastAsiaTheme="minorEastAsia" w:cstheme="minorBidi"/>
          <w:sz w:val="21"/>
          <w:szCs w:val="22"/>
          <w14:ligatures w14:val="standardContextual"/>
        </w:rPr>
        <w:tab/>
      </w:r>
      <w:r>
        <w:t>系统初始扫频信号频谱仿真结果</w:t>
      </w:r>
      <w:r>
        <w:tab/>
      </w:r>
      <w:r>
        <w:fldChar w:fldCharType="begin"/>
      </w:r>
      <w:r>
        <w:instrText xml:space="preserve"> PAGEREF _Toc167441027 \h </w:instrText>
      </w:r>
      <w:r>
        <w:fldChar w:fldCharType="separate"/>
      </w:r>
      <w:r>
        <w:t>37</w:t>
      </w:r>
      <w:r>
        <w:fldChar w:fldCharType="end"/>
      </w:r>
    </w:p>
    <w:p w14:paraId="5FF97C56">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图3.12</w:t>
      </w:r>
      <w:r>
        <w:rPr>
          <w:rFonts w:asciiTheme="minorHAnsi" w:hAnsiTheme="minorHAnsi" w:eastAsiaTheme="minorEastAsia" w:cstheme="minorBidi"/>
          <w:sz w:val="21"/>
          <w:szCs w:val="22"/>
          <w14:ligatures w14:val="standardContextual"/>
        </w:rPr>
        <w:tab/>
      </w:r>
      <w:r>
        <w:t>系统输出扫频信号频谱仿真结果</w:t>
      </w:r>
      <w:r>
        <w:tab/>
      </w:r>
      <w:r>
        <w:fldChar w:fldCharType="begin"/>
      </w:r>
      <w:r>
        <w:instrText xml:space="preserve"> PAGEREF _Toc167441028 \h </w:instrText>
      </w:r>
      <w:r>
        <w:fldChar w:fldCharType="separate"/>
      </w:r>
      <w:r>
        <w:t>38</w:t>
      </w:r>
      <w:r>
        <w:fldChar w:fldCharType="end"/>
      </w:r>
    </w:p>
    <w:p w14:paraId="0123CA36">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图3.13</w:t>
      </w:r>
      <w:r>
        <w:rPr>
          <w:rFonts w:asciiTheme="minorHAnsi" w:hAnsiTheme="minorHAnsi" w:eastAsiaTheme="minorEastAsia" w:cstheme="minorBidi"/>
          <w:sz w:val="21"/>
          <w:szCs w:val="22"/>
          <w14:ligatures w14:val="standardContextual"/>
        </w:rPr>
        <w:tab/>
      </w:r>
      <w:r>
        <w:t>系统差频信号仿真频谱图</w:t>
      </w:r>
      <w:r>
        <w:tab/>
      </w:r>
      <w:r>
        <w:fldChar w:fldCharType="begin"/>
      </w:r>
      <w:r>
        <w:instrText xml:space="preserve"> PAGEREF _Toc167441029 \h </w:instrText>
      </w:r>
      <w:r>
        <w:fldChar w:fldCharType="separate"/>
      </w:r>
      <w:r>
        <w:t>38</w:t>
      </w:r>
      <w:r>
        <w:fldChar w:fldCharType="end"/>
      </w:r>
    </w:p>
    <w:p w14:paraId="55111A5C">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图3.14</w:t>
      </w:r>
      <w:r>
        <w:rPr>
          <w:rFonts w:asciiTheme="minorHAnsi" w:hAnsiTheme="minorHAnsi" w:eastAsiaTheme="minorEastAsia" w:cstheme="minorBidi"/>
          <w:sz w:val="21"/>
          <w:szCs w:val="22"/>
          <w14:ligatures w14:val="standardContextual"/>
        </w:rPr>
        <w:tab/>
      </w:r>
      <w:r>
        <w:t>诊断系统正常工作状态示意图</w:t>
      </w:r>
      <w:r>
        <w:tab/>
      </w:r>
      <w:r>
        <w:fldChar w:fldCharType="begin"/>
      </w:r>
      <w:r>
        <w:instrText xml:space="preserve"> PAGEREF _Toc167441030 \h </w:instrText>
      </w:r>
      <w:r>
        <w:fldChar w:fldCharType="separate"/>
      </w:r>
      <w:r>
        <w:t>39</w:t>
      </w:r>
      <w:r>
        <w:fldChar w:fldCharType="end"/>
      </w:r>
    </w:p>
    <w:p w14:paraId="0C2D23BA">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图3.15</w:t>
      </w:r>
      <w:r>
        <w:rPr>
          <w:rFonts w:asciiTheme="minorHAnsi" w:hAnsiTheme="minorHAnsi" w:eastAsiaTheme="minorEastAsia" w:cstheme="minorBidi"/>
          <w:sz w:val="21"/>
          <w:szCs w:val="22"/>
          <w14:ligatures w14:val="standardContextual"/>
        </w:rPr>
        <w:tab/>
      </w:r>
      <w:r>
        <w:t>系统链路机箱内部实物图</w:t>
      </w:r>
      <w:r>
        <w:tab/>
      </w:r>
      <w:r>
        <w:fldChar w:fldCharType="begin"/>
      </w:r>
      <w:r>
        <w:instrText xml:space="preserve"> PAGEREF _Toc167441031 \h </w:instrText>
      </w:r>
      <w:r>
        <w:fldChar w:fldCharType="separate"/>
      </w:r>
      <w:r>
        <w:t>40</w:t>
      </w:r>
      <w:r>
        <w:fldChar w:fldCharType="end"/>
      </w:r>
    </w:p>
    <w:p w14:paraId="3AC04F84">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图3.16</w:t>
      </w:r>
      <w:r>
        <w:rPr>
          <w:rFonts w:asciiTheme="minorHAnsi" w:hAnsiTheme="minorHAnsi" w:eastAsiaTheme="minorEastAsia" w:cstheme="minorBidi"/>
          <w:sz w:val="21"/>
          <w:szCs w:val="22"/>
          <w14:ligatures w14:val="standardContextual"/>
        </w:rPr>
        <w:tab/>
      </w:r>
      <w:r>
        <w:rPr>
          <w:rFonts w:ascii="宋体" w:hAnsi="宋体"/>
        </w:rPr>
        <w:t>系统初始扫频信号实测频谱图</w:t>
      </w:r>
      <w:r>
        <w:tab/>
      </w:r>
      <w:r>
        <w:fldChar w:fldCharType="begin"/>
      </w:r>
      <w:r>
        <w:instrText xml:space="preserve"> PAGEREF _Toc167441032 \h </w:instrText>
      </w:r>
      <w:r>
        <w:fldChar w:fldCharType="separate"/>
      </w:r>
      <w:r>
        <w:t>40</w:t>
      </w:r>
      <w:r>
        <w:fldChar w:fldCharType="end"/>
      </w:r>
    </w:p>
    <w:p w14:paraId="7EB75696">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图3.17</w:t>
      </w:r>
      <w:r>
        <w:rPr>
          <w:rFonts w:asciiTheme="minorHAnsi" w:hAnsiTheme="minorHAnsi" w:eastAsiaTheme="minorEastAsia" w:cstheme="minorBidi"/>
          <w:sz w:val="21"/>
          <w:szCs w:val="22"/>
          <w14:ligatures w14:val="standardContextual"/>
        </w:rPr>
        <w:tab/>
      </w:r>
      <w:r>
        <w:t>系统输出信号实测频谱图</w:t>
      </w:r>
      <w:r>
        <w:tab/>
      </w:r>
      <w:r>
        <w:fldChar w:fldCharType="begin"/>
      </w:r>
      <w:r>
        <w:instrText xml:space="preserve"> PAGEREF _Toc167441033 \h </w:instrText>
      </w:r>
      <w:r>
        <w:fldChar w:fldCharType="separate"/>
      </w:r>
      <w:r>
        <w:t>41</w:t>
      </w:r>
      <w:r>
        <w:fldChar w:fldCharType="end"/>
      </w:r>
    </w:p>
    <w:p w14:paraId="5A81BE50">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图3.18</w:t>
      </w:r>
      <w:r>
        <w:rPr>
          <w:rFonts w:asciiTheme="minorHAnsi" w:hAnsiTheme="minorHAnsi" w:eastAsiaTheme="minorEastAsia" w:cstheme="minorBidi"/>
          <w:sz w:val="21"/>
          <w:szCs w:val="22"/>
          <w14:ligatures w14:val="standardContextual"/>
        </w:rPr>
        <w:tab/>
      </w:r>
      <w:r>
        <w:t>差频信号实测频谱图</w:t>
      </w:r>
      <w:r>
        <w:tab/>
      </w:r>
      <w:r>
        <w:fldChar w:fldCharType="begin"/>
      </w:r>
      <w:r>
        <w:instrText xml:space="preserve"> PAGEREF _Toc167441034 \h </w:instrText>
      </w:r>
      <w:r>
        <w:fldChar w:fldCharType="separate"/>
      </w:r>
      <w:r>
        <w:t>41</w:t>
      </w:r>
      <w:r>
        <w:fldChar w:fldCharType="end"/>
      </w:r>
    </w:p>
    <w:p w14:paraId="3E6EECC9">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图3.19</w:t>
      </w:r>
      <w:r>
        <w:rPr>
          <w:rFonts w:asciiTheme="minorHAnsi" w:hAnsiTheme="minorHAnsi" w:eastAsiaTheme="minorEastAsia" w:cstheme="minorBidi"/>
          <w:sz w:val="21"/>
          <w:szCs w:val="22"/>
          <w14:ligatures w14:val="standardContextual"/>
        </w:rPr>
        <w:tab/>
      </w:r>
      <w:r>
        <w:t>增大初始扫频信号带宽后谐波影响示意图</w:t>
      </w:r>
      <w:r>
        <w:tab/>
      </w:r>
      <w:r>
        <w:fldChar w:fldCharType="begin"/>
      </w:r>
      <w:r>
        <w:instrText xml:space="preserve"> PAGEREF _Toc167441035 \h </w:instrText>
      </w:r>
      <w:r>
        <w:fldChar w:fldCharType="separate"/>
      </w:r>
      <w:r>
        <w:t>42</w:t>
      </w:r>
      <w:r>
        <w:fldChar w:fldCharType="end"/>
      </w:r>
    </w:p>
    <w:p w14:paraId="407EC02C">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图3.20</w:t>
      </w:r>
      <w:r>
        <w:rPr>
          <w:rFonts w:asciiTheme="minorHAnsi" w:hAnsiTheme="minorHAnsi" w:eastAsiaTheme="minorEastAsia" w:cstheme="minorBidi"/>
          <w:sz w:val="21"/>
          <w:szCs w:val="22"/>
          <w14:ligatures w14:val="standardContextual"/>
        </w:rPr>
        <w:tab/>
      </w:r>
      <w:r>
        <w:t>调整后初始带宽为200MHz时第一次混频结果</w:t>
      </w:r>
      <w:r>
        <w:tab/>
      </w:r>
      <w:r>
        <w:fldChar w:fldCharType="begin"/>
      </w:r>
      <w:r>
        <w:instrText xml:space="preserve"> PAGEREF _Toc167441036 \h </w:instrText>
      </w:r>
      <w:r>
        <w:fldChar w:fldCharType="separate"/>
      </w:r>
      <w:r>
        <w:t>43</w:t>
      </w:r>
      <w:r>
        <w:fldChar w:fldCharType="end"/>
      </w:r>
    </w:p>
    <w:p w14:paraId="599F3A10">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图3.21</w:t>
      </w:r>
      <w:r>
        <w:rPr>
          <w:rFonts w:asciiTheme="minorHAnsi" w:hAnsiTheme="minorHAnsi" w:eastAsiaTheme="minorEastAsia" w:cstheme="minorBidi"/>
          <w:sz w:val="21"/>
          <w:szCs w:val="22"/>
          <w14:ligatures w14:val="standardContextual"/>
        </w:rPr>
        <w:tab/>
      </w:r>
      <w:r>
        <w:t>增大扫频带宽时差频信号实测频谱变化示意图</w:t>
      </w:r>
      <w:r>
        <w:tab/>
      </w:r>
      <w:r>
        <w:fldChar w:fldCharType="begin"/>
      </w:r>
      <w:r>
        <w:instrText xml:space="preserve"> PAGEREF _Toc167441037 \h </w:instrText>
      </w:r>
      <w:r>
        <w:fldChar w:fldCharType="separate"/>
      </w:r>
      <w:r>
        <w:t>43</w:t>
      </w:r>
      <w:r>
        <w:fldChar w:fldCharType="end"/>
      </w:r>
    </w:p>
    <w:p w14:paraId="4C836F19">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图4.1</w:t>
      </w:r>
      <w:r>
        <w:rPr>
          <w:rFonts w:asciiTheme="minorHAnsi" w:hAnsiTheme="minorHAnsi" w:eastAsiaTheme="minorEastAsia" w:cstheme="minorBidi"/>
          <w:sz w:val="21"/>
          <w:szCs w:val="22"/>
          <w14:ligatures w14:val="standardContextual"/>
        </w:rPr>
        <w:tab/>
      </w:r>
      <w:r>
        <w:t>理想栅栏效应示意图</w:t>
      </w:r>
      <w:r>
        <w:tab/>
      </w:r>
      <w:r>
        <w:fldChar w:fldCharType="begin"/>
      </w:r>
      <w:r>
        <w:instrText xml:space="preserve"> PAGEREF _Toc167441038 \h </w:instrText>
      </w:r>
      <w:r>
        <w:fldChar w:fldCharType="separate"/>
      </w:r>
      <w:r>
        <w:t>45</w:t>
      </w:r>
      <w:r>
        <w:fldChar w:fldCharType="end"/>
      </w:r>
    </w:p>
    <w:p w14:paraId="6949F283">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图4.2</w:t>
      </w:r>
      <w:r>
        <w:rPr>
          <w:rFonts w:asciiTheme="minorHAnsi" w:hAnsiTheme="minorHAnsi" w:eastAsiaTheme="minorEastAsia" w:cstheme="minorBidi"/>
          <w:sz w:val="21"/>
          <w:szCs w:val="22"/>
          <w14:ligatures w14:val="standardContextual"/>
        </w:rPr>
        <w:tab/>
      </w:r>
      <w:r>
        <w:t>数据处理流程示意图</w:t>
      </w:r>
      <w:r>
        <w:tab/>
      </w:r>
      <w:r>
        <w:fldChar w:fldCharType="begin"/>
      </w:r>
      <w:r>
        <w:instrText xml:space="preserve"> PAGEREF _Toc167441039 \h </w:instrText>
      </w:r>
      <w:r>
        <w:fldChar w:fldCharType="separate"/>
      </w:r>
      <w:r>
        <w:t>46</w:t>
      </w:r>
      <w:r>
        <w:fldChar w:fldCharType="end"/>
      </w:r>
    </w:p>
    <w:p w14:paraId="54E98306">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图4.3</w:t>
      </w:r>
      <w:r>
        <w:rPr>
          <w:rFonts w:asciiTheme="minorHAnsi" w:hAnsiTheme="minorHAnsi" w:eastAsiaTheme="minorEastAsia" w:cstheme="minorBidi"/>
          <w:sz w:val="21"/>
          <w:szCs w:val="22"/>
          <w14:ligatures w14:val="standardContextual"/>
        </w:rPr>
        <w:tab/>
      </w:r>
      <w:r>
        <w:t>系统初始差频信号时域波形图</w:t>
      </w:r>
      <w:r>
        <w:tab/>
      </w:r>
      <w:r>
        <w:fldChar w:fldCharType="begin"/>
      </w:r>
      <w:r>
        <w:instrText xml:space="preserve"> PAGEREF _Toc167441040 \h </w:instrText>
      </w:r>
      <w:r>
        <w:fldChar w:fldCharType="separate"/>
      </w:r>
      <w:r>
        <w:t>49</w:t>
      </w:r>
      <w:r>
        <w:fldChar w:fldCharType="end"/>
      </w:r>
    </w:p>
    <w:p w14:paraId="1D546B8D">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图4.4</w:t>
      </w:r>
      <w:r>
        <w:rPr>
          <w:rFonts w:asciiTheme="minorHAnsi" w:hAnsiTheme="minorHAnsi" w:eastAsiaTheme="minorEastAsia" w:cstheme="minorBidi"/>
          <w:sz w:val="21"/>
          <w:szCs w:val="22"/>
          <w14:ligatures w14:val="standardContextual"/>
        </w:rPr>
        <w:tab/>
      </w:r>
      <w:r>
        <w:t>分解后IMF分量的波形及对应频谱</w:t>
      </w:r>
      <w:r>
        <w:tab/>
      </w:r>
      <w:r>
        <w:fldChar w:fldCharType="begin"/>
      </w:r>
      <w:r>
        <w:instrText xml:space="preserve"> PAGEREF _Toc167441041 \h </w:instrText>
      </w:r>
      <w:r>
        <w:fldChar w:fldCharType="separate"/>
      </w:r>
      <w:r>
        <w:t>49</w:t>
      </w:r>
      <w:r>
        <w:fldChar w:fldCharType="end"/>
      </w:r>
    </w:p>
    <w:p w14:paraId="4AAEC90D">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图4.5</w:t>
      </w:r>
      <w:r>
        <w:rPr>
          <w:rFonts w:asciiTheme="minorHAnsi" w:hAnsiTheme="minorHAnsi" w:eastAsiaTheme="minorEastAsia" w:cstheme="minorBidi"/>
          <w:sz w:val="21"/>
          <w:szCs w:val="22"/>
          <w14:ligatures w14:val="standardContextual"/>
        </w:rPr>
        <w:tab/>
      </w:r>
      <w:r>
        <w:t>两阶IMF分量主导的自相关函数能量分布图</w:t>
      </w:r>
      <w:r>
        <w:tab/>
      </w:r>
      <w:r>
        <w:fldChar w:fldCharType="begin"/>
      </w:r>
      <w:r>
        <w:instrText xml:space="preserve"> PAGEREF _Toc167441042 \h </w:instrText>
      </w:r>
      <w:r>
        <w:fldChar w:fldCharType="separate"/>
      </w:r>
      <w:r>
        <w:t>50</w:t>
      </w:r>
      <w:r>
        <w:fldChar w:fldCharType="end"/>
      </w:r>
    </w:p>
    <w:p w14:paraId="2E63E6D8">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图4.6</w:t>
      </w:r>
      <w:r>
        <w:rPr>
          <w:rFonts w:asciiTheme="minorHAnsi" w:hAnsiTheme="minorHAnsi" w:eastAsiaTheme="minorEastAsia" w:cstheme="minorBidi"/>
          <w:sz w:val="21"/>
          <w:szCs w:val="22"/>
          <w14:ligatures w14:val="standardContextual"/>
        </w:rPr>
        <w:tab/>
      </w:r>
      <w:r>
        <w:t>三阶IMF分量主导的自相关函数能量分布图</w:t>
      </w:r>
      <w:r>
        <w:tab/>
      </w:r>
      <w:r>
        <w:fldChar w:fldCharType="begin"/>
      </w:r>
      <w:r>
        <w:instrText xml:space="preserve"> PAGEREF _Toc167441043 \h </w:instrText>
      </w:r>
      <w:r>
        <w:fldChar w:fldCharType="separate"/>
      </w:r>
      <w:r>
        <w:t>51</w:t>
      </w:r>
      <w:r>
        <w:fldChar w:fldCharType="end"/>
      </w:r>
    </w:p>
    <w:p w14:paraId="499BAE41">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图4.7</w:t>
      </w:r>
      <w:r>
        <w:rPr>
          <w:rFonts w:asciiTheme="minorHAnsi" w:hAnsiTheme="minorHAnsi" w:eastAsiaTheme="minorEastAsia" w:cstheme="minorBidi"/>
          <w:sz w:val="21"/>
          <w:szCs w:val="22"/>
          <w14:ligatures w14:val="standardContextual"/>
        </w:rPr>
        <w:tab/>
      </w:r>
      <w:r>
        <w:t>去噪重构后差频信号时域波形图</w:t>
      </w:r>
      <w:r>
        <w:tab/>
      </w:r>
      <w:r>
        <w:fldChar w:fldCharType="begin"/>
      </w:r>
      <w:r>
        <w:instrText xml:space="preserve"> PAGEREF _Toc167441044 \h </w:instrText>
      </w:r>
      <w:r>
        <w:fldChar w:fldCharType="separate"/>
      </w:r>
      <w:r>
        <w:t>51</w:t>
      </w:r>
      <w:r>
        <w:fldChar w:fldCharType="end"/>
      </w:r>
    </w:p>
    <w:p w14:paraId="7478DFE2">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图4.8</w:t>
      </w:r>
      <w:r>
        <w:rPr>
          <w:rFonts w:asciiTheme="minorHAnsi" w:hAnsiTheme="minorHAnsi" w:eastAsiaTheme="minorEastAsia" w:cstheme="minorBidi"/>
          <w:sz w:val="21"/>
          <w:szCs w:val="22"/>
          <w14:ligatures w14:val="standardContextual"/>
        </w:rPr>
        <w:tab/>
      </w:r>
      <w:r>
        <w:t>理想差频信号功率谱线分布图</w:t>
      </w:r>
      <w:r>
        <w:tab/>
      </w:r>
      <w:r>
        <w:fldChar w:fldCharType="begin"/>
      </w:r>
      <w:r>
        <w:instrText xml:space="preserve"> PAGEREF _Toc167441045 \h </w:instrText>
      </w:r>
      <w:r>
        <w:fldChar w:fldCharType="separate"/>
      </w:r>
      <w:r>
        <w:t>53</w:t>
      </w:r>
      <w:r>
        <w:fldChar w:fldCharType="end"/>
      </w:r>
    </w:p>
    <w:p w14:paraId="5C31CCFF">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图4.9</w:t>
      </w:r>
      <w:r>
        <w:rPr>
          <w:rFonts w:asciiTheme="minorHAnsi" w:hAnsiTheme="minorHAnsi" w:eastAsiaTheme="minorEastAsia" w:cstheme="minorBidi"/>
          <w:sz w:val="21"/>
          <w:szCs w:val="22"/>
          <w14:ligatures w14:val="standardContextual"/>
        </w:rPr>
        <w:tab/>
      </w:r>
      <w:r>
        <w:t>三角形法校正示意图</w:t>
      </w:r>
      <w:r>
        <w:tab/>
      </w:r>
      <w:r>
        <w:fldChar w:fldCharType="begin"/>
      </w:r>
      <w:r>
        <w:instrText xml:space="preserve"> PAGEREF _Toc167441046 \h </w:instrText>
      </w:r>
      <w:r>
        <w:fldChar w:fldCharType="separate"/>
      </w:r>
      <w:r>
        <w:t>54</w:t>
      </w:r>
      <w:r>
        <w:fldChar w:fldCharType="end"/>
      </w:r>
    </w:p>
    <w:p w14:paraId="7D92420D">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图4.10</w:t>
      </w:r>
      <w:r>
        <w:rPr>
          <w:rFonts w:asciiTheme="minorHAnsi" w:hAnsiTheme="minorHAnsi" w:eastAsiaTheme="minorEastAsia" w:cstheme="minorBidi"/>
          <w:sz w:val="21"/>
          <w:szCs w:val="22"/>
          <w14:ligatures w14:val="standardContextual"/>
        </w:rPr>
        <w:tab/>
      </w:r>
      <w:r>
        <w:t>去噪后10个周期差频信号波形图</w:t>
      </w:r>
      <w:r>
        <w:tab/>
      </w:r>
      <w:r>
        <w:fldChar w:fldCharType="begin"/>
      </w:r>
      <w:r>
        <w:instrText xml:space="preserve"> PAGEREF _Toc167441047 \h </w:instrText>
      </w:r>
      <w:r>
        <w:fldChar w:fldCharType="separate"/>
      </w:r>
      <w:r>
        <w:t>56</w:t>
      </w:r>
      <w:r>
        <w:fldChar w:fldCharType="end"/>
      </w:r>
    </w:p>
    <w:p w14:paraId="6EFCF0BE">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图4.11</w:t>
      </w:r>
      <w:r>
        <w:rPr>
          <w:rFonts w:asciiTheme="minorHAnsi" w:hAnsiTheme="minorHAnsi" w:eastAsiaTheme="minorEastAsia" w:cstheme="minorBidi"/>
          <w:sz w:val="21"/>
          <w:szCs w:val="22"/>
          <w14:ligatures w14:val="standardContextual"/>
        </w:rPr>
        <w:tab/>
      </w:r>
      <w:r>
        <w:t>加汉宁窗后的时域波形图</w:t>
      </w:r>
      <w:r>
        <w:tab/>
      </w:r>
      <w:r>
        <w:fldChar w:fldCharType="begin"/>
      </w:r>
      <w:r>
        <w:instrText xml:space="preserve"> PAGEREF _Toc167441048 \h </w:instrText>
      </w:r>
      <w:r>
        <w:fldChar w:fldCharType="separate"/>
      </w:r>
      <w:r>
        <w:t>57</w:t>
      </w:r>
      <w:r>
        <w:fldChar w:fldCharType="end"/>
      </w:r>
    </w:p>
    <w:p w14:paraId="78ACAB52">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图4.12</w:t>
      </w:r>
      <w:r>
        <w:rPr>
          <w:rFonts w:asciiTheme="minorHAnsi" w:hAnsiTheme="minorHAnsi" w:eastAsiaTheme="minorEastAsia" w:cstheme="minorBidi"/>
          <w:sz w:val="21"/>
          <w:szCs w:val="22"/>
          <w14:ligatures w14:val="standardContextual"/>
        </w:rPr>
        <w:tab/>
      </w:r>
      <w:r>
        <w:t>去噪后加窗的差频信号频域谱线图</w:t>
      </w:r>
      <w:r>
        <w:tab/>
      </w:r>
      <w:r>
        <w:fldChar w:fldCharType="begin"/>
      </w:r>
      <w:r>
        <w:instrText xml:space="preserve"> PAGEREF _Toc167441049 \h </w:instrText>
      </w:r>
      <w:r>
        <w:fldChar w:fldCharType="separate"/>
      </w:r>
      <w:r>
        <w:t>57</w:t>
      </w:r>
      <w:r>
        <w:fldChar w:fldCharType="end"/>
      </w:r>
    </w:p>
    <w:p w14:paraId="13356433">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图4.13</w:t>
      </w:r>
      <w:r>
        <w:rPr>
          <w:rFonts w:asciiTheme="minorHAnsi" w:hAnsiTheme="minorHAnsi" w:eastAsiaTheme="minorEastAsia" w:cstheme="minorBidi"/>
          <w:sz w:val="21"/>
          <w:szCs w:val="22"/>
          <w14:ligatures w14:val="standardContextual"/>
        </w:rPr>
        <w:tab/>
      </w:r>
      <w:r>
        <w:t>小区间CZT变换后的频域谱线图</w:t>
      </w:r>
      <w:r>
        <w:tab/>
      </w:r>
      <w:r>
        <w:fldChar w:fldCharType="begin"/>
      </w:r>
      <w:r>
        <w:instrText xml:space="preserve"> PAGEREF _Toc167441050 \h </w:instrText>
      </w:r>
      <w:r>
        <w:fldChar w:fldCharType="separate"/>
      </w:r>
      <w:r>
        <w:t>58</w:t>
      </w:r>
      <w:r>
        <w:fldChar w:fldCharType="end"/>
      </w:r>
    </w:p>
    <w:p w14:paraId="0251B24D">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图4.14</w:t>
      </w:r>
      <w:r>
        <w:rPr>
          <w:rFonts w:asciiTheme="minorHAnsi" w:hAnsiTheme="minorHAnsi" w:eastAsiaTheme="minorEastAsia" w:cstheme="minorBidi"/>
          <w:sz w:val="21"/>
          <w:szCs w:val="22"/>
          <w14:ligatures w14:val="standardContextual"/>
        </w:rPr>
        <w:tab/>
      </w:r>
      <w:r>
        <w:t>CZT变换前后单谱线对比图</w:t>
      </w:r>
      <w:r>
        <w:tab/>
      </w:r>
      <w:r>
        <w:fldChar w:fldCharType="begin"/>
      </w:r>
      <w:r>
        <w:instrText xml:space="preserve"> PAGEREF _Toc167441051 \h </w:instrText>
      </w:r>
      <w:r>
        <w:fldChar w:fldCharType="separate"/>
      </w:r>
      <w:r>
        <w:t>58</w:t>
      </w:r>
      <w:r>
        <w:fldChar w:fldCharType="end"/>
      </w:r>
    </w:p>
    <w:p w14:paraId="1331E92D">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图4.15</w:t>
      </w:r>
      <w:r>
        <w:rPr>
          <w:rFonts w:asciiTheme="minorHAnsi" w:hAnsiTheme="minorHAnsi" w:eastAsiaTheme="minorEastAsia" w:cstheme="minorBidi"/>
          <w:sz w:val="21"/>
          <w:szCs w:val="22"/>
          <w14:ligatures w14:val="standardContextual"/>
        </w:rPr>
        <w:tab/>
      </w:r>
      <w:r>
        <w:t>三角形法校正后频谱结果图</w:t>
      </w:r>
      <w:r>
        <w:tab/>
      </w:r>
      <w:r>
        <w:fldChar w:fldCharType="begin"/>
      </w:r>
      <w:r>
        <w:instrText xml:space="preserve"> PAGEREF _Toc167441052 \h </w:instrText>
      </w:r>
      <w:r>
        <w:fldChar w:fldCharType="separate"/>
      </w:r>
      <w:r>
        <w:t>59</w:t>
      </w:r>
      <w:r>
        <w:fldChar w:fldCharType="end"/>
      </w:r>
    </w:p>
    <w:p w14:paraId="7CCB1579">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图4.16</w:t>
      </w:r>
      <w:r>
        <w:rPr>
          <w:rFonts w:asciiTheme="minorHAnsi" w:hAnsiTheme="minorHAnsi" w:eastAsiaTheme="minorEastAsia" w:cstheme="minorBidi"/>
          <w:sz w:val="21"/>
          <w:szCs w:val="22"/>
          <w14:ligatures w14:val="standardContextual"/>
        </w:rPr>
        <w:tab/>
      </w:r>
      <w:r>
        <w:t>三角形法校正后dBm形式的频谱结果图</w:t>
      </w:r>
      <w:r>
        <w:tab/>
      </w:r>
      <w:r>
        <w:fldChar w:fldCharType="begin"/>
      </w:r>
      <w:r>
        <w:instrText xml:space="preserve"> PAGEREF _Toc167441053 \h </w:instrText>
      </w:r>
      <w:r>
        <w:fldChar w:fldCharType="separate"/>
      </w:r>
      <w:r>
        <w:t>59</w:t>
      </w:r>
      <w:r>
        <w:fldChar w:fldCharType="end"/>
      </w:r>
    </w:p>
    <w:p w14:paraId="1603C7A8">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图4.17</w:t>
      </w:r>
      <w:r>
        <w:rPr>
          <w:rFonts w:asciiTheme="minorHAnsi" w:hAnsiTheme="minorHAnsi" w:eastAsiaTheme="minorEastAsia" w:cstheme="minorBidi"/>
          <w:sz w:val="21"/>
          <w:szCs w:val="22"/>
          <w14:ligatures w14:val="standardContextual"/>
        </w:rPr>
        <w:tab/>
      </w:r>
      <w:r>
        <w:t>能量重心法校正后dBm形式的频域结果图</w:t>
      </w:r>
      <w:r>
        <w:tab/>
      </w:r>
      <w:r>
        <w:fldChar w:fldCharType="begin"/>
      </w:r>
      <w:r>
        <w:instrText xml:space="preserve"> PAGEREF _Toc167441054 \h </w:instrText>
      </w:r>
      <w:r>
        <w:fldChar w:fldCharType="separate"/>
      </w:r>
      <w:r>
        <w:t>60</w:t>
      </w:r>
      <w:r>
        <w:fldChar w:fldCharType="end"/>
      </w:r>
    </w:p>
    <w:p w14:paraId="2A0F45E2">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图5.1</w:t>
      </w:r>
      <w:r>
        <w:rPr>
          <w:rFonts w:asciiTheme="minorHAnsi" w:hAnsiTheme="minorHAnsi" w:eastAsiaTheme="minorEastAsia" w:cstheme="minorBidi"/>
          <w:sz w:val="21"/>
          <w:szCs w:val="22"/>
          <w14:ligatures w14:val="standardContextual"/>
        </w:rPr>
        <w:tab/>
      </w:r>
      <w:r>
        <w:t>极限分辨率测试环境示意图</w:t>
      </w:r>
      <w:r>
        <w:tab/>
      </w:r>
      <w:r>
        <w:fldChar w:fldCharType="begin"/>
      </w:r>
      <w:r>
        <w:instrText xml:space="preserve"> PAGEREF _Toc167441055 \h </w:instrText>
      </w:r>
      <w:r>
        <w:fldChar w:fldCharType="separate"/>
      </w:r>
      <w:r>
        <w:t>61</w:t>
      </w:r>
      <w:r>
        <w:fldChar w:fldCharType="end"/>
      </w:r>
    </w:p>
    <w:p w14:paraId="26F8BE61">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图5.2</w:t>
      </w:r>
      <w:r>
        <w:rPr>
          <w:rFonts w:asciiTheme="minorHAnsi" w:hAnsiTheme="minorHAnsi" w:eastAsiaTheme="minorEastAsia" w:cstheme="minorBidi"/>
          <w:sz w:val="21"/>
          <w:szCs w:val="22"/>
          <w14:ligatures w14:val="standardContextual"/>
        </w:rPr>
        <w:tab/>
      </w:r>
      <w:r>
        <w:t>移动10mm时差频信号频谱变化示意图</w:t>
      </w:r>
      <w:r>
        <w:tab/>
      </w:r>
      <w:r>
        <w:fldChar w:fldCharType="begin"/>
      </w:r>
      <w:r>
        <w:instrText xml:space="preserve"> PAGEREF _Toc167441056 \h </w:instrText>
      </w:r>
      <w:r>
        <w:fldChar w:fldCharType="separate"/>
      </w:r>
      <w:r>
        <w:t>62</w:t>
      </w:r>
      <w:r>
        <w:fldChar w:fldCharType="end"/>
      </w:r>
    </w:p>
    <w:p w14:paraId="2FAC4975">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图5.3</w:t>
      </w:r>
      <w:r>
        <w:rPr>
          <w:rFonts w:asciiTheme="minorHAnsi" w:hAnsiTheme="minorHAnsi" w:eastAsiaTheme="minorEastAsia" w:cstheme="minorBidi"/>
          <w:sz w:val="21"/>
          <w:szCs w:val="22"/>
          <w14:ligatures w14:val="standardContextual"/>
        </w:rPr>
        <w:tab/>
      </w:r>
      <w:r>
        <w:t>环氧树脂介电常数诊断实验示意图</w:t>
      </w:r>
      <w:r>
        <w:tab/>
      </w:r>
      <w:r>
        <w:fldChar w:fldCharType="begin"/>
      </w:r>
      <w:r>
        <w:instrText xml:space="preserve"> PAGEREF _Toc167441057 \h </w:instrText>
      </w:r>
      <w:r>
        <w:fldChar w:fldCharType="separate"/>
      </w:r>
      <w:r>
        <w:t>64</w:t>
      </w:r>
      <w:r>
        <w:fldChar w:fldCharType="end"/>
      </w:r>
    </w:p>
    <w:p w14:paraId="7F8AEC82">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图5.4</w:t>
      </w:r>
      <w:r>
        <w:rPr>
          <w:rFonts w:asciiTheme="minorHAnsi" w:hAnsiTheme="minorHAnsi" w:eastAsiaTheme="minorEastAsia" w:cstheme="minorBidi"/>
          <w:sz w:val="21"/>
          <w:szCs w:val="22"/>
          <w14:ligatures w14:val="standardContextual"/>
        </w:rPr>
        <w:tab/>
      </w:r>
      <w:r>
        <w:t>环氧树脂时延仿真模型</w:t>
      </w:r>
      <w:r>
        <w:tab/>
      </w:r>
      <w:r>
        <w:fldChar w:fldCharType="begin"/>
      </w:r>
      <w:r>
        <w:instrText xml:space="preserve"> PAGEREF _Toc167441058 \h </w:instrText>
      </w:r>
      <w:r>
        <w:fldChar w:fldCharType="separate"/>
      </w:r>
      <w:r>
        <w:t>65</w:t>
      </w:r>
      <w:r>
        <w:fldChar w:fldCharType="end"/>
      </w:r>
    </w:p>
    <w:p w14:paraId="0FA043B8">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图5.5</w:t>
      </w:r>
      <w:r>
        <w:rPr>
          <w:rFonts w:asciiTheme="minorHAnsi" w:hAnsiTheme="minorHAnsi" w:eastAsiaTheme="minorEastAsia" w:cstheme="minorBidi"/>
          <w:sz w:val="21"/>
          <w:szCs w:val="22"/>
          <w14:ligatures w14:val="standardContextual"/>
        </w:rPr>
        <w:tab/>
      </w:r>
      <w:r>
        <w:t>不同厚度环氧树脂介质仿真时延曲线图</w:t>
      </w:r>
      <w:r>
        <w:tab/>
      </w:r>
      <w:r>
        <w:fldChar w:fldCharType="begin"/>
      </w:r>
      <w:r>
        <w:instrText xml:space="preserve"> PAGEREF _Toc167441059 \h </w:instrText>
      </w:r>
      <w:r>
        <w:fldChar w:fldCharType="separate"/>
      </w:r>
      <w:r>
        <w:t>65</w:t>
      </w:r>
      <w:r>
        <w:fldChar w:fldCharType="end"/>
      </w:r>
    </w:p>
    <w:p w14:paraId="1252B380">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图5.6</w:t>
      </w:r>
      <w:r>
        <w:rPr>
          <w:rFonts w:asciiTheme="minorHAnsi" w:hAnsiTheme="minorHAnsi" w:eastAsiaTheme="minorEastAsia" w:cstheme="minorBidi"/>
          <w:sz w:val="21"/>
          <w:szCs w:val="22"/>
          <w14:ligatures w14:val="standardContextual"/>
        </w:rPr>
        <w:tab/>
      </w:r>
      <w:r>
        <w:t>无介质及有100mm介质时差频信号实测频谱图</w:t>
      </w:r>
      <w:r>
        <w:tab/>
      </w:r>
      <w:r>
        <w:fldChar w:fldCharType="begin"/>
      </w:r>
      <w:r>
        <w:instrText xml:space="preserve"> PAGEREF _Toc167441060 \h </w:instrText>
      </w:r>
      <w:r>
        <w:fldChar w:fldCharType="separate"/>
      </w:r>
      <w:r>
        <w:t>66</w:t>
      </w:r>
      <w:r>
        <w:fldChar w:fldCharType="end"/>
      </w:r>
    </w:p>
    <w:p w14:paraId="09BCFE2F">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图5.7</w:t>
      </w:r>
      <w:r>
        <w:rPr>
          <w:rFonts w:asciiTheme="minorHAnsi" w:hAnsiTheme="minorHAnsi" w:eastAsiaTheme="minorEastAsia" w:cstheme="minorBidi"/>
          <w:sz w:val="21"/>
          <w:szCs w:val="22"/>
          <w14:ligatures w14:val="standardContextual"/>
        </w:rPr>
        <w:tab/>
      </w:r>
      <w:r>
        <w:t>无介质及有100mm介质时差频信号校正后频谱图</w:t>
      </w:r>
      <w:r>
        <w:tab/>
      </w:r>
      <w:r>
        <w:fldChar w:fldCharType="begin"/>
      </w:r>
      <w:r>
        <w:instrText xml:space="preserve"> PAGEREF _Toc167441061 \h </w:instrText>
      </w:r>
      <w:r>
        <w:fldChar w:fldCharType="separate"/>
      </w:r>
      <w:r>
        <w:t>66</w:t>
      </w:r>
      <w:r>
        <w:fldChar w:fldCharType="end"/>
      </w:r>
    </w:p>
    <w:p w14:paraId="32700BE5">
      <w:pPr>
        <w:pStyle w:val="24"/>
        <w:tabs>
          <w:tab w:val="left" w:pos="1471"/>
          <w:tab w:val="right" w:leader="dot" w:pos="8777"/>
        </w:tabs>
        <w:ind w:left="960" w:hanging="480"/>
        <w:rPr>
          <w:rFonts w:asciiTheme="minorHAnsi" w:hAnsiTheme="minorHAnsi" w:eastAsiaTheme="minorEastAsia" w:cstheme="minorBidi"/>
          <w:sz w:val="21"/>
          <w:szCs w:val="22"/>
          <w14:ligatures w14:val="standardContextual"/>
        </w:rPr>
      </w:pPr>
      <w:r>
        <w:t>图5.8</w:t>
      </w:r>
      <w:r>
        <w:rPr>
          <w:rFonts w:asciiTheme="minorHAnsi" w:hAnsiTheme="minorHAnsi" w:eastAsiaTheme="minorEastAsia" w:cstheme="minorBidi"/>
          <w:sz w:val="21"/>
          <w:szCs w:val="22"/>
          <w14:ligatures w14:val="standardContextual"/>
        </w:rPr>
        <w:tab/>
      </w:r>
      <w:r>
        <w:t>52mm介质时差频信号校正后频域图</w:t>
      </w:r>
      <w:r>
        <w:tab/>
      </w:r>
      <w:r>
        <w:fldChar w:fldCharType="begin"/>
      </w:r>
      <w:r>
        <w:instrText xml:space="preserve"> PAGEREF _Toc167441062 \h </w:instrText>
      </w:r>
      <w:r>
        <w:fldChar w:fldCharType="separate"/>
      </w:r>
      <w:r>
        <w:t>67</w:t>
      </w:r>
      <w:r>
        <w:fldChar w:fldCharType="end"/>
      </w:r>
    </w:p>
    <w:p w14:paraId="0F851A39">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图5.9</w:t>
      </w:r>
      <w:r>
        <w:rPr>
          <w:rFonts w:asciiTheme="minorHAnsi" w:hAnsiTheme="minorHAnsi" w:eastAsiaTheme="minorEastAsia" w:cstheme="minorBidi"/>
          <w:sz w:val="21"/>
          <w:szCs w:val="22"/>
          <w14:ligatures w14:val="standardContextual"/>
        </w:rPr>
        <w:tab/>
      </w:r>
      <w:r>
        <w:t>等离子体模型设置界面</w:t>
      </w:r>
      <w:r>
        <w:tab/>
      </w:r>
      <w:r>
        <w:fldChar w:fldCharType="begin"/>
      </w:r>
      <w:r>
        <w:instrText xml:space="preserve"> PAGEREF _Toc167441063 \h </w:instrText>
      </w:r>
      <w:r>
        <w:fldChar w:fldCharType="separate"/>
      </w:r>
      <w:r>
        <w:t>68</w:t>
      </w:r>
      <w:r>
        <w:fldChar w:fldCharType="end"/>
      </w:r>
    </w:p>
    <w:p w14:paraId="004BC1DF">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图5.10</w:t>
      </w:r>
      <w:r>
        <w:rPr>
          <w:rFonts w:asciiTheme="minorHAnsi" w:hAnsiTheme="minorHAnsi" w:eastAsiaTheme="minorEastAsia" w:cstheme="minorBidi"/>
          <w:sz w:val="21"/>
          <w:szCs w:val="22"/>
          <w14:ligatures w14:val="standardContextual"/>
        </w:rPr>
        <w:tab/>
      </w:r>
      <w:r>
        <w:t>诊断系统电磁仿真模型</w:t>
      </w:r>
      <w:r>
        <w:tab/>
      </w:r>
      <w:r>
        <w:fldChar w:fldCharType="begin"/>
      </w:r>
      <w:r>
        <w:instrText xml:space="preserve"> PAGEREF _Toc167441064 \h </w:instrText>
      </w:r>
      <w:r>
        <w:fldChar w:fldCharType="separate"/>
      </w:r>
      <w:r>
        <w:t>69</w:t>
      </w:r>
      <w:r>
        <w:fldChar w:fldCharType="end"/>
      </w:r>
    </w:p>
    <w:p w14:paraId="75592E39">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图5.11</w:t>
      </w:r>
      <w:r>
        <w:rPr>
          <w:rFonts w:asciiTheme="minorHAnsi" w:hAnsiTheme="minorHAnsi" w:eastAsiaTheme="minorEastAsia" w:cstheme="minorBidi"/>
          <w:sz w:val="21"/>
          <w:szCs w:val="22"/>
          <w14:ligatures w14:val="standardContextual"/>
        </w:rPr>
        <w:tab/>
      </w:r>
      <w:r>
        <w:t>不同电子密度等离子体的S21衰减曲线图</w:t>
      </w:r>
      <w:r>
        <w:tab/>
      </w:r>
      <w:r>
        <w:fldChar w:fldCharType="begin"/>
      </w:r>
      <w:r>
        <w:instrText xml:space="preserve"> PAGEREF _Toc167441065 \h </w:instrText>
      </w:r>
      <w:r>
        <w:fldChar w:fldCharType="separate"/>
      </w:r>
      <w:r>
        <w:t>70</w:t>
      </w:r>
      <w:r>
        <w:fldChar w:fldCharType="end"/>
      </w:r>
    </w:p>
    <w:p w14:paraId="794F32F9">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图5.12</w:t>
      </w:r>
      <w:r>
        <w:rPr>
          <w:rFonts w:asciiTheme="minorHAnsi" w:hAnsiTheme="minorHAnsi" w:eastAsiaTheme="minorEastAsia" w:cstheme="minorBidi"/>
          <w:sz w:val="21"/>
          <w:szCs w:val="22"/>
          <w14:ligatures w14:val="standardContextual"/>
        </w:rPr>
        <w:tab/>
      </w:r>
      <w:r>
        <w:t>CST中电场仿真结果示意图</w:t>
      </w:r>
      <w:r>
        <w:tab/>
      </w:r>
      <w:r>
        <w:fldChar w:fldCharType="begin"/>
      </w:r>
      <w:r>
        <w:instrText xml:space="preserve"> PAGEREF _Toc167441066 \h </w:instrText>
      </w:r>
      <w:r>
        <w:fldChar w:fldCharType="separate"/>
      </w:r>
      <w:r>
        <w:t>70</w:t>
      </w:r>
      <w:r>
        <w:fldChar w:fldCharType="end"/>
      </w:r>
    </w:p>
    <w:p w14:paraId="6E6362D4">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图5.13</w:t>
      </w:r>
      <w:r>
        <w:rPr>
          <w:rFonts w:asciiTheme="minorHAnsi" w:hAnsiTheme="minorHAnsi" w:eastAsiaTheme="minorEastAsia" w:cstheme="minorBidi"/>
          <w:sz w:val="21"/>
          <w:szCs w:val="22"/>
          <w14:ligatures w14:val="standardContextual"/>
        </w:rPr>
        <w:tab/>
      </w:r>
      <w:r>
        <w:t>34.2-35GHz范围内等离子体S21衰减曲线图</w:t>
      </w:r>
      <w:r>
        <w:tab/>
      </w:r>
      <w:r>
        <w:fldChar w:fldCharType="begin"/>
      </w:r>
      <w:r>
        <w:instrText xml:space="preserve"> PAGEREF _Toc167441067 \h </w:instrText>
      </w:r>
      <w:r>
        <w:fldChar w:fldCharType="separate"/>
      </w:r>
      <w:r>
        <w:t>71</w:t>
      </w:r>
      <w:r>
        <w:fldChar w:fldCharType="end"/>
      </w:r>
    </w:p>
    <w:p w14:paraId="75D36044">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图5.14</w:t>
      </w:r>
      <w:r>
        <w:rPr>
          <w:rFonts w:asciiTheme="minorHAnsi" w:hAnsiTheme="minorHAnsi" w:eastAsiaTheme="minorEastAsia" w:cstheme="minorBidi"/>
          <w:sz w:val="21"/>
          <w:szCs w:val="22"/>
          <w14:ligatures w14:val="standardContextual"/>
        </w:rPr>
        <w:tab/>
      </w:r>
      <w:r>
        <w:t>等离子体时延变化曲线图</w:t>
      </w:r>
      <w:r>
        <w:tab/>
      </w:r>
      <w:r>
        <w:fldChar w:fldCharType="begin"/>
      </w:r>
      <w:r>
        <w:instrText xml:space="preserve"> PAGEREF _Toc167441068 \h </w:instrText>
      </w:r>
      <w:r>
        <w:fldChar w:fldCharType="separate"/>
      </w:r>
      <w:r>
        <w:t>72</w:t>
      </w:r>
      <w:r>
        <w:fldChar w:fldCharType="end"/>
      </w:r>
    </w:p>
    <w:p w14:paraId="4920F748">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图5.15</w:t>
      </w:r>
      <w:r>
        <w:rPr>
          <w:rFonts w:asciiTheme="minorHAnsi" w:hAnsiTheme="minorHAnsi" w:eastAsiaTheme="minorEastAsia" w:cstheme="minorBidi"/>
          <w:sz w:val="21"/>
          <w:szCs w:val="22"/>
          <w14:ligatures w14:val="standardContextual"/>
        </w:rPr>
        <w:tab/>
      </w:r>
      <w:r>
        <w:t>34.2-35GHz频率内等离子体时延变化曲线图</w:t>
      </w:r>
      <w:r>
        <w:tab/>
      </w:r>
      <w:r>
        <w:fldChar w:fldCharType="begin"/>
      </w:r>
      <w:r>
        <w:instrText xml:space="preserve"> PAGEREF _Toc167441069 \h </w:instrText>
      </w:r>
      <w:r>
        <w:fldChar w:fldCharType="separate"/>
      </w:r>
      <w:r>
        <w:t>72</w:t>
      </w:r>
      <w:r>
        <w:fldChar w:fldCharType="end"/>
      </w:r>
    </w:p>
    <w:p w14:paraId="10BB5243">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图5.16</w:t>
      </w:r>
      <w:r>
        <w:rPr>
          <w:rFonts w:asciiTheme="minorHAnsi" w:hAnsiTheme="minorHAnsi" w:eastAsiaTheme="minorEastAsia" w:cstheme="minorBidi"/>
          <w:sz w:val="21"/>
          <w:szCs w:val="22"/>
          <w14:ligatures w14:val="standardContextual"/>
        </w:rPr>
        <w:tab/>
      </w:r>
      <w:r>
        <w:t>31.6-32.4GHz频率内等离子体时延变化曲线图</w:t>
      </w:r>
      <w:r>
        <w:tab/>
      </w:r>
      <w:r>
        <w:fldChar w:fldCharType="begin"/>
      </w:r>
      <w:r>
        <w:instrText xml:space="preserve"> PAGEREF _Toc167441070 \h </w:instrText>
      </w:r>
      <w:r>
        <w:fldChar w:fldCharType="separate"/>
      </w:r>
      <w:r>
        <w:t>73</w:t>
      </w:r>
      <w:r>
        <w:fldChar w:fldCharType="end"/>
      </w:r>
    </w:p>
    <w:p w14:paraId="7D4F844A">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图5.17</w:t>
      </w:r>
      <w:r>
        <w:rPr>
          <w:rFonts w:asciiTheme="minorHAnsi" w:hAnsiTheme="minorHAnsi" w:eastAsiaTheme="minorEastAsia" w:cstheme="minorBidi"/>
          <w:sz w:val="21"/>
          <w:szCs w:val="22"/>
          <w14:ligatures w14:val="standardContextual"/>
        </w:rPr>
        <w:tab/>
      </w:r>
      <w:r>
        <w:t>等离子体诊断系统测试示意图</w:t>
      </w:r>
      <w:r>
        <w:tab/>
      </w:r>
      <w:r>
        <w:fldChar w:fldCharType="begin"/>
      </w:r>
      <w:r>
        <w:instrText xml:space="preserve"> PAGEREF _Toc167441071 \h </w:instrText>
      </w:r>
      <w:r>
        <w:fldChar w:fldCharType="separate"/>
      </w:r>
      <w:r>
        <w:t>74</w:t>
      </w:r>
      <w:r>
        <w:fldChar w:fldCharType="end"/>
      </w:r>
    </w:p>
    <w:p w14:paraId="6E9314AC">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图5.18</w:t>
      </w:r>
      <w:r>
        <w:rPr>
          <w:rFonts w:asciiTheme="minorHAnsi" w:hAnsiTheme="minorHAnsi" w:eastAsiaTheme="minorEastAsia" w:cstheme="minorBidi"/>
          <w:sz w:val="21"/>
          <w:szCs w:val="22"/>
          <w14:ligatures w14:val="standardContextual"/>
        </w:rPr>
        <w:tab/>
      </w:r>
      <w:r>
        <w:t>等离子体诊断系统搭建实物图</w:t>
      </w:r>
      <w:r>
        <w:tab/>
      </w:r>
      <w:r>
        <w:fldChar w:fldCharType="begin"/>
      </w:r>
      <w:r>
        <w:instrText xml:space="preserve"> PAGEREF _Toc167441072 \h </w:instrText>
      </w:r>
      <w:r>
        <w:fldChar w:fldCharType="separate"/>
      </w:r>
      <w:r>
        <w:t>75</w:t>
      </w:r>
      <w:r>
        <w:fldChar w:fldCharType="end"/>
      </w:r>
    </w:p>
    <w:p w14:paraId="1B8D0C30">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图5.19</w:t>
      </w:r>
      <w:r>
        <w:rPr>
          <w:rFonts w:asciiTheme="minorHAnsi" w:hAnsiTheme="minorHAnsi" w:eastAsiaTheme="minorEastAsia" w:cstheme="minorBidi"/>
          <w:sz w:val="21"/>
          <w:szCs w:val="22"/>
          <w14:ligatures w14:val="standardContextual"/>
        </w:rPr>
        <w:tab/>
      </w:r>
      <w:r>
        <w:t>等离子体诊断实验实拍示意图</w:t>
      </w:r>
      <w:r>
        <w:tab/>
      </w:r>
      <w:r>
        <w:fldChar w:fldCharType="begin"/>
      </w:r>
      <w:r>
        <w:instrText xml:space="preserve"> PAGEREF _Toc167441073 \h </w:instrText>
      </w:r>
      <w:r>
        <w:fldChar w:fldCharType="separate"/>
      </w:r>
      <w:r>
        <w:t>76</w:t>
      </w:r>
      <w:r>
        <w:fldChar w:fldCharType="end"/>
      </w:r>
    </w:p>
    <w:p w14:paraId="0D19511A">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图5.20</w:t>
      </w:r>
      <w:r>
        <w:rPr>
          <w:rFonts w:asciiTheme="minorHAnsi" w:hAnsiTheme="minorHAnsi" w:eastAsiaTheme="minorEastAsia" w:cstheme="minorBidi"/>
          <w:sz w:val="21"/>
          <w:szCs w:val="22"/>
          <w14:ligatures w14:val="standardContextual"/>
        </w:rPr>
        <w:tab/>
      </w:r>
      <w:r>
        <w:t>等离子体诊断时初始差频信号实测频谱图</w:t>
      </w:r>
      <w:r>
        <w:tab/>
      </w:r>
      <w:r>
        <w:fldChar w:fldCharType="begin"/>
      </w:r>
      <w:r>
        <w:instrText xml:space="preserve"> PAGEREF _Toc167441074 \h </w:instrText>
      </w:r>
      <w:r>
        <w:fldChar w:fldCharType="separate"/>
      </w:r>
      <w:r>
        <w:t>76</w:t>
      </w:r>
      <w:r>
        <w:fldChar w:fldCharType="end"/>
      </w:r>
    </w:p>
    <w:p w14:paraId="1F4906BF">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图5.21</w:t>
      </w:r>
      <w:r>
        <w:rPr>
          <w:rFonts w:asciiTheme="minorHAnsi" w:hAnsiTheme="minorHAnsi" w:eastAsiaTheme="minorEastAsia" w:cstheme="minorBidi"/>
          <w:sz w:val="21"/>
          <w:szCs w:val="22"/>
          <w14:ligatures w14:val="standardContextual"/>
        </w:rPr>
        <w:tab/>
      </w:r>
      <w:r>
        <w:t>两种电压下有等离子体的差频信号实测频谱图</w:t>
      </w:r>
      <w:r>
        <w:tab/>
      </w:r>
      <w:r>
        <w:fldChar w:fldCharType="begin"/>
      </w:r>
      <w:r>
        <w:instrText xml:space="preserve"> PAGEREF _Toc167441075 \h </w:instrText>
      </w:r>
      <w:r>
        <w:fldChar w:fldCharType="separate"/>
      </w:r>
      <w:r>
        <w:t>77</w:t>
      </w:r>
      <w:r>
        <w:fldChar w:fldCharType="end"/>
      </w:r>
    </w:p>
    <w:p w14:paraId="4F949EFC">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图5.22</w:t>
      </w:r>
      <w:r>
        <w:rPr>
          <w:rFonts w:asciiTheme="minorHAnsi" w:hAnsiTheme="minorHAnsi" w:eastAsiaTheme="minorEastAsia" w:cstheme="minorBidi"/>
          <w:sz w:val="21"/>
          <w:szCs w:val="22"/>
          <w14:ligatures w14:val="standardContextual"/>
        </w:rPr>
        <w:tab/>
      </w:r>
      <w:r>
        <w:t>系统初始差频信号及其频谱图</w:t>
      </w:r>
      <w:r>
        <w:tab/>
      </w:r>
      <w:r>
        <w:fldChar w:fldCharType="begin"/>
      </w:r>
      <w:r>
        <w:instrText xml:space="preserve"> PAGEREF _Toc167441076 \h </w:instrText>
      </w:r>
      <w:r>
        <w:fldChar w:fldCharType="separate"/>
      </w:r>
      <w:r>
        <w:t>77</w:t>
      </w:r>
      <w:r>
        <w:fldChar w:fldCharType="end"/>
      </w:r>
    </w:p>
    <w:p w14:paraId="13A3FBF9">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图5.23</w:t>
      </w:r>
      <w:r>
        <w:rPr>
          <w:rFonts w:asciiTheme="minorHAnsi" w:hAnsiTheme="minorHAnsi" w:eastAsiaTheme="minorEastAsia" w:cstheme="minorBidi"/>
          <w:sz w:val="21"/>
          <w:szCs w:val="22"/>
          <w14:ligatures w14:val="standardContextual"/>
        </w:rPr>
        <w:tab/>
      </w:r>
      <w:r>
        <w:t>差频信号处理步骤示意图</w:t>
      </w:r>
      <w:r>
        <w:tab/>
      </w:r>
      <w:r>
        <w:fldChar w:fldCharType="begin"/>
      </w:r>
      <w:r>
        <w:instrText xml:space="preserve"> PAGEREF _Toc167441077 \h </w:instrText>
      </w:r>
      <w:r>
        <w:fldChar w:fldCharType="separate"/>
      </w:r>
      <w:r>
        <w:t>78</w:t>
      </w:r>
      <w:r>
        <w:fldChar w:fldCharType="end"/>
      </w:r>
    </w:p>
    <w:p w14:paraId="15062B71">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图5.24</w:t>
      </w:r>
      <w:r>
        <w:rPr>
          <w:rFonts w:asciiTheme="minorHAnsi" w:hAnsiTheme="minorHAnsi" w:eastAsiaTheme="minorEastAsia" w:cstheme="minorBidi"/>
          <w:sz w:val="21"/>
          <w:szCs w:val="22"/>
          <w14:ligatures w14:val="standardContextual"/>
        </w:rPr>
        <w:tab/>
      </w:r>
      <w:r>
        <w:t>校正后的差频信号频谱图</w:t>
      </w:r>
      <w:r>
        <w:tab/>
      </w:r>
      <w:r>
        <w:fldChar w:fldCharType="begin"/>
      </w:r>
      <w:r>
        <w:instrText xml:space="preserve"> PAGEREF _Toc167441078 \h </w:instrText>
      </w:r>
      <w:r>
        <w:fldChar w:fldCharType="separate"/>
      </w:r>
      <w:r>
        <w:t>79</w:t>
      </w:r>
      <w:r>
        <w:fldChar w:fldCharType="end"/>
      </w:r>
    </w:p>
    <w:p w14:paraId="28BD596E">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图5.25</w:t>
      </w:r>
      <w:r>
        <w:rPr>
          <w:rFonts w:asciiTheme="minorHAnsi" w:hAnsiTheme="minorHAnsi" w:eastAsiaTheme="minorEastAsia" w:cstheme="minorBidi"/>
          <w:sz w:val="21"/>
          <w:szCs w:val="22"/>
          <w14:ligatures w14:val="standardContextual"/>
        </w:rPr>
        <w:tab/>
      </w:r>
      <w:r>
        <w:t>300mm位置差频信号波形及频谱图</w:t>
      </w:r>
      <w:r>
        <w:tab/>
      </w:r>
      <w:r>
        <w:fldChar w:fldCharType="begin"/>
      </w:r>
      <w:r>
        <w:instrText xml:space="preserve"> PAGEREF _Toc167441079 \h </w:instrText>
      </w:r>
      <w:r>
        <w:fldChar w:fldCharType="separate"/>
      </w:r>
      <w:r>
        <w:t>81</w:t>
      </w:r>
      <w:r>
        <w:fldChar w:fldCharType="end"/>
      </w:r>
    </w:p>
    <w:p w14:paraId="031CA077">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图5.26</w:t>
      </w:r>
      <w:r>
        <w:rPr>
          <w:rFonts w:asciiTheme="minorHAnsi" w:hAnsiTheme="minorHAnsi" w:eastAsiaTheme="minorEastAsia" w:cstheme="minorBidi"/>
          <w:sz w:val="21"/>
          <w:szCs w:val="22"/>
          <w14:ligatures w14:val="standardContextual"/>
        </w:rPr>
        <w:tab/>
      </w:r>
      <w:r>
        <w:t>400mm位置处差频信号频谱图</w:t>
      </w:r>
      <w:r>
        <w:tab/>
      </w:r>
      <w:r>
        <w:fldChar w:fldCharType="begin"/>
      </w:r>
      <w:r>
        <w:instrText xml:space="preserve"> PAGEREF _Toc167441080 \h </w:instrText>
      </w:r>
      <w:r>
        <w:fldChar w:fldCharType="separate"/>
      </w:r>
      <w:r>
        <w:t>81</w:t>
      </w:r>
      <w:r>
        <w:fldChar w:fldCharType="end"/>
      </w:r>
    </w:p>
    <w:p w14:paraId="7C449DFD">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t>图5.27</w:t>
      </w:r>
      <w:r>
        <w:rPr>
          <w:rFonts w:asciiTheme="minorHAnsi" w:hAnsiTheme="minorHAnsi" w:eastAsiaTheme="minorEastAsia" w:cstheme="minorBidi"/>
          <w:sz w:val="21"/>
          <w:szCs w:val="22"/>
          <w14:ligatures w14:val="standardContextual"/>
        </w:rPr>
        <w:tab/>
      </w:r>
      <w:r>
        <w:t>33.2~34GHz频率时400mm处校正后差频信号频谱图</w:t>
      </w:r>
      <w:r>
        <w:tab/>
      </w:r>
      <w:r>
        <w:fldChar w:fldCharType="begin"/>
      </w:r>
      <w:r>
        <w:instrText xml:space="preserve"> PAGEREF _Toc167441081 \h </w:instrText>
      </w:r>
      <w:r>
        <w:fldChar w:fldCharType="separate"/>
      </w:r>
      <w:r>
        <w:t>82</w:t>
      </w:r>
      <w:r>
        <w:fldChar w:fldCharType="end"/>
      </w:r>
    </w:p>
    <w:p w14:paraId="6F6DEBEB">
      <w:pPr>
        <w:pStyle w:val="24"/>
        <w:tabs>
          <w:tab w:val="left" w:pos="1470"/>
          <w:tab w:val="right" w:leader="dot" w:pos="8777"/>
        </w:tabs>
        <w:ind w:left="960" w:hanging="480"/>
      </w:pPr>
      <w:r>
        <w:t>图5.28</w:t>
      </w:r>
      <w:r>
        <w:rPr>
          <w:rFonts w:asciiTheme="minorHAnsi" w:hAnsiTheme="minorHAnsi" w:eastAsiaTheme="minorEastAsia" w:cstheme="minorBidi"/>
          <w:sz w:val="21"/>
          <w:szCs w:val="22"/>
          <w14:ligatures w14:val="standardContextual"/>
        </w:rPr>
        <w:tab/>
      </w:r>
      <w:r>
        <w:t>36.2~37GHz频率时400mm处校正后差频信号频谱图</w:t>
      </w:r>
      <w:r>
        <w:tab/>
      </w:r>
      <w:r>
        <w:fldChar w:fldCharType="begin"/>
      </w:r>
      <w:r>
        <w:instrText xml:space="preserve"> PAGEREF _Toc167441082 \h </w:instrText>
      </w:r>
      <w:r>
        <w:fldChar w:fldCharType="separate"/>
      </w:r>
      <w:r>
        <w:t>83</w:t>
      </w:r>
      <w:r>
        <w:fldChar w:fldCharType="end"/>
      </w:r>
    </w:p>
    <w:p w14:paraId="670094A0">
      <w:pPr>
        <w:widowControl/>
        <w:spacing w:line="240" w:lineRule="auto"/>
        <w:ind w:firstLine="0" w:firstLineChars="0"/>
        <w:jc w:val="left"/>
      </w:pPr>
      <w:r>
        <w:br w:type="page"/>
      </w:r>
    </w:p>
    <w:p w14:paraId="1C529A84">
      <w:pPr>
        <w:ind w:firstLine="480"/>
      </w:pPr>
    </w:p>
    <w:p w14:paraId="27FE6C02">
      <w:pPr>
        <w:pStyle w:val="46"/>
        <w:rPr>
          <w:szCs w:val="24"/>
        </w:rPr>
        <w:sectPr>
          <w:headerReference r:id="rId12" w:type="default"/>
          <w:footnotePr>
            <w:numFmt w:val="decimalEnclosedCircleChinese"/>
            <w:numRestart w:val="eachSect"/>
          </w:footnotePr>
          <w:type w:val="oddPage"/>
          <w:pgSz w:w="11907" w:h="16840"/>
          <w:pgMar w:top="1701" w:right="1418" w:bottom="1134" w:left="1418" w:header="1134" w:footer="992" w:gutter="284"/>
          <w:pgNumType w:fmt="upperRoman"/>
          <w:cols w:space="425" w:num="1"/>
          <w:docGrid w:linePitch="384" w:charSpace="7430"/>
        </w:sectPr>
      </w:pPr>
      <w:r>
        <w:rPr>
          <w:szCs w:val="24"/>
        </w:rPr>
        <w:fldChar w:fldCharType="end"/>
      </w:r>
    </w:p>
    <w:p w14:paraId="66824917">
      <w:pPr>
        <w:pStyle w:val="41"/>
      </w:pPr>
      <w:bookmarkStart w:id="15" w:name="_Toc167440849"/>
      <w:r>
        <w:rPr>
          <w:rFonts w:hint="eastAsia"/>
        </w:rPr>
        <w:t>表格索引</w:t>
      </w:r>
      <w:bookmarkEnd w:id="15"/>
    </w:p>
    <w:p w14:paraId="2F3AD252">
      <w:pPr>
        <w:pStyle w:val="24"/>
        <w:tabs>
          <w:tab w:val="left" w:pos="1471"/>
          <w:tab w:val="right" w:leader="dot" w:pos="8777"/>
        </w:tabs>
        <w:ind w:left="900" w:hanging="420"/>
        <w:rPr>
          <w:rFonts w:asciiTheme="minorHAnsi" w:hAnsiTheme="minorHAnsi" w:eastAsiaTheme="minorEastAsia" w:cstheme="minorBidi"/>
          <w:sz w:val="21"/>
          <w:szCs w:val="22"/>
          <w14:ligatures w14:val="standardContextual"/>
        </w:rPr>
      </w:pPr>
      <w:r>
        <w:rPr>
          <w:sz w:val="21"/>
        </w:rPr>
        <w:fldChar w:fldCharType="begin"/>
      </w:r>
      <w:r>
        <w:rPr>
          <w:sz w:val="21"/>
        </w:rPr>
        <w:instrText xml:space="preserve"> TOC \h \z \t "标题-表格" \c </w:instrText>
      </w:r>
      <w:r>
        <w:rPr>
          <w:sz w:val="21"/>
        </w:rPr>
        <w:fldChar w:fldCharType="separate"/>
      </w:r>
      <w:r>
        <w:fldChar w:fldCharType="begin"/>
      </w:r>
      <w:r>
        <w:instrText xml:space="preserve"> HYPERLINK \l "_Toc167441083" </w:instrText>
      </w:r>
      <w:r>
        <w:fldChar w:fldCharType="separate"/>
      </w:r>
      <w:r>
        <w:rPr>
          <w:rStyle w:val="36"/>
        </w:rPr>
        <w:t>表3.1</w:t>
      </w:r>
      <w:r>
        <w:rPr>
          <w:rFonts w:asciiTheme="minorHAnsi" w:hAnsiTheme="minorHAnsi" w:eastAsiaTheme="minorEastAsia" w:cstheme="minorBidi"/>
          <w:sz w:val="21"/>
          <w:szCs w:val="22"/>
          <w14:ligatures w14:val="standardContextual"/>
        </w:rPr>
        <w:tab/>
      </w:r>
      <w:r>
        <w:rPr>
          <w:rStyle w:val="36"/>
        </w:rPr>
        <w:t>HMC213B</w:t>
      </w:r>
      <w:r>
        <w:rPr>
          <w:rStyle w:val="36"/>
          <w:rFonts w:ascii="宋体" w:hAnsi="宋体"/>
        </w:rPr>
        <w:t>混频器指标</w:t>
      </w:r>
      <w:r>
        <w:tab/>
      </w:r>
      <w:r>
        <w:fldChar w:fldCharType="begin"/>
      </w:r>
      <w:r>
        <w:instrText xml:space="preserve"> PAGEREF _Toc167441083 \h </w:instrText>
      </w:r>
      <w:r>
        <w:fldChar w:fldCharType="separate"/>
      </w:r>
      <w:r>
        <w:t>31</w:t>
      </w:r>
      <w:r>
        <w:fldChar w:fldCharType="end"/>
      </w:r>
      <w:r>
        <w:fldChar w:fldCharType="end"/>
      </w:r>
    </w:p>
    <w:p w14:paraId="7EA35AE4">
      <w:pPr>
        <w:pStyle w:val="24"/>
        <w:tabs>
          <w:tab w:val="left" w:pos="1471"/>
          <w:tab w:val="right" w:leader="dot" w:pos="8777"/>
        </w:tabs>
        <w:ind w:left="960" w:hanging="480"/>
        <w:rPr>
          <w:rFonts w:asciiTheme="minorHAnsi" w:hAnsiTheme="minorHAnsi" w:eastAsiaTheme="minorEastAsia" w:cstheme="minorBidi"/>
          <w:sz w:val="21"/>
          <w:szCs w:val="22"/>
          <w14:ligatures w14:val="standardContextual"/>
        </w:rPr>
      </w:pPr>
      <w:r>
        <w:fldChar w:fldCharType="begin"/>
      </w:r>
      <w:r>
        <w:instrText xml:space="preserve"> HYPERLINK \l "_Toc167441084" </w:instrText>
      </w:r>
      <w:r>
        <w:fldChar w:fldCharType="separate"/>
      </w:r>
      <w:r>
        <w:rPr>
          <w:rStyle w:val="36"/>
        </w:rPr>
        <w:t>表3.2</w:t>
      </w:r>
      <w:r>
        <w:rPr>
          <w:rFonts w:asciiTheme="minorHAnsi" w:hAnsiTheme="minorHAnsi" w:eastAsiaTheme="minorEastAsia" w:cstheme="minorBidi"/>
          <w:sz w:val="21"/>
          <w:szCs w:val="22"/>
          <w14:ligatures w14:val="standardContextual"/>
        </w:rPr>
        <w:tab/>
      </w:r>
      <w:r>
        <w:rPr>
          <w:rStyle w:val="36"/>
        </w:rPr>
        <w:t>MM1-1044L</w:t>
      </w:r>
      <w:r>
        <w:rPr>
          <w:rStyle w:val="36"/>
          <w:rFonts w:ascii="宋体" w:hAnsi="宋体"/>
        </w:rPr>
        <w:t>混频器主要指标</w:t>
      </w:r>
      <w:r>
        <w:tab/>
      </w:r>
      <w:r>
        <w:fldChar w:fldCharType="begin"/>
      </w:r>
      <w:r>
        <w:instrText xml:space="preserve"> PAGEREF _Toc167441084 \h </w:instrText>
      </w:r>
      <w:r>
        <w:fldChar w:fldCharType="separate"/>
      </w:r>
      <w:r>
        <w:t>32</w:t>
      </w:r>
      <w:r>
        <w:fldChar w:fldCharType="end"/>
      </w:r>
      <w:r>
        <w:fldChar w:fldCharType="end"/>
      </w:r>
    </w:p>
    <w:p w14:paraId="5BE2EB7D">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fldChar w:fldCharType="begin"/>
      </w:r>
      <w:r>
        <w:instrText xml:space="preserve"> HYPERLINK \l "_Toc167441085" </w:instrText>
      </w:r>
      <w:r>
        <w:fldChar w:fldCharType="separate"/>
      </w:r>
      <w:r>
        <w:rPr>
          <w:rStyle w:val="36"/>
        </w:rPr>
        <w:t>表3.3</w:t>
      </w:r>
      <w:r>
        <w:rPr>
          <w:rFonts w:asciiTheme="minorHAnsi" w:hAnsiTheme="minorHAnsi" w:eastAsiaTheme="minorEastAsia" w:cstheme="minorBidi"/>
          <w:sz w:val="21"/>
          <w:szCs w:val="22"/>
          <w14:ligatures w14:val="standardContextual"/>
        </w:rPr>
        <w:tab/>
      </w:r>
      <w:r>
        <w:rPr>
          <w:rStyle w:val="36"/>
        </w:rPr>
        <w:t>倍频器模块主要指标</w:t>
      </w:r>
      <w:r>
        <w:tab/>
      </w:r>
      <w:r>
        <w:fldChar w:fldCharType="begin"/>
      </w:r>
      <w:r>
        <w:instrText xml:space="preserve"> PAGEREF _Toc167441085 \h </w:instrText>
      </w:r>
      <w:r>
        <w:fldChar w:fldCharType="separate"/>
      </w:r>
      <w:r>
        <w:t>32</w:t>
      </w:r>
      <w:r>
        <w:fldChar w:fldCharType="end"/>
      </w:r>
      <w:r>
        <w:fldChar w:fldCharType="end"/>
      </w:r>
    </w:p>
    <w:p w14:paraId="2B71149F">
      <w:pPr>
        <w:pStyle w:val="24"/>
        <w:tabs>
          <w:tab w:val="left" w:pos="1471"/>
          <w:tab w:val="right" w:leader="dot" w:pos="8777"/>
        </w:tabs>
        <w:ind w:left="960" w:hanging="480"/>
        <w:rPr>
          <w:rFonts w:asciiTheme="minorHAnsi" w:hAnsiTheme="minorHAnsi" w:eastAsiaTheme="minorEastAsia" w:cstheme="minorBidi"/>
          <w:sz w:val="21"/>
          <w:szCs w:val="22"/>
          <w14:ligatures w14:val="standardContextual"/>
        </w:rPr>
      </w:pPr>
      <w:r>
        <w:fldChar w:fldCharType="begin"/>
      </w:r>
      <w:r>
        <w:instrText xml:space="preserve"> HYPERLINK \l "_Toc167441086" </w:instrText>
      </w:r>
      <w:r>
        <w:fldChar w:fldCharType="separate"/>
      </w:r>
      <w:r>
        <w:rPr>
          <w:rStyle w:val="36"/>
        </w:rPr>
        <w:t>表3.4</w:t>
      </w:r>
      <w:r>
        <w:rPr>
          <w:rFonts w:asciiTheme="minorHAnsi" w:hAnsiTheme="minorHAnsi" w:eastAsiaTheme="minorEastAsia" w:cstheme="minorBidi"/>
          <w:sz w:val="21"/>
          <w:szCs w:val="22"/>
          <w14:ligatures w14:val="standardContextual"/>
        </w:rPr>
        <w:tab/>
      </w:r>
      <w:r>
        <w:rPr>
          <w:rStyle w:val="36"/>
        </w:rPr>
        <w:t>TC-1040-20K</w:t>
      </w:r>
      <w:r>
        <w:rPr>
          <w:rStyle w:val="36"/>
          <w:rFonts w:ascii="宋体" w:hAnsi="宋体"/>
        </w:rPr>
        <w:t>定向耦合器主要指标</w:t>
      </w:r>
      <w:r>
        <w:tab/>
      </w:r>
      <w:r>
        <w:fldChar w:fldCharType="begin"/>
      </w:r>
      <w:r>
        <w:instrText xml:space="preserve"> PAGEREF _Toc167441086 \h </w:instrText>
      </w:r>
      <w:r>
        <w:fldChar w:fldCharType="separate"/>
      </w:r>
      <w:r>
        <w:t>32</w:t>
      </w:r>
      <w:r>
        <w:fldChar w:fldCharType="end"/>
      </w:r>
      <w:r>
        <w:fldChar w:fldCharType="end"/>
      </w:r>
    </w:p>
    <w:p w14:paraId="2C30D50E">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fldChar w:fldCharType="begin"/>
      </w:r>
      <w:r>
        <w:instrText xml:space="preserve"> HYPERLINK \l "_Toc167441087" </w:instrText>
      </w:r>
      <w:r>
        <w:fldChar w:fldCharType="separate"/>
      </w:r>
      <w:r>
        <w:rPr>
          <w:rStyle w:val="36"/>
        </w:rPr>
        <w:t>表3.5</w:t>
      </w:r>
      <w:r>
        <w:rPr>
          <w:rFonts w:asciiTheme="minorHAnsi" w:hAnsiTheme="minorHAnsi" w:eastAsiaTheme="minorEastAsia" w:cstheme="minorBidi"/>
          <w:sz w:val="21"/>
          <w:szCs w:val="22"/>
          <w14:ligatures w14:val="standardContextual"/>
        </w:rPr>
        <w:tab/>
      </w:r>
      <w:r>
        <w:rPr>
          <w:rStyle w:val="36"/>
        </w:rPr>
        <w:t>链路各级滤波器型号及通带范围</w:t>
      </w:r>
      <w:r>
        <w:tab/>
      </w:r>
      <w:r>
        <w:fldChar w:fldCharType="begin"/>
      </w:r>
      <w:r>
        <w:instrText xml:space="preserve"> PAGEREF _Toc167441087 \h </w:instrText>
      </w:r>
      <w:r>
        <w:fldChar w:fldCharType="separate"/>
      </w:r>
      <w:r>
        <w:t>33</w:t>
      </w:r>
      <w:r>
        <w:fldChar w:fldCharType="end"/>
      </w:r>
      <w:r>
        <w:fldChar w:fldCharType="end"/>
      </w:r>
    </w:p>
    <w:p w14:paraId="686A43E3">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fldChar w:fldCharType="begin"/>
      </w:r>
      <w:r>
        <w:instrText xml:space="preserve"> HYPERLINK \l "_Toc167441088" </w:instrText>
      </w:r>
      <w:r>
        <w:fldChar w:fldCharType="separate"/>
      </w:r>
      <w:r>
        <w:rPr>
          <w:rStyle w:val="36"/>
        </w:rPr>
        <w:t>表3.6</w:t>
      </w:r>
      <w:r>
        <w:rPr>
          <w:rFonts w:asciiTheme="minorHAnsi" w:hAnsiTheme="minorHAnsi" w:eastAsiaTheme="minorEastAsia" w:cstheme="minorBidi"/>
          <w:sz w:val="21"/>
          <w:szCs w:val="22"/>
          <w14:ligatures w14:val="standardContextual"/>
        </w:rPr>
        <w:tab/>
      </w:r>
      <w:r>
        <w:rPr>
          <w:rStyle w:val="36"/>
        </w:rPr>
        <w:t>更换前后的混频器参数对比</w:t>
      </w:r>
      <w:r>
        <w:tab/>
      </w:r>
      <w:r>
        <w:fldChar w:fldCharType="begin"/>
      </w:r>
      <w:r>
        <w:instrText xml:space="preserve"> PAGEREF _Toc167441088 \h </w:instrText>
      </w:r>
      <w:r>
        <w:fldChar w:fldCharType="separate"/>
      </w:r>
      <w:r>
        <w:t>34</w:t>
      </w:r>
      <w:r>
        <w:fldChar w:fldCharType="end"/>
      </w:r>
      <w:r>
        <w:fldChar w:fldCharType="end"/>
      </w:r>
    </w:p>
    <w:p w14:paraId="4FBB5872">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fldChar w:fldCharType="begin"/>
      </w:r>
      <w:r>
        <w:instrText xml:space="preserve"> HYPERLINK \l "_Toc167441089" </w:instrText>
      </w:r>
      <w:r>
        <w:fldChar w:fldCharType="separate"/>
      </w:r>
      <w:r>
        <w:rPr>
          <w:rStyle w:val="36"/>
        </w:rPr>
        <w:t>表3.7</w:t>
      </w:r>
      <w:r>
        <w:rPr>
          <w:rFonts w:asciiTheme="minorHAnsi" w:hAnsiTheme="minorHAnsi" w:eastAsiaTheme="minorEastAsia" w:cstheme="minorBidi"/>
          <w:sz w:val="21"/>
          <w:szCs w:val="22"/>
          <w14:ligatures w14:val="standardContextual"/>
        </w:rPr>
        <w:tab/>
      </w:r>
      <w:r>
        <w:rPr>
          <w:rStyle w:val="36"/>
        </w:rPr>
        <w:t>更换前后的滤波器参数对比</w:t>
      </w:r>
      <w:r>
        <w:tab/>
      </w:r>
      <w:r>
        <w:fldChar w:fldCharType="begin"/>
      </w:r>
      <w:r>
        <w:instrText xml:space="preserve"> PAGEREF _Toc167441089 \h </w:instrText>
      </w:r>
      <w:r>
        <w:fldChar w:fldCharType="separate"/>
      </w:r>
      <w:r>
        <w:t>34</w:t>
      </w:r>
      <w:r>
        <w:fldChar w:fldCharType="end"/>
      </w:r>
      <w:r>
        <w:fldChar w:fldCharType="end"/>
      </w:r>
    </w:p>
    <w:p w14:paraId="613CE65A">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fldChar w:fldCharType="begin"/>
      </w:r>
      <w:r>
        <w:instrText xml:space="preserve"> HYPERLINK \l "_Toc167441090" </w:instrText>
      </w:r>
      <w:r>
        <w:fldChar w:fldCharType="separate"/>
      </w:r>
      <w:r>
        <w:rPr>
          <w:rStyle w:val="36"/>
        </w:rPr>
        <w:t>表3.8</w:t>
      </w:r>
      <w:r>
        <w:rPr>
          <w:rFonts w:asciiTheme="minorHAnsi" w:hAnsiTheme="minorHAnsi" w:eastAsiaTheme="minorEastAsia" w:cstheme="minorBidi"/>
          <w:sz w:val="21"/>
          <w:szCs w:val="22"/>
          <w14:ligatures w14:val="standardContextual"/>
        </w:rPr>
        <w:tab/>
      </w:r>
      <w:r>
        <w:rPr>
          <w:rStyle w:val="36"/>
        </w:rPr>
        <w:t>链路节点处信号功率实测结果</w:t>
      </w:r>
      <w:r>
        <w:tab/>
      </w:r>
      <w:r>
        <w:fldChar w:fldCharType="begin"/>
      </w:r>
      <w:r>
        <w:instrText xml:space="preserve"> PAGEREF _Toc167441090 \h </w:instrText>
      </w:r>
      <w:r>
        <w:fldChar w:fldCharType="separate"/>
      </w:r>
      <w:r>
        <w:t>40</w:t>
      </w:r>
      <w:r>
        <w:fldChar w:fldCharType="end"/>
      </w:r>
      <w:r>
        <w:fldChar w:fldCharType="end"/>
      </w:r>
    </w:p>
    <w:p w14:paraId="785DFBD5">
      <w:pPr>
        <w:pStyle w:val="24"/>
        <w:tabs>
          <w:tab w:val="left" w:pos="1471"/>
          <w:tab w:val="right" w:leader="dot" w:pos="8777"/>
        </w:tabs>
        <w:ind w:left="960" w:hanging="480"/>
        <w:rPr>
          <w:rFonts w:asciiTheme="minorHAnsi" w:hAnsiTheme="minorHAnsi" w:eastAsiaTheme="minorEastAsia" w:cstheme="minorBidi"/>
          <w:sz w:val="21"/>
          <w:szCs w:val="22"/>
          <w14:ligatures w14:val="standardContextual"/>
        </w:rPr>
      </w:pPr>
      <w:r>
        <w:fldChar w:fldCharType="begin"/>
      </w:r>
      <w:r>
        <w:instrText xml:space="preserve"> HYPERLINK \l "_Toc167441091" </w:instrText>
      </w:r>
      <w:r>
        <w:fldChar w:fldCharType="separate"/>
      </w:r>
      <w:r>
        <w:rPr>
          <w:rStyle w:val="36"/>
        </w:rPr>
        <w:t>表5.1</w:t>
      </w:r>
      <w:r>
        <w:rPr>
          <w:rFonts w:asciiTheme="minorHAnsi" w:hAnsiTheme="minorHAnsi" w:eastAsiaTheme="minorEastAsia" w:cstheme="minorBidi"/>
          <w:sz w:val="21"/>
          <w:szCs w:val="22"/>
          <w14:ligatures w14:val="standardContextual"/>
        </w:rPr>
        <w:tab/>
      </w:r>
      <w:r>
        <w:rPr>
          <w:rStyle w:val="36"/>
        </w:rPr>
        <w:t>10mm极限分辨率测试结果</w:t>
      </w:r>
      <w:r>
        <w:tab/>
      </w:r>
      <w:r>
        <w:fldChar w:fldCharType="begin"/>
      </w:r>
      <w:r>
        <w:instrText xml:space="preserve"> PAGEREF _Toc167441091 \h </w:instrText>
      </w:r>
      <w:r>
        <w:fldChar w:fldCharType="separate"/>
      </w:r>
      <w:r>
        <w:t>62</w:t>
      </w:r>
      <w:r>
        <w:fldChar w:fldCharType="end"/>
      </w:r>
      <w:r>
        <w:fldChar w:fldCharType="end"/>
      </w:r>
    </w:p>
    <w:p w14:paraId="48932539">
      <w:pPr>
        <w:pStyle w:val="24"/>
        <w:tabs>
          <w:tab w:val="left" w:pos="1471"/>
          <w:tab w:val="right" w:leader="dot" w:pos="8777"/>
        </w:tabs>
        <w:ind w:left="960" w:hanging="480"/>
        <w:rPr>
          <w:rFonts w:asciiTheme="minorHAnsi" w:hAnsiTheme="minorHAnsi" w:eastAsiaTheme="minorEastAsia" w:cstheme="minorBidi"/>
          <w:sz w:val="21"/>
          <w:szCs w:val="22"/>
          <w14:ligatures w14:val="standardContextual"/>
        </w:rPr>
      </w:pPr>
      <w:r>
        <w:fldChar w:fldCharType="begin"/>
      </w:r>
      <w:r>
        <w:instrText xml:space="preserve"> HYPERLINK \l "_Toc167441092" </w:instrText>
      </w:r>
      <w:r>
        <w:fldChar w:fldCharType="separate"/>
      </w:r>
      <w:r>
        <w:rPr>
          <w:rStyle w:val="36"/>
        </w:rPr>
        <w:t>表5.2</w:t>
      </w:r>
      <w:r>
        <w:rPr>
          <w:rFonts w:asciiTheme="minorHAnsi" w:hAnsiTheme="minorHAnsi" w:eastAsiaTheme="minorEastAsia" w:cstheme="minorBidi"/>
          <w:sz w:val="21"/>
          <w:szCs w:val="22"/>
          <w14:ligatures w14:val="standardContextual"/>
        </w:rPr>
        <w:tab/>
      </w:r>
      <w:r>
        <w:rPr>
          <w:rStyle w:val="36"/>
        </w:rPr>
        <w:t>8mm极限分辨率测试结果</w:t>
      </w:r>
      <w:r>
        <w:tab/>
      </w:r>
      <w:r>
        <w:fldChar w:fldCharType="begin"/>
      </w:r>
      <w:r>
        <w:instrText xml:space="preserve"> PAGEREF _Toc167441092 \h </w:instrText>
      </w:r>
      <w:r>
        <w:fldChar w:fldCharType="separate"/>
      </w:r>
      <w:r>
        <w:t>62</w:t>
      </w:r>
      <w:r>
        <w:fldChar w:fldCharType="end"/>
      </w:r>
      <w:r>
        <w:fldChar w:fldCharType="end"/>
      </w:r>
    </w:p>
    <w:p w14:paraId="5007C583">
      <w:pPr>
        <w:pStyle w:val="24"/>
        <w:tabs>
          <w:tab w:val="left" w:pos="1471"/>
          <w:tab w:val="right" w:leader="dot" w:pos="8777"/>
        </w:tabs>
        <w:ind w:left="960" w:hanging="480"/>
        <w:rPr>
          <w:rFonts w:asciiTheme="minorHAnsi" w:hAnsiTheme="minorHAnsi" w:eastAsiaTheme="minorEastAsia" w:cstheme="minorBidi"/>
          <w:sz w:val="21"/>
          <w:szCs w:val="22"/>
          <w14:ligatures w14:val="standardContextual"/>
        </w:rPr>
      </w:pPr>
      <w:r>
        <w:fldChar w:fldCharType="begin"/>
      </w:r>
      <w:r>
        <w:instrText xml:space="preserve"> HYPERLINK \l "_Toc167441093" </w:instrText>
      </w:r>
      <w:r>
        <w:fldChar w:fldCharType="separate"/>
      </w:r>
      <w:r>
        <w:rPr>
          <w:rStyle w:val="36"/>
        </w:rPr>
        <w:t>表5.3</w:t>
      </w:r>
      <w:r>
        <w:rPr>
          <w:rFonts w:asciiTheme="minorHAnsi" w:hAnsiTheme="minorHAnsi" w:eastAsiaTheme="minorEastAsia" w:cstheme="minorBidi"/>
          <w:sz w:val="21"/>
          <w:szCs w:val="22"/>
          <w14:ligatures w14:val="standardContextual"/>
        </w:rPr>
        <w:tab/>
      </w:r>
      <w:r>
        <w:rPr>
          <w:rStyle w:val="36"/>
        </w:rPr>
        <w:t>6mm极限分辨率测试结果</w:t>
      </w:r>
      <w:r>
        <w:tab/>
      </w:r>
      <w:r>
        <w:fldChar w:fldCharType="begin"/>
      </w:r>
      <w:r>
        <w:instrText xml:space="preserve"> PAGEREF _Toc167441093 \h </w:instrText>
      </w:r>
      <w:r>
        <w:fldChar w:fldCharType="separate"/>
      </w:r>
      <w:r>
        <w:t>63</w:t>
      </w:r>
      <w:r>
        <w:fldChar w:fldCharType="end"/>
      </w:r>
      <w:r>
        <w:fldChar w:fldCharType="end"/>
      </w:r>
    </w:p>
    <w:p w14:paraId="55310935">
      <w:pPr>
        <w:pStyle w:val="24"/>
        <w:tabs>
          <w:tab w:val="left" w:pos="1471"/>
          <w:tab w:val="right" w:leader="dot" w:pos="8777"/>
        </w:tabs>
        <w:ind w:left="960" w:hanging="480"/>
        <w:rPr>
          <w:rFonts w:asciiTheme="minorHAnsi" w:hAnsiTheme="minorHAnsi" w:eastAsiaTheme="minorEastAsia" w:cstheme="minorBidi"/>
          <w:sz w:val="21"/>
          <w:szCs w:val="22"/>
          <w14:ligatures w14:val="standardContextual"/>
        </w:rPr>
      </w:pPr>
      <w:r>
        <w:fldChar w:fldCharType="begin"/>
      </w:r>
      <w:r>
        <w:instrText xml:space="preserve"> HYPERLINK \l "_Toc167441094" </w:instrText>
      </w:r>
      <w:r>
        <w:fldChar w:fldCharType="separate"/>
      </w:r>
      <w:r>
        <w:rPr>
          <w:rStyle w:val="36"/>
        </w:rPr>
        <w:t>表5.4</w:t>
      </w:r>
      <w:r>
        <w:rPr>
          <w:rFonts w:asciiTheme="minorHAnsi" w:hAnsiTheme="minorHAnsi" w:eastAsiaTheme="minorEastAsia" w:cstheme="minorBidi"/>
          <w:sz w:val="21"/>
          <w:szCs w:val="22"/>
          <w14:ligatures w14:val="standardContextual"/>
        </w:rPr>
        <w:tab/>
      </w:r>
      <w:r>
        <w:rPr>
          <w:rStyle w:val="36"/>
        </w:rPr>
        <w:t>5mm极限分辨率测试结果</w:t>
      </w:r>
      <w:r>
        <w:tab/>
      </w:r>
      <w:r>
        <w:fldChar w:fldCharType="begin"/>
      </w:r>
      <w:r>
        <w:instrText xml:space="preserve"> PAGEREF _Toc167441094 \h </w:instrText>
      </w:r>
      <w:r>
        <w:fldChar w:fldCharType="separate"/>
      </w:r>
      <w:r>
        <w:t>63</w:t>
      </w:r>
      <w:r>
        <w:fldChar w:fldCharType="end"/>
      </w:r>
      <w:r>
        <w:fldChar w:fldCharType="end"/>
      </w:r>
    </w:p>
    <w:p w14:paraId="553B0F31">
      <w:pPr>
        <w:pStyle w:val="24"/>
        <w:tabs>
          <w:tab w:val="left" w:pos="1471"/>
          <w:tab w:val="right" w:leader="dot" w:pos="8777"/>
        </w:tabs>
        <w:ind w:left="960" w:hanging="480"/>
        <w:rPr>
          <w:rFonts w:asciiTheme="minorHAnsi" w:hAnsiTheme="minorHAnsi" w:eastAsiaTheme="minorEastAsia" w:cstheme="minorBidi"/>
          <w:sz w:val="21"/>
          <w:szCs w:val="22"/>
          <w14:ligatures w14:val="standardContextual"/>
        </w:rPr>
      </w:pPr>
      <w:r>
        <w:fldChar w:fldCharType="begin"/>
      </w:r>
      <w:r>
        <w:instrText xml:space="preserve"> HYPERLINK \l "_Toc167441095" </w:instrText>
      </w:r>
      <w:r>
        <w:fldChar w:fldCharType="separate"/>
      </w:r>
      <w:r>
        <w:rPr>
          <w:rStyle w:val="36"/>
        </w:rPr>
        <w:t>表5.5</w:t>
      </w:r>
      <w:r>
        <w:rPr>
          <w:rFonts w:asciiTheme="minorHAnsi" w:hAnsiTheme="minorHAnsi" w:eastAsiaTheme="minorEastAsia" w:cstheme="minorBidi"/>
          <w:sz w:val="21"/>
          <w:szCs w:val="22"/>
          <w14:ligatures w14:val="standardContextual"/>
        </w:rPr>
        <w:tab/>
      </w:r>
      <w:r>
        <w:rPr>
          <w:rStyle w:val="36"/>
        </w:rPr>
        <w:t>52mm环氧树脂诊断结果及误差</w:t>
      </w:r>
      <w:r>
        <w:tab/>
      </w:r>
      <w:r>
        <w:fldChar w:fldCharType="begin"/>
      </w:r>
      <w:r>
        <w:instrText xml:space="preserve"> PAGEREF _Toc167441095 \h </w:instrText>
      </w:r>
      <w:r>
        <w:fldChar w:fldCharType="separate"/>
      </w:r>
      <w:r>
        <w:t>67</w:t>
      </w:r>
      <w:r>
        <w:fldChar w:fldCharType="end"/>
      </w:r>
      <w:r>
        <w:fldChar w:fldCharType="end"/>
      </w:r>
    </w:p>
    <w:p w14:paraId="55C2BBF1">
      <w:pPr>
        <w:pStyle w:val="24"/>
        <w:tabs>
          <w:tab w:val="left" w:pos="1471"/>
          <w:tab w:val="right" w:leader="dot" w:pos="8777"/>
        </w:tabs>
        <w:ind w:left="960" w:hanging="480"/>
        <w:rPr>
          <w:rFonts w:asciiTheme="minorHAnsi" w:hAnsiTheme="minorHAnsi" w:eastAsiaTheme="minorEastAsia" w:cstheme="minorBidi"/>
          <w:sz w:val="21"/>
          <w:szCs w:val="22"/>
          <w14:ligatures w14:val="standardContextual"/>
        </w:rPr>
      </w:pPr>
      <w:r>
        <w:fldChar w:fldCharType="begin"/>
      </w:r>
      <w:r>
        <w:instrText xml:space="preserve"> HYPERLINK \l "_Toc167441096" </w:instrText>
      </w:r>
      <w:r>
        <w:fldChar w:fldCharType="separate"/>
      </w:r>
      <w:r>
        <w:rPr>
          <w:rStyle w:val="36"/>
        </w:rPr>
        <w:t>表5.6</w:t>
      </w:r>
      <w:r>
        <w:rPr>
          <w:rFonts w:asciiTheme="minorHAnsi" w:hAnsiTheme="minorHAnsi" w:eastAsiaTheme="minorEastAsia" w:cstheme="minorBidi"/>
          <w:sz w:val="21"/>
          <w:szCs w:val="22"/>
          <w14:ligatures w14:val="standardContextual"/>
        </w:rPr>
        <w:tab/>
      </w:r>
      <w:r>
        <w:rPr>
          <w:rStyle w:val="36"/>
        </w:rPr>
        <w:t>100mm环氧树脂诊断结果及误差</w:t>
      </w:r>
      <w:r>
        <w:tab/>
      </w:r>
      <w:r>
        <w:fldChar w:fldCharType="begin"/>
      </w:r>
      <w:r>
        <w:instrText xml:space="preserve"> PAGEREF _Toc167441096 \h </w:instrText>
      </w:r>
      <w:r>
        <w:fldChar w:fldCharType="separate"/>
      </w:r>
      <w:r>
        <w:t>67</w:t>
      </w:r>
      <w:r>
        <w:fldChar w:fldCharType="end"/>
      </w:r>
      <w:r>
        <w:fldChar w:fldCharType="end"/>
      </w:r>
    </w:p>
    <w:p w14:paraId="2AB0F108">
      <w:pPr>
        <w:pStyle w:val="24"/>
        <w:tabs>
          <w:tab w:val="left" w:pos="1471"/>
          <w:tab w:val="right" w:leader="dot" w:pos="8777"/>
        </w:tabs>
        <w:ind w:left="960" w:hanging="480"/>
        <w:rPr>
          <w:rFonts w:asciiTheme="minorHAnsi" w:hAnsiTheme="minorHAnsi" w:eastAsiaTheme="minorEastAsia" w:cstheme="minorBidi"/>
          <w:sz w:val="21"/>
          <w:szCs w:val="22"/>
          <w14:ligatures w14:val="standardContextual"/>
        </w:rPr>
      </w:pPr>
      <w:r>
        <w:fldChar w:fldCharType="begin"/>
      </w:r>
      <w:r>
        <w:instrText xml:space="preserve"> HYPERLINK \l "_Toc167441097" </w:instrText>
      </w:r>
      <w:r>
        <w:fldChar w:fldCharType="separate"/>
      </w:r>
      <w:r>
        <w:rPr>
          <w:rStyle w:val="36"/>
        </w:rPr>
        <w:t>表5.7</w:t>
      </w:r>
      <w:r>
        <w:rPr>
          <w:rFonts w:asciiTheme="minorHAnsi" w:hAnsiTheme="minorHAnsi" w:eastAsiaTheme="minorEastAsia" w:cstheme="minorBidi"/>
          <w:sz w:val="21"/>
          <w:szCs w:val="22"/>
          <w14:ligatures w14:val="standardContextual"/>
        </w:rPr>
        <w:tab/>
      </w:r>
      <w:r>
        <w:rPr>
          <w:rStyle w:val="36"/>
        </w:rPr>
        <w:t>8kV和12kV诊断结果</w:t>
      </w:r>
      <w:r>
        <w:tab/>
      </w:r>
      <w:r>
        <w:fldChar w:fldCharType="begin"/>
      </w:r>
      <w:r>
        <w:instrText xml:space="preserve"> PAGEREF _Toc167441097 \h </w:instrText>
      </w:r>
      <w:r>
        <w:fldChar w:fldCharType="separate"/>
      </w:r>
      <w:r>
        <w:t>79</w:t>
      </w:r>
      <w:r>
        <w:fldChar w:fldCharType="end"/>
      </w:r>
      <w:r>
        <w:fldChar w:fldCharType="end"/>
      </w:r>
    </w:p>
    <w:p w14:paraId="611B89A2">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fldChar w:fldCharType="begin"/>
      </w:r>
      <w:r>
        <w:instrText xml:space="preserve"> HYPERLINK \l "_Toc167441098" </w:instrText>
      </w:r>
      <w:r>
        <w:fldChar w:fldCharType="separate"/>
      </w:r>
      <w:r>
        <w:rPr>
          <w:rStyle w:val="36"/>
        </w:rPr>
        <w:t>表5.8</w:t>
      </w:r>
      <w:r>
        <w:rPr>
          <w:rFonts w:asciiTheme="minorHAnsi" w:hAnsiTheme="minorHAnsi" w:eastAsiaTheme="minorEastAsia" w:cstheme="minorBidi"/>
          <w:sz w:val="21"/>
          <w:szCs w:val="22"/>
          <w14:ligatures w14:val="standardContextual"/>
        </w:rPr>
        <w:tab/>
      </w:r>
      <w:r>
        <w:rPr>
          <w:rStyle w:val="36"/>
        </w:rPr>
        <w:t>不同电压下电子密度诊断结果</w:t>
      </w:r>
      <w:r>
        <w:tab/>
      </w:r>
      <w:r>
        <w:fldChar w:fldCharType="begin"/>
      </w:r>
      <w:r>
        <w:instrText xml:space="preserve"> PAGEREF _Toc167441098 \h </w:instrText>
      </w:r>
      <w:r>
        <w:fldChar w:fldCharType="separate"/>
      </w:r>
      <w:r>
        <w:t>79</w:t>
      </w:r>
      <w:r>
        <w:fldChar w:fldCharType="end"/>
      </w:r>
      <w:r>
        <w:fldChar w:fldCharType="end"/>
      </w:r>
    </w:p>
    <w:p w14:paraId="787C01DC">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fldChar w:fldCharType="begin"/>
      </w:r>
      <w:r>
        <w:instrText xml:space="preserve"> HYPERLINK \l "_Toc167441099" </w:instrText>
      </w:r>
      <w:r>
        <w:fldChar w:fldCharType="separate"/>
      </w:r>
      <w:r>
        <w:rPr>
          <w:rStyle w:val="36"/>
        </w:rPr>
        <w:t>表5.9</w:t>
      </w:r>
      <w:r>
        <w:rPr>
          <w:rFonts w:asciiTheme="minorHAnsi" w:hAnsiTheme="minorHAnsi" w:eastAsiaTheme="minorEastAsia" w:cstheme="minorBidi"/>
          <w:sz w:val="21"/>
          <w:szCs w:val="22"/>
          <w14:ligatures w14:val="standardContextual"/>
        </w:rPr>
        <w:tab/>
      </w:r>
      <w:r>
        <w:rPr>
          <w:rStyle w:val="36"/>
        </w:rPr>
        <w:t>与矢网的电子密度诊断结果对比</w:t>
      </w:r>
      <w:r>
        <w:tab/>
      </w:r>
      <w:r>
        <w:fldChar w:fldCharType="begin"/>
      </w:r>
      <w:r>
        <w:instrText xml:space="preserve"> PAGEREF _Toc167441099 \h </w:instrText>
      </w:r>
      <w:r>
        <w:fldChar w:fldCharType="separate"/>
      </w:r>
      <w:r>
        <w:t>80</w:t>
      </w:r>
      <w:r>
        <w:fldChar w:fldCharType="end"/>
      </w:r>
      <w:r>
        <w:fldChar w:fldCharType="end"/>
      </w:r>
    </w:p>
    <w:p w14:paraId="48605859">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fldChar w:fldCharType="begin"/>
      </w:r>
      <w:r>
        <w:instrText xml:space="preserve"> HYPERLINK \l "_Toc167441100" </w:instrText>
      </w:r>
      <w:r>
        <w:fldChar w:fldCharType="separate"/>
      </w:r>
      <w:r>
        <w:rPr>
          <w:rStyle w:val="36"/>
        </w:rPr>
        <w:t>表5.10</w:t>
      </w:r>
      <w:r>
        <w:rPr>
          <w:rFonts w:asciiTheme="minorHAnsi" w:hAnsiTheme="minorHAnsi" w:eastAsiaTheme="minorEastAsia" w:cstheme="minorBidi"/>
          <w:sz w:val="21"/>
          <w:szCs w:val="22"/>
          <w14:ligatures w14:val="standardContextual"/>
        </w:rPr>
        <w:tab/>
      </w:r>
      <w:r>
        <w:rPr>
          <w:rStyle w:val="36"/>
        </w:rPr>
        <w:t>33.2~34GHz频率时400mm处诊断结果</w:t>
      </w:r>
      <w:r>
        <w:tab/>
      </w:r>
      <w:r>
        <w:fldChar w:fldCharType="begin"/>
      </w:r>
      <w:r>
        <w:instrText xml:space="preserve"> PAGEREF _Toc167441100 \h </w:instrText>
      </w:r>
      <w:r>
        <w:fldChar w:fldCharType="separate"/>
      </w:r>
      <w:r>
        <w:t>82</w:t>
      </w:r>
      <w:r>
        <w:fldChar w:fldCharType="end"/>
      </w:r>
      <w:r>
        <w:fldChar w:fldCharType="end"/>
      </w:r>
    </w:p>
    <w:p w14:paraId="332A18E3">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fldChar w:fldCharType="begin"/>
      </w:r>
      <w:r>
        <w:instrText xml:space="preserve"> HYPERLINK \l "_Toc167441101" </w:instrText>
      </w:r>
      <w:r>
        <w:fldChar w:fldCharType="separate"/>
      </w:r>
      <w:r>
        <w:rPr>
          <w:rStyle w:val="36"/>
        </w:rPr>
        <w:t>表5.11</w:t>
      </w:r>
      <w:r>
        <w:rPr>
          <w:rFonts w:asciiTheme="minorHAnsi" w:hAnsiTheme="minorHAnsi" w:eastAsiaTheme="minorEastAsia" w:cstheme="minorBidi"/>
          <w:sz w:val="21"/>
          <w:szCs w:val="22"/>
          <w14:ligatures w14:val="standardContextual"/>
        </w:rPr>
        <w:tab/>
      </w:r>
      <w:r>
        <w:rPr>
          <w:rStyle w:val="36"/>
        </w:rPr>
        <w:t>36.2~37GHz频率时400mm处诊断结果</w:t>
      </w:r>
      <w:r>
        <w:tab/>
      </w:r>
      <w:r>
        <w:fldChar w:fldCharType="begin"/>
      </w:r>
      <w:r>
        <w:instrText xml:space="preserve"> PAGEREF _Toc167441101 \h </w:instrText>
      </w:r>
      <w:r>
        <w:fldChar w:fldCharType="separate"/>
      </w:r>
      <w:r>
        <w:t>83</w:t>
      </w:r>
      <w:r>
        <w:fldChar w:fldCharType="end"/>
      </w:r>
      <w:r>
        <w:fldChar w:fldCharType="end"/>
      </w:r>
    </w:p>
    <w:p w14:paraId="71098C09">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fldChar w:fldCharType="begin"/>
      </w:r>
      <w:r>
        <w:instrText xml:space="preserve"> HYPERLINK \l "_Toc167441102" </w:instrText>
      </w:r>
      <w:r>
        <w:fldChar w:fldCharType="separate"/>
      </w:r>
      <w:r>
        <w:rPr>
          <w:rStyle w:val="36"/>
        </w:rPr>
        <w:t>表5.12</w:t>
      </w:r>
      <w:r>
        <w:rPr>
          <w:rFonts w:asciiTheme="minorHAnsi" w:hAnsiTheme="minorHAnsi" w:eastAsiaTheme="minorEastAsia" w:cstheme="minorBidi"/>
          <w:sz w:val="21"/>
          <w:szCs w:val="22"/>
          <w14:ligatures w14:val="standardContextual"/>
        </w:rPr>
        <w:tab/>
      </w:r>
      <w:r>
        <w:rPr>
          <w:rStyle w:val="36"/>
        </w:rPr>
        <w:t>33.2~34GHz频率时600mm处诊断结果</w:t>
      </w:r>
      <w:r>
        <w:tab/>
      </w:r>
      <w:r>
        <w:fldChar w:fldCharType="begin"/>
      </w:r>
      <w:r>
        <w:instrText xml:space="preserve"> PAGEREF _Toc167441102 \h </w:instrText>
      </w:r>
      <w:r>
        <w:fldChar w:fldCharType="separate"/>
      </w:r>
      <w:r>
        <w:t>83</w:t>
      </w:r>
      <w:r>
        <w:fldChar w:fldCharType="end"/>
      </w:r>
      <w:r>
        <w:fldChar w:fldCharType="end"/>
      </w:r>
    </w:p>
    <w:p w14:paraId="164E31BA">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fldChar w:fldCharType="begin"/>
      </w:r>
      <w:r>
        <w:instrText xml:space="preserve"> HYPERLINK \l "_Toc167441103" </w:instrText>
      </w:r>
      <w:r>
        <w:fldChar w:fldCharType="separate"/>
      </w:r>
      <w:r>
        <w:rPr>
          <w:rStyle w:val="36"/>
        </w:rPr>
        <w:t>表5.13</w:t>
      </w:r>
      <w:r>
        <w:rPr>
          <w:rFonts w:asciiTheme="minorHAnsi" w:hAnsiTheme="minorHAnsi" w:eastAsiaTheme="minorEastAsia" w:cstheme="minorBidi"/>
          <w:sz w:val="21"/>
          <w:szCs w:val="22"/>
          <w14:ligatures w14:val="standardContextual"/>
        </w:rPr>
        <w:tab/>
      </w:r>
      <w:r>
        <w:rPr>
          <w:rStyle w:val="36"/>
        </w:rPr>
        <w:t>1.2GHz带宽下极限分辨率测试结果</w:t>
      </w:r>
      <w:r>
        <w:tab/>
      </w:r>
      <w:r>
        <w:fldChar w:fldCharType="begin"/>
      </w:r>
      <w:r>
        <w:instrText xml:space="preserve"> PAGEREF _Toc167441103 \h </w:instrText>
      </w:r>
      <w:r>
        <w:fldChar w:fldCharType="separate"/>
      </w:r>
      <w:r>
        <w:t>84</w:t>
      </w:r>
      <w:r>
        <w:fldChar w:fldCharType="end"/>
      </w:r>
      <w:r>
        <w:fldChar w:fldCharType="end"/>
      </w:r>
    </w:p>
    <w:p w14:paraId="50D67B2B">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fldChar w:fldCharType="begin"/>
      </w:r>
      <w:r>
        <w:instrText xml:space="preserve"> HYPERLINK \l "_Toc167441104" </w:instrText>
      </w:r>
      <w:r>
        <w:fldChar w:fldCharType="separate"/>
      </w:r>
      <w:r>
        <w:rPr>
          <w:rStyle w:val="36"/>
        </w:rPr>
        <w:t>表5.14</w:t>
      </w:r>
      <w:r>
        <w:rPr>
          <w:rFonts w:asciiTheme="minorHAnsi" w:hAnsiTheme="minorHAnsi" w:eastAsiaTheme="minorEastAsia" w:cstheme="minorBidi"/>
          <w:sz w:val="21"/>
          <w:szCs w:val="22"/>
          <w14:ligatures w14:val="standardContextual"/>
        </w:rPr>
        <w:tab/>
      </w:r>
      <w:r>
        <w:rPr>
          <w:rStyle w:val="36"/>
        </w:rPr>
        <w:t>1.44GHz带宽下极限分辨率测试结果</w:t>
      </w:r>
      <w:r>
        <w:tab/>
      </w:r>
      <w:r>
        <w:fldChar w:fldCharType="begin"/>
      </w:r>
      <w:r>
        <w:instrText xml:space="preserve"> PAGEREF _Toc167441104 \h </w:instrText>
      </w:r>
      <w:r>
        <w:fldChar w:fldCharType="separate"/>
      </w:r>
      <w:r>
        <w:t>84</w:t>
      </w:r>
      <w:r>
        <w:fldChar w:fldCharType="end"/>
      </w:r>
      <w:r>
        <w:fldChar w:fldCharType="end"/>
      </w:r>
    </w:p>
    <w:p w14:paraId="4F400F37">
      <w:pPr>
        <w:pStyle w:val="24"/>
        <w:tabs>
          <w:tab w:val="left" w:pos="1470"/>
          <w:tab w:val="right" w:leader="dot" w:pos="8777"/>
        </w:tabs>
        <w:ind w:left="960" w:hanging="480"/>
        <w:rPr>
          <w:rFonts w:asciiTheme="minorHAnsi" w:hAnsiTheme="minorHAnsi" w:eastAsiaTheme="minorEastAsia" w:cstheme="minorBidi"/>
          <w:sz w:val="21"/>
          <w:szCs w:val="22"/>
          <w14:ligatures w14:val="standardContextual"/>
        </w:rPr>
      </w:pPr>
      <w:r>
        <w:fldChar w:fldCharType="begin"/>
      </w:r>
      <w:r>
        <w:instrText xml:space="preserve"> HYPERLINK \l "_Toc167441105" </w:instrText>
      </w:r>
      <w:r>
        <w:fldChar w:fldCharType="separate"/>
      </w:r>
      <w:r>
        <w:rPr>
          <w:rStyle w:val="36"/>
        </w:rPr>
        <w:t>表5.15</w:t>
      </w:r>
      <w:r>
        <w:rPr>
          <w:rFonts w:asciiTheme="minorHAnsi" w:hAnsiTheme="minorHAnsi" w:eastAsiaTheme="minorEastAsia" w:cstheme="minorBidi"/>
          <w:sz w:val="21"/>
          <w:szCs w:val="22"/>
          <w14:ligatures w14:val="standardContextual"/>
        </w:rPr>
        <w:tab/>
      </w:r>
      <w:r>
        <w:rPr>
          <w:rStyle w:val="36"/>
        </w:rPr>
        <w:t>1.6GHz带宽下极限分辨率测试结果</w:t>
      </w:r>
      <w:r>
        <w:tab/>
      </w:r>
      <w:r>
        <w:fldChar w:fldCharType="begin"/>
      </w:r>
      <w:r>
        <w:instrText xml:space="preserve"> PAGEREF _Toc167441105 \h </w:instrText>
      </w:r>
      <w:r>
        <w:fldChar w:fldCharType="separate"/>
      </w:r>
      <w:r>
        <w:t>84</w:t>
      </w:r>
      <w:r>
        <w:fldChar w:fldCharType="end"/>
      </w:r>
      <w:r>
        <w:fldChar w:fldCharType="end"/>
      </w:r>
    </w:p>
    <w:p w14:paraId="67948EB7">
      <w:pPr>
        <w:pStyle w:val="46"/>
        <w:topLinePunct/>
        <w:rPr>
          <w:sz w:val="21"/>
        </w:rPr>
      </w:pPr>
      <w:r>
        <w:rPr>
          <w:sz w:val="21"/>
        </w:rPr>
        <w:fldChar w:fldCharType="end"/>
      </w:r>
    </w:p>
    <w:p w14:paraId="4933E53C">
      <w:pPr>
        <w:widowControl/>
        <w:spacing w:line="240" w:lineRule="auto"/>
        <w:ind w:firstLine="0" w:firstLineChars="0"/>
        <w:jc w:val="left"/>
      </w:pPr>
      <w:r>
        <w:br w:type="page"/>
      </w:r>
    </w:p>
    <w:p w14:paraId="66EE1812">
      <w:pPr>
        <w:ind w:firstLine="0" w:firstLineChars="0"/>
      </w:pPr>
    </w:p>
    <w:p w14:paraId="571E4C3F">
      <w:pPr>
        <w:ind w:firstLine="0" w:firstLineChars="0"/>
        <w:sectPr>
          <w:headerReference r:id="rId13" w:type="default"/>
          <w:footnotePr>
            <w:numFmt w:val="decimalEnclosedCircleChinese"/>
            <w:numRestart w:val="eachSect"/>
          </w:footnotePr>
          <w:type w:val="oddPage"/>
          <w:pgSz w:w="11907" w:h="16840"/>
          <w:pgMar w:top="1701" w:right="1418" w:bottom="1134" w:left="1418" w:header="1134" w:footer="992" w:gutter="284"/>
          <w:pgNumType w:fmt="upperRoman"/>
          <w:cols w:space="425" w:num="1"/>
          <w:docGrid w:linePitch="384" w:charSpace="7430"/>
        </w:sectPr>
      </w:pPr>
    </w:p>
    <w:p w14:paraId="405FE155">
      <w:pPr>
        <w:pStyle w:val="41"/>
      </w:pPr>
      <w:bookmarkStart w:id="16" w:name="_Toc167440850"/>
      <w:r>
        <w:rPr>
          <w:rFonts w:hint="eastAsia"/>
        </w:rPr>
        <w:t>符号对照表</w:t>
      </w:r>
      <w:bookmarkEnd w:id="16"/>
    </w:p>
    <w:p w14:paraId="3954488E">
      <w:pPr>
        <w:pStyle w:val="68"/>
      </w:pPr>
      <w:r>
        <w:tab/>
      </w:r>
      <w:r>
        <w:t>符号</w:t>
      </w:r>
      <w:r>
        <w:tab/>
      </w:r>
      <w:r>
        <w:t>符号名称</w:t>
      </w:r>
    </w:p>
    <w:p w14:paraId="71703EC8">
      <w:pPr>
        <w:pStyle w:val="68"/>
      </w:pPr>
      <w:r>
        <w:tab/>
      </w:r>
      <w:r>
        <w:rPr>
          <w:rStyle w:val="64"/>
        </w:rPr>
        <w:t>$f$</w:t>
      </w:r>
      <w:r>
        <w:t xml:space="preserve"> </w:t>
      </w:r>
      <w:r>
        <w:tab/>
      </w:r>
      <w:r>
        <w:rPr>
          <w:rFonts w:hint="eastAsia"/>
        </w:rPr>
        <w:t>电磁波频率</w:t>
      </w:r>
    </w:p>
    <w:p w14:paraId="7A257EA1">
      <w:pPr>
        <w:pStyle w:val="68"/>
      </w:pPr>
      <w:r>
        <w:tab/>
      </w:r>
      <w:r>
        <w:rPr>
          <w:rStyle w:val="64"/>
        </w:rPr>
        <w:t>$\omega $</w:t>
      </w:r>
      <w:r>
        <w:tab/>
      </w:r>
      <w:r>
        <w:rPr>
          <w:rFonts w:hint="eastAsia"/>
        </w:rPr>
        <w:t>电磁波角频率</w:t>
      </w:r>
    </w:p>
    <w:p w14:paraId="0B77EFFC">
      <w:pPr>
        <w:pStyle w:val="68"/>
      </w:pPr>
      <w:r>
        <w:tab/>
      </w:r>
      <w:r>
        <w:rPr>
          <w:rStyle w:val="64"/>
        </w:rPr>
        <w:t>$c$</w:t>
      </w:r>
      <w:r>
        <w:tab/>
      </w:r>
      <w:r>
        <w:rPr>
          <w:rFonts w:hint="eastAsia"/>
        </w:rPr>
        <w:t>光速</w:t>
      </w:r>
    </w:p>
    <w:p w14:paraId="133E5604">
      <w:pPr>
        <w:pStyle w:val="68"/>
      </w:pPr>
      <w:r>
        <w:tab/>
      </w:r>
      <w:r>
        <w:rPr>
          <w:rStyle w:val="64"/>
        </w:rPr>
        <w:t>${n_e}$</w:t>
      </w:r>
      <w:r>
        <w:tab/>
      </w:r>
      <w:r>
        <w:rPr>
          <w:rFonts w:hint="eastAsia"/>
        </w:rPr>
        <w:t>等离子体电子密度</w:t>
      </w:r>
    </w:p>
    <w:p w14:paraId="59768528">
      <w:pPr>
        <w:pStyle w:val="68"/>
        <w:rPr>
          <w:rFonts w:hint="eastAsia" w:ascii="宋体" w:hAnsi="宋体"/>
        </w:rPr>
      </w:pPr>
      <w:r>
        <w:tab/>
      </w:r>
      <w:r>
        <w:rPr>
          <w:rStyle w:val="64"/>
        </w:rPr>
        <w:t>${\omega _p}$</w:t>
      </w:r>
      <w:r>
        <w:tab/>
      </w:r>
      <w:r>
        <w:rPr>
          <w:rFonts w:hint="eastAsia" w:ascii="宋体" w:hAnsi="宋体"/>
        </w:rPr>
        <w:t>等离子体震荡角频率</w:t>
      </w:r>
    </w:p>
    <w:p w14:paraId="32DF4818">
      <w:pPr>
        <w:pStyle w:val="68"/>
      </w:pPr>
      <w:r>
        <w:tab/>
      </w:r>
      <w:r>
        <w:rPr>
          <w:rStyle w:val="64"/>
        </w:rPr>
        <w:t>${f_p}$</w:t>
      </w:r>
      <w:r>
        <w:tab/>
      </w:r>
      <w:r>
        <w:rPr>
          <w:rFonts w:hint="eastAsia" w:ascii="宋体" w:hAnsi="宋体"/>
        </w:rPr>
        <w:t>等离子体特征频率</w:t>
      </w:r>
    </w:p>
    <w:p w14:paraId="3ADD7E29">
      <w:pPr>
        <w:pStyle w:val="68"/>
      </w:pPr>
      <w:r>
        <w:tab/>
      </w:r>
      <w:r>
        <w:rPr>
          <w:rStyle w:val="64"/>
        </w:rPr>
        <w:t>${v_e}$</w:t>
      </w:r>
      <w:r>
        <w:tab/>
      </w:r>
      <w:r>
        <w:rPr>
          <w:rFonts w:hint="eastAsia"/>
        </w:rPr>
        <w:t>等离子体碰撞频率</w:t>
      </w:r>
    </w:p>
    <w:p w14:paraId="5E3DC2A2">
      <w:pPr>
        <w:pStyle w:val="68"/>
      </w:pPr>
      <w:r>
        <w:tab/>
      </w:r>
      <w:r>
        <w:rPr>
          <w:rStyle w:val="64"/>
        </w:rPr>
        <w:t>${T_e}$</w:t>
      </w:r>
      <w:r>
        <w:tab/>
      </w:r>
      <w:r>
        <w:rPr>
          <w:rFonts w:hint="eastAsia"/>
        </w:rPr>
        <w:t>等离子体电子温度</w:t>
      </w:r>
    </w:p>
    <w:p w14:paraId="0260B598">
      <w:pPr>
        <w:pStyle w:val="68"/>
      </w:pPr>
      <w:r>
        <w:rPr>
          <w:rFonts w:hint="eastAsia"/>
        </w:rPr>
        <w:t xml:space="preserve"> </w:t>
      </w:r>
      <w:r>
        <w:t xml:space="preserve">  </w:t>
      </w:r>
      <w:r>
        <w:tab/>
      </w:r>
      <w:r>
        <w:rPr>
          <w:rStyle w:val="64"/>
        </w:rPr>
        <w:t>$e$</w:t>
      </w:r>
      <w:r>
        <w:tab/>
      </w:r>
      <w:r>
        <w:rPr>
          <w:rFonts w:hint="eastAsia"/>
        </w:rPr>
        <w:t>电子电荷量</w:t>
      </w:r>
    </w:p>
    <w:p w14:paraId="53233B8B">
      <w:pPr>
        <w:pStyle w:val="68"/>
      </w:pPr>
      <w:r>
        <w:tab/>
      </w:r>
      <w:r>
        <w:rPr>
          <w:rStyle w:val="64"/>
        </w:rPr>
        <w:t>${m_e}$</w:t>
      </w:r>
      <w:r>
        <w:t xml:space="preserve"> </w:t>
      </w:r>
      <w:r>
        <w:tab/>
      </w:r>
      <w:r>
        <w:rPr>
          <w:rFonts w:hint="eastAsia"/>
        </w:rPr>
        <w:t>电子质量</w:t>
      </w:r>
    </w:p>
    <w:p w14:paraId="09B02D9A">
      <w:pPr>
        <w:pStyle w:val="68"/>
      </w:pPr>
      <w:r>
        <w:tab/>
      </w:r>
      <w:r>
        <w:rPr>
          <w:rStyle w:val="64"/>
        </w:rPr>
        <w:t>$\varepsilon $</w:t>
      </w:r>
      <w:r>
        <w:t xml:space="preserve"> </w:t>
      </w:r>
      <w:r>
        <w:tab/>
      </w:r>
      <w:r>
        <w:rPr>
          <w:rFonts w:hint="eastAsia"/>
        </w:rPr>
        <w:t>介电常数</w:t>
      </w:r>
    </w:p>
    <w:p w14:paraId="46D218DA">
      <w:pPr>
        <w:pStyle w:val="68"/>
      </w:pPr>
      <w:r>
        <w:tab/>
      </w:r>
      <w:r>
        <w:rPr>
          <w:rStyle w:val="64"/>
        </w:rPr>
        <w:t>${\varepsilon _0}$</w:t>
      </w:r>
      <w:r>
        <w:tab/>
      </w:r>
      <w:r>
        <w:rPr>
          <w:rFonts w:hint="eastAsia"/>
        </w:rPr>
        <w:t>真空介电常数</w:t>
      </w:r>
    </w:p>
    <w:p w14:paraId="05104DF9">
      <w:pPr>
        <w:pStyle w:val="68"/>
      </w:pPr>
      <w:r>
        <w:tab/>
      </w:r>
      <w:r>
        <w:rPr>
          <w:rStyle w:val="64"/>
        </w:rPr>
        <w:t>${\varepsilon _r}$</w:t>
      </w:r>
      <w:r>
        <w:t xml:space="preserve"> </w:t>
      </w:r>
      <w:r>
        <w:tab/>
      </w:r>
      <w:r>
        <w:rPr>
          <w:rFonts w:hint="eastAsia"/>
        </w:rPr>
        <w:t>相对介电常数</w:t>
      </w:r>
    </w:p>
    <w:p w14:paraId="5D8BF6B6">
      <w:pPr>
        <w:pStyle w:val="68"/>
      </w:pPr>
      <w:r>
        <w:tab/>
      </w:r>
      <w:r>
        <w:rPr>
          <w:rStyle w:val="64"/>
        </w:rPr>
        <w:t>$\mu $</w:t>
      </w:r>
      <w:r>
        <w:t xml:space="preserve"> </w:t>
      </w:r>
      <w:r>
        <w:tab/>
      </w:r>
      <w:r>
        <w:rPr>
          <w:rFonts w:hint="eastAsia"/>
        </w:rPr>
        <w:t>磁导率</w:t>
      </w:r>
    </w:p>
    <w:p w14:paraId="5D84993B">
      <w:pPr>
        <w:pStyle w:val="68"/>
      </w:pPr>
      <w:r>
        <w:tab/>
      </w:r>
      <w:r>
        <w:rPr>
          <w:rStyle w:val="64"/>
        </w:rPr>
        <w:t>${\mu _0}$</w:t>
      </w:r>
      <w:r>
        <w:t xml:space="preserve"> </w:t>
      </w:r>
      <w:r>
        <w:tab/>
      </w:r>
      <w:r>
        <w:rPr>
          <w:rFonts w:hint="eastAsia"/>
        </w:rPr>
        <w:t>真空磁导率</w:t>
      </w:r>
    </w:p>
    <w:p w14:paraId="42F7429A">
      <w:pPr>
        <w:pStyle w:val="68"/>
      </w:pPr>
      <w:r>
        <w:tab/>
      </w:r>
      <w:r>
        <w:rPr>
          <w:rStyle w:val="64"/>
        </w:rPr>
        <w:t>$\lambda $</w:t>
      </w:r>
      <w:r>
        <w:t xml:space="preserve"> </w:t>
      </w:r>
      <w:r>
        <w:tab/>
      </w:r>
      <w:r>
        <w:rPr>
          <w:rFonts w:hint="eastAsia"/>
        </w:rPr>
        <w:t>电磁波波长</w:t>
      </w:r>
    </w:p>
    <w:p w14:paraId="22C2E371">
      <w:pPr>
        <w:pStyle w:val="68"/>
      </w:pPr>
      <w:r>
        <w:tab/>
      </w:r>
      <w:r>
        <w:rPr>
          <w:rStyle w:val="64"/>
        </w:rPr>
        <w:t>${\lambda _g}$</w:t>
      </w:r>
      <w:r>
        <w:t xml:space="preserve"> </w:t>
      </w:r>
      <w:r>
        <w:tab/>
      </w:r>
      <w:r>
        <w:rPr>
          <w:rFonts w:hint="eastAsia"/>
        </w:rPr>
        <w:t>等离子体中电磁波波长</w:t>
      </w:r>
    </w:p>
    <w:p w14:paraId="299C2332">
      <w:pPr>
        <w:pStyle w:val="68"/>
      </w:pPr>
      <w:r>
        <w:tab/>
      </w:r>
      <w:r>
        <w:rPr>
          <w:rStyle w:val="64"/>
        </w:rPr>
        <w:t>$k$</w:t>
      </w:r>
      <w:r>
        <w:tab/>
      </w:r>
      <w:r>
        <w:rPr>
          <w:rFonts w:hint="eastAsia"/>
        </w:rPr>
        <w:t>玻尔兹曼常数</w:t>
      </w:r>
    </w:p>
    <w:p w14:paraId="65FEF108">
      <w:pPr>
        <w:pStyle w:val="68"/>
      </w:pPr>
      <w:r>
        <w:tab/>
      </w:r>
      <w:r>
        <w:rPr>
          <w:rStyle w:val="64"/>
        </w:rPr>
        <w:t>$\tau $</w:t>
      </w:r>
      <w:r>
        <w:t xml:space="preserve"> </w:t>
      </w:r>
      <w:r>
        <w:tab/>
      </w:r>
      <w:r>
        <w:rPr>
          <w:rFonts w:hint="eastAsia"/>
        </w:rPr>
        <w:t>传播时延</w:t>
      </w:r>
    </w:p>
    <w:p w14:paraId="00719EC5">
      <w:pPr>
        <w:pStyle w:val="68"/>
      </w:pPr>
      <w:r>
        <w:tab/>
      </w:r>
      <w:r>
        <w:rPr>
          <w:rStyle w:val="64"/>
        </w:rPr>
        <w:t>$B$</w:t>
      </w:r>
      <w:r>
        <w:tab/>
      </w:r>
      <w:r>
        <w:rPr>
          <w:rFonts w:hint="eastAsia"/>
        </w:rPr>
        <w:t>调频带宽</w:t>
      </w:r>
    </w:p>
    <w:p w14:paraId="21E49D65">
      <w:pPr>
        <w:pStyle w:val="68"/>
      </w:pPr>
      <w:r>
        <w:tab/>
      </w:r>
      <w:r>
        <w:rPr>
          <w:rStyle w:val="64"/>
        </w:rPr>
        <w:t>${T_m}$</w:t>
      </w:r>
      <w:r>
        <w:tab/>
      </w:r>
      <w:r>
        <w:rPr>
          <w:rFonts w:hint="eastAsia"/>
        </w:rPr>
        <w:t>调频周期</w:t>
      </w:r>
      <w:r>
        <w:t xml:space="preserve"> </w:t>
      </w:r>
    </w:p>
    <w:p w14:paraId="5A76FD83">
      <w:pPr>
        <w:pStyle w:val="68"/>
      </w:pPr>
      <w:r>
        <w:tab/>
      </w:r>
      <w:r>
        <w:rPr>
          <w:rStyle w:val="64"/>
        </w:rPr>
        <w:t>${f_D}$</w:t>
      </w:r>
      <w:r>
        <w:tab/>
      </w:r>
      <w:r>
        <w:rPr>
          <w:rFonts w:hint="eastAsia"/>
        </w:rPr>
        <w:t>差频信号频率</w:t>
      </w:r>
    </w:p>
    <w:p w14:paraId="21E87D6B">
      <w:pPr>
        <w:pStyle w:val="68"/>
      </w:pPr>
      <w:r>
        <w:tab/>
      </w:r>
      <w:r>
        <w:rPr>
          <w:rStyle w:val="64"/>
        </w:rPr>
        <w:t>$d$</w:t>
      </w:r>
      <w:r>
        <w:t xml:space="preserve"> </w:t>
      </w:r>
      <w:r>
        <w:tab/>
      </w:r>
      <w:r>
        <w:rPr>
          <w:rFonts w:hint="eastAsia"/>
        </w:rPr>
        <w:t>等离子体厚度</w:t>
      </w:r>
    </w:p>
    <w:p w14:paraId="6F20468A">
      <w:pPr>
        <w:pStyle w:val="68"/>
      </w:pPr>
      <w:r>
        <w:tab/>
      </w:r>
      <w:r>
        <w:rPr>
          <w:rStyle w:val="64"/>
        </w:rPr>
        <w:t>$\alpha $</w:t>
      </w:r>
      <w:r>
        <w:t xml:space="preserve"> </w:t>
      </w:r>
      <w:r>
        <w:tab/>
      </w:r>
      <w:r>
        <w:rPr>
          <w:rFonts w:hint="eastAsia"/>
        </w:rPr>
        <w:t>衰减常数</w:t>
      </w:r>
    </w:p>
    <w:p w14:paraId="443EFFB6">
      <w:pPr>
        <w:pStyle w:val="68"/>
      </w:pPr>
      <w:r>
        <w:tab/>
      </w:r>
      <w:r>
        <w:rPr>
          <w:rStyle w:val="64"/>
        </w:rPr>
        <w:t>$\beta $</w:t>
      </w:r>
      <w:r>
        <w:t xml:space="preserve"> </w:t>
      </w:r>
      <w:r>
        <w:tab/>
      </w:r>
      <w:r>
        <w:rPr>
          <w:rFonts w:hint="eastAsia"/>
        </w:rPr>
        <w:t>相移常数</w:t>
      </w:r>
    </w:p>
    <w:p w14:paraId="3FE4D264">
      <w:pPr>
        <w:pStyle w:val="68"/>
      </w:pPr>
      <w:r>
        <w:tab/>
      </w:r>
      <w:r>
        <w:rPr>
          <w:rStyle w:val="64"/>
        </w:rPr>
        <w:t>$E$</w:t>
      </w:r>
      <w:r>
        <w:tab/>
      </w:r>
      <w:r>
        <w:rPr>
          <w:rFonts w:hint="eastAsia"/>
        </w:rPr>
        <w:t>电场强度</w:t>
      </w:r>
    </w:p>
    <w:p w14:paraId="48682809">
      <w:pPr>
        <w:pStyle w:val="68"/>
      </w:pPr>
      <w:r>
        <w:tab/>
      </w:r>
      <w:r>
        <w:rPr>
          <w:rStyle w:val="64"/>
        </w:rPr>
        <w:t>$H$</w:t>
      </w:r>
      <w:r>
        <w:tab/>
      </w:r>
      <w:r>
        <w:rPr>
          <w:rFonts w:hint="eastAsia"/>
        </w:rPr>
        <w:t>磁场强度</w:t>
      </w:r>
      <w:r>
        <w:t xml:space="preserve"> </w:t>
      </w:r>
    </w:p>
    <w:p w14:paraId="5ED4B5B6">
      <w:pPr>
        <w:pStyle w:val="68"/>
      </w:pPr>
      <w:r>
        <w:tab/>
      </w:r>
      <w:r>
        <w:rPr>
          <w:rStyle w:val="64"/>
        </w:rPr>
        <w:t>$D$</w:t>
      </w:r>
      <w:r>
        <w:t xml:space="preserve"> </w:t>
      </w:r>
      <w:r>
        <w:tab/>
      </w:r>
      <w:r>
        <w:rPr>
          <w:rFonts w:hint="eastAsia"/>
        </w:rPr>
        <w:t>电位移</w:t>
      </w:r>
    </w:p>
    <w:p w14:paraId="214BFC28">
      <w:pPr>
        <w:pStyle w:val="68"/>
      </w:pPr>
      <w:r>
        <w:tab/>
      </w:r>
      <w:r>
        <w:rPr>
          <w:rStyle w:val="64"/>
        </w:rPr>
        <w:t>${\alpha _e}$</w:t>
      </w:r>
      <w:r>
        <w:t xml:space="preserve"> </w:t>
      </w:r>
      <w:r>
        <w:tab/>
      </w:r>
      <w:r>
        <w:rPr>
          <w:rFonts w:hint="eastAsia"/>
        </w:rPr>
        <w:t>磁化率</w:t>
      </w:r>
    </w:p>
    <w:p w14:paraId="7B1559BA">
      <w:pPr>
        <w:widowControl/>
        <w:spacing w:line="240" w:lineRule="auto"/>
        <w:ind w:firstLine="0" w:firstLineChars="0"/>
        <w:jc w:val="left"/>
      </w:pPr>
      <w:r>
        <w:br w:type="page"/>
      </w:r>
    </w:p>
    <w:p w14:paraId="7D20348B">
      <w:pPr>
        <w:ind w:firstLine="480"/>
      </w:pPr>
    </w:p>
    <w:p w14:paraId="578CC1FD">
      <w:pPr>
        <w:ind w:firstLine="0" w:firstLineChars="0"/>
        <w:rPr>
          <w:szCs w:val="24"/>
        </w:rPr>
        <w:sectPr>
          <w:headerReference r:id="rId14" w:type="default"/>
          <w:footnotePr>
            <w:numFmt w:val="decimalEnclosedCircleChinese"/>
            <w:numRestart w:val="eachSect"/>
          </w:footnotePr>
          <w:type w:val="oddPage"/>
          <w:pgSz w:w="11907" w:h="16840"/>
          <w:pgMar w:top="1701" w:right="1418" w:bottom="1134" w:left="1418" w:header="1134" w:footer="992" w:gutter="284"/>
          <w:pgNumType w:fmt="upperRoman"/>
          <w:cols w:space="425" w:num="1"/>
          <w:docGrid w:linePitch="384" w:charSpace="7430"/>
        </w:sectPr>
      </w:pPr>
    </w:p>
    <w:p w14:paraId="4DFAECBD">
      <w:pPr>
        <w:pStyle w:val="41"/>
      </w:pPr>
      <w:bookmarkStart w:id="17" w:name="_Toc167440851"/>
      <w:r>
        <w:rPr>
          <w:rFonts w:hint="eastAsia"/>
        </w:rPr>
        <w:t>缩略语对照表</w:t>
      </w:r>
      <w:bookmarkEnd w:id="17"/>
    </w:p>
    <w:p w14:paraId="2E58E2BB">
      <w:pPr>
        <w:pStyle w:val="70"/>
        <w:tabs>
          <w:tab w:val="left" w:pos="240"/>
          <w:tab w:val="clear" w:pos="480"/>
        </w:tabs>
      </w:pPr>
      <w:r>
        <w:tab/>
      </w:r>
      <w:r>
        <w:rPr>
          <w:rFonts w:hint="eastAsia"/>
        </w:rPr>
        <w:t>缩</w:t>
      </w:r>
      <w:r>
        <w:t>略语</w:t>
      </w:r>
      <w:r>
        <w:tab/>
      </w:r>
      <w:r>
        <w:t>英文全称</w:t>
      </w:r>
      <w:r>
        <w:tab/>
      </w:r>
      <w:r>
        <w:t>中文</w:t>
      </w:r>
      <w:r>
        <w:rPr>
          <w:rFonts w:hint="eastAsia"/>
        </w:rPr>
        <w:t>对照</w:t>
      </w:r>
    </w:p>
    <w:p w14:paraId="22FEF222">
      <w:pPr>
        <w:pStyle w:val="70"/>
        <w:tabs>
          <w:tab w:val="left" w:pos="240"/>
          <w:tab w:val="clear" w:pos="480"/>
        </w:tabs>
      </w:pPr>
      <w:r>
        <w:tab/>
      </w:r>
      <w:r>
        <w:rPr>
          <w:rStyle w:val="71"/>
        </w:rPr>
        <w:t>LFMCW</w:t>
      </w:r>
      <w:r>
        <w:rPr>
          <w:rStyle w:val="71"/>
        </w:rPr>
        <w:tab/>
      </w:r>
      <w:r>
        <w:t>Linear Frequency Modulation Continuous Wave</w:t>
      </w:r>
      <w:r>
        <w:tab/>
      </w:r>
      <w:r>
        <w:rPr>
          <w:rFonts w:hint="eastAsia"/>
        </w:rPr>
        <w:t>线性调频连续波</w:t>
      </w:r>
    </w:p>
    <w:p w14:paraId="299BBFCB">
      <w:pPr>
        <w:pStyle w:val="70"/>
        <w:tabs>
          <w:tab w:val="left" w:pos="240"/>
          <w:tab w:val="clear" w:pos="480"/>
        </w:tabs>
      </w:pPr>
      <w:r>
        <w:tab/>
      </w:r>
      <w:r>
        <w:t>ADS</w:t>
      </w:r>
      <w:r>
        <w:tab/>
      </w:r>
      <w:r>
        <w:rPr>
          <w:rFonts w:hint="eastAsia"/>
        </w:rPr>
        <w:t>Advanced Design System</w:t>
      </w:r>
      <w:r>
        <w:tab/>
      </w:r>
      <w:r>
        <w:rPr>
          <w:rFonts w:hint="eastAsia"/>
        </w:rPr>
        <w:t>微波仿真软件</w:t>
      </w:r>
    </w:p>
    <w:p w14:paraId="5719A67C">
      <w:pPr>
        <w:pStyle w:val="70"/>
        <w:tabs>
          <w:tab w:val="left" w:pos="240"/>
          <w:tab w:val="clear" w:pos="480"/>
        </w:tabs>
      </w:pPr>
      <w:r>
        <w:tab/>
      </w:r>
      <w:r>
        <w:t>EMD</w:t>
      </w:r>
      <w:r>
        <w:tab/>
      </w:r>
      <w:r>
        <w:rPr>
          <w:rFonts w:hint="eastAsia"/>
        </w:rPr>
        <w:t>Empirical Mode Decomposition</w:t>
      </w:r>
      <w:r>
        <w:tab/>
      </w:r>
      <w:r>
        <w:rPr>
          <w:rFonts w:hint="eastAsia"/>
        </w:rPr>
        <w:t>经验模态分解</w:t>
      </w:r>
    </w:p>
    <w:p w14:paraId="0E14D7CA">
      <w:pPr>
        <w:pStyle w:val="70"/>
        <w:tabs>
          <w:tab w:val="left" w:pos="240"/>
          <w:tab w:val="clear" w:pos="480"/>
        </w:tabs>
      </w:pPr>
      <w:r>
        <w:tab/>
      </w:r>
      <w:r>
        <w:t>IMF</w:t>
      </w:r>
      <w:r>
        <w:tab/>
      </w:r>
      <w:r>
        <w:rPr>
          <w:rFonts w:hint="eastAsia"/>
        </w:rPr>
        <w:t>Intrinsic Mode Functions</w:t>
      </w:r>
      <w:r>
        <w:tab/>
      </w:r>
      <w:r>
        <w:rPr>
          <w:rFonts w:hint="eastAsia"/>
        </w:rPr>
        <w:t>内涵模态分量</w:t>
      </w:r>
    </w:p>
    <w:p w14:paraId="50A713B5">
      <w:pPr>
        <w:pStyle w:val="70"/>
        <w:tabs>
          <w:tab w:val="left" w:pos="240"/>
          <w:tab w:val="clear" w:pos="480"/>
        </w:tabs>
      </w:pPr>
      <w:r>
        <w:tab/>
      </w:r>
      <w:r>
        <w:t>DFT</w:t>
      </w:r>
      <w:r>
        <w:tab/>
      </w:r>
      <w:r>
        <w:t>Discrete Fourier Transform</w:t>
      </w:r>
      <w:r>
        <w:tab/>
      </w:r>
      <w:r>
        <w:t>离散傅里叶变换</w:t>
      </w:r>
    </w:p>
    <w:p w14:paraId="34ABF0DA">
      <w:pPr>
        <w:pStyle w:val="70"/>
        <w:tabs>
          <w:tab w:val="left" w:pos="240"/>
          <w:tab w:val="clear" w:pos="480"/>
        </w:tabs>
      </w:pPr>
      <w:r>
        <w:tab/>
      </w:r>
      <w:r>
        <w:t>FFT</w:t>
      </w:r>
      <w:r>
        <w:tab/>
      </w:r>
      <w:r>
        <w:t>Fast Fourier Transform</w:t>
      </w:r>
      <w:r>
        <w:tab/>
      </w:r>
      <w:r>
        <w:t>快速傅里叶变换</w:t>
      </w:r>
    </w:p>
    <w:p w14:paraId="4343BCD4">
      <w:pPr>
        <w:pStyle w:val="70"/>
        <w:tabs>
          <w:tab w:val="left" w:pos="240"/>
          <w:tab w:val="clear" w:pos="480"/>
        </w:tabs>
      </w:pPr>
      <w:r>
        <w:tab/>
      </w:r>
      <w:r>
        <w:t>CZT</w:t>
      </w:r>
      <w:r>
        <w:tab/>
      </w:r>
      <w:r>
        <w:t>C</w:t>
      </w:r>
      <w:r>
        <w:rPr>
          <w:rFonts w:hint="eastAsia"/>
        </w:rPr>
        <w:t>hirp</w:t>
      </w:r>
      <w:r>
        <w:t xml:space="preserve"> Z-T</w:t>
      </w:r>
      <w:r>
        <w:rPr>
          <w:rFonts w:hint="eastAsia"/>
        </w:rPr>
        <w:t>ransform</w:t>
      </w:r>
      <w:r>
        <w:tab/>
      </w:r>
      <w:r>
        <w:rPr>
          <w:rFonts w:hint="eastAsia"/>
        </w:rPr>
        <w:t>线性调频变换</w:t>
      </w:r>
    </w:p>
    <w:p w14:paraId="18AFDE7F">
      <w:pPr>
        <w:widowControl/>
        <w:spacing w:line="240" w:lineRule="auto"/>
        <w:ind w:firstLine="0" w:firstLineChars="0"/>
        <w:jc w:val="left"/>
        <w:rPr>
          <w:szCs w:val="24"/>
        </w:rPr>
      </w:pPr>
      <w:r>
        <w:rPr>
          <w:szCs w:val="24"/>
        </w:rPr>
        <w:br w:type="page"/>
      </w:r>
    </w:p>
    <w:p w14:paraId="2DF75A92">
      <w:pPr>
        <w:ind w:firstLine="0" w:firstLineChars="0"/>
        <w:rPr>
          <w:szCs w:val="24"/>
        </w:rPr>
      </w:pPr>
    </w:p>
    <w:p w14:paraId="055A61DE">
      <w:pPr>
        <w:ind w:firstLine="0" w:firstLineChars="0"/>
        <w:rPr>
          <w:szCs w:val="24"/>
        </w:rPr>
        <w:sectPr>
          <w:headerReference r:id="rId15" w:type="default"/>
          <w:footnotePr>
            <w:numFmt w:val="decimalEnclosedCircleChinese"/>
            <w:numRestart w:val="eachSect"/>
          </w:footnotePr>
          <w:type w:val="oddPage"/>
          <w:pgSz w:w="11907" w:h="16840"/>
          <w:pgMar w:top="1701" w:right="1418" w:bottom="1134" w:left="1418" w:header="1134" w:footer="992" w:gutter="284"/>
          <w:pgNumType w:fmt="upperRoman"/>
          <w:cols w:space="425" w:num="1"/>
          <w:docGrid w:linePitch="384" w:charSpace="7430"/>
        </w:sectPr>
      </w:pPr>
    </w:p>
    <w:p w14:paraId="7769386B">
      <w:pPr>
        <w:pStyle w:val="28"/>
      </w:pPr>
      <w:r>
        <w:t>目录</w:t>
      </w:r>
      <w:r>
        <w:fldChar w:fldCharType="begin"/>
      </w:r>
      <w:r>
        <w:instrText xml:space="preserve"> TOC \o "1-3" \h \z \u </w:instrText>
      </w:r>
      <w:r>
        <w:fldChar w:fldCharType="separate"/>
      </w:r>
    </w:p>
    <w:p w14:paraId="1AA6589C">
      <w:pPr>
        <w:pStyle w:val="21"/>
        <w:tabs>
          <w:tab w:val="right" w:leader="dot" w:pos="8777"/>
        </w:tabs>
        <w:rPr>
          <w:rFonts w:asciiTheme="minorHAnsi" w:hAnsiTheme="minorHAnsi" w:eastAsiaTheme="minorEastAsia" w:cstheme="minorBidi"/>
          <w:sz w:val="21"/>
          <w:szCs w:val="22"/>
          <w14:ligatures w14:val="standardContextual"/>
        </w:rPr>
      </w:pPr>
      <w:r>
        <w:fldChar w:fldCharType="begin"/>
      </w:r>
      <w:r>
        <w:instrText xml:space="preserve"> HYPERLINK \l "_Toc167440846" </w:instrText>
      </w:r>
      <w:r>
        <w:fldChar w:fldCharType="separate"/>
      </w:r>
      <w:r>
        <w:rPr>
          <w:rStyle w:val="36"/>
        </w:rPr>
        <w:t>摘要</w:t>
      </w:r>
      <w:r>
        <w:tab/>
      </w:r>
      <w:r>
        <w:fldChar w:fldCharType="begin"/>
      </w:r>
      <w:r>
        <w:instrText xml:space="preserve"> PAGEREF _Toc167440846 \h </w:instrText>
      </w:r>
      <w:r>
        <w:fldChar w:fldCharType="separate"/>
      </w:r>
      <w:r>
        <w:t>I</w:t>
      </w:r>
      <w:r>
        <w:fldChar w:fldCharType="end"/>
      </w:r>
      <w:r>
        <w:fldChar w:fldCharType="end"/>
      </w:r>
    </w:p>
    <w:p w14:paraId="7AA21656">
      <w:pPr>
        <w:pStyle w:val="21"/>
        <w:tabs>
          <w:tab w:val="right" w:leader="dot" w:pos="8777"/>
        </w:tabs>
        <w:rPr>
          <w:rFonts w:asciiTheme="minorHAnsi" w:hAnsiTheme="minorHAnsi" w:eastAsiaTheme="minorEastAsia" w:cstheme="minorBidi"/>
          <w:sz w:val="21"/>
          <w:szCs w:val="22"/>
          <w14:ligatures w14:val="standardContextual"/>
        </w:rPr>
      </w:pPr>
      <w:r>
        <w:fldChar w:fldCharType="begin"/>
      </w:r>
      <w:r>
        <w:instrText xml:space="preserve"> HYPERLINK \l "_Toc167440847" </w:instrText>
      </w:r>
      <w:r>
        <w:fldChar w:fldCharType="separate"/>
      </w:r>
      <w:r>
        <w:rPr>
          <w:rStyle w:val="36"/>
        </w:rPr>
        <w:t>ABSTRACT</w:t>
      </w:r>
      <w:r>
        <w:tab/>
      </w:r>
      <w:r>
        <w:fldChar w:fldCharType="begin"/>
      </w:r>
      <w:r>
        <w:instrText xml:space="preserve"> PAGEREF _Toc167440847 \h </w:instrText>
      </w:r>
      <w:r>
        <w:fldChar w:fldCharType="separate"/>
      </w:r>
      <w:r>
        <w:t>III</w:t>
      </w:r>
      <w:r>
        <w:fldChar w:fldCharType="end"/>
      </w:r>
      <w:r>
        <w:fldChar w:fldCharType="end"/>
      </w:r>
    </w:p>
    <w:p w14:paraId="373FCDE4">
      <w:pPr>
        <w:pStyle w:val="21"/>
        <w:tabs>
          <w:tab w:val="right" w:leader="dot" w:pos="8777"/>
        </w:tabs>
        <w:rPr>
          <w:rFonts w:asciiTheme="minorHAnsi" w:hAnsiTheme="minorHAnsi" w:eastAsiaTheme="minorEastAsia" w:cstheme="minorBidi"/>
          <w:sz w:val="21"/>
          <w:szCs w:val="22"/>
          <w14:ligatures w14:val="standardContextual"/>
        </w:rPr>
      </w:pPr>
      <w:r>
        <w:fldChar w:fldCharType="begin"/>
      </w:r>
      <w:r>
        <w:instrText xml:space="preserve"> HYPERLINK \l "_Toc167440848" </w:instrText>
      </w:r>
      <w:r>
        <w:fldChar w:fldCharType="separate"/>
      </w:r>
      <w:r>
        <w:rPr>
          <w:rStyle w:val="36"/>
        </w:rPr>
        <w:t>插图索引</w:t>
      </w:r>
      <w:r>
        <w:tab/>
      </w:r>
      <w:r>
        <w:fldChar w:fldCharType="begin"/>
      </w:r>
      <w:r>
        <w:instrText xml:space="preserve"> PAGEREF _Toc167440848 \h </w:instrText>
      </w:r>
      <w:r>
        <w:fldChar w:fldCharType="separate"/>
      </w:r>
      <w:r>
        <w:t>V</w:t>
      </w:r>
      <w:r>
        <w:fldChar w:fldCharType="end"/>
      </w:r>
      <w:r>
        <w:fldChar w:fldCharType="end"/>
      </w:r>
    </w:p>
    <w:p w14:paraId="25CA65FE">
      <w:pPr>
        <w:pStyle w:val="21"/>
        <w:tabs>
          <w:tab w:val="right" w:leader="dot" w:pos="8777"/>
        </w:tabs>
        <w:rPr>
          <w:rFonts w:asciiTheme="minorHAnsi" w:hAnsiTheme="minorHAnsi" w:eastAsiaTheme="minorEastAsia" w:cstheme="minorBidi"/>
          <w:sz w:val="21"/>
          <w:szCs w:val="22"/>
          <w14:ligatures w14:val="standardContextual"/>
        </w:rPr>
      </w:pPr>
      <w:r>
        <w:fldChar w:fldCharType="begin"/>
      </w:r>
      <w:r>
        <w:instrText xml:space="preserve"> HYPERLINK \l "_Toc167440849" </w:instrText>
      </w:r>
      <w:r>
        <w:fldChar w:fldCharType="separate"/>
      </w:r>
      <w:r>
        <w:rPr>
          <w:rStyle w:val="36"/>
        </w:rPr>
        <w:t>表格索引</w:t>
      </w:r>
      <w:r>
        <w:tab/>
      </w:r>
      <w:r>
        <w:fldChar w:fldCharType="begin"/>
      </w:r>
      <w:r>
        <w:instrText xml:space="preserve"> PAGEREF _Toc167440849 \h </w:instrText>
      </w:r>
      <w:r>
        <w:fldChar w:fldCharType="separate"/>
      </w:r>
      <w:r>
        <w:t>IX</w:t>
      </w:r>
      <w:r>
        <w:fldChar w:fldCharType="end"/>
      </w:r>
      <w:r>
        <w:fldChar w:fldCharType="end"/>
      </w:r>
    </w:p>
    <w:p w14:paraId="60B783A9">
      <w:pPr>
        <w:pStyle w:val="21"/>
        <w:tabs>
          <w:tab w:val="right" w:leader="dot" w:pos="8777"/>
        </w:tabs>
        <w:rPr>
          <w:rFonts w:asciiTheme="minorHAnsi" w:hAnsiTheme="minorHAnsi" w:eastAsiaTheme="minorEastAsia" w:cstheme="minorBidi"/>
          <w:sz w:val="21"/>
          <w:szCs w:val="22"/>
          <w14:ligatures w14:val="standardContextual"/>
        </w:rPr>
      </w:pPr>
      <w:r>
        <w:fldChar w:fldCharType="begin"/>
      </w:r>
      <w:r>
        <w:instrText xml:space="preserve"> HYPERLINK \l "_Toc167440850" </w:instrText>
      </w:r>
      <w:r>
        <w:fldChar w:fldCharType="separate"/>
      </w:r>
      <w:r>
        <w:rPr>
          <w:rStyle w:val="36"/>
        </w:rPr>
        <w:t>符号对照表</w:t>
      </w:r>
      <w:r>
        <w:tab/>
      </w:r>
      <w:r>
        <w:fldChar w:fldCharType="begin"/>
      </w:r>
      <w:r>
        <w:instrText xml:space="preserve"> PAGEREF _Toc167440850 \h </w:instrText>
      </w:r>
      <w:r>
        <w:fldChar w:fldCharType="separate"/>
      </w:r>
      <w:r>
        <w:t>XI</w:t>
      </w:r>
      <w:r>
        <w:fldChar w:fldCharType="end"/>
      </w:r>
      <w:r>
        <w:fldChar w:fldCharType="end"/>
      </w:r>
    </w:p>
    <w:p w14:paraId="7B42C1AF">
      <w:pPr>
        <w:pStyle w:val="21"/>
        <w:tabs>
          <w:tab w:val="right" w:leader="dot" w:pos="8777"/>
        </w:tabs>
        <w:rPr>
          <w:rFonts w:asciiTheme="minorHAnsi" w:hAnsiTheme="minorHAnsi" w:eastAsiaTheme="minorEastAsia" w:cstheme="minorBidi"/>
          <w:sz w:val="21"/>
          <w:szCs w:val="22"/>
          <w14:ligatures w14:val="standardContextual"/>
        </w:rPr>
      </w:pPr>
      <w:r>
        <w:fldChar w:fldCharType="begin"/>
      </w:r>
      <w:r>
        <w:instrText xml:space="preserve"> HYPERLINK \l "_Toc167440851" </w:instrText>
      </w:r>
      <w:r>
        <w:fldChar w:fldCharType="separate"/>
      </w:r>
      <w:r>
        <w:rPr>
          <w:rStyle w:val="36"/>
        </w:rPr>
        <w:t>缩略语对照表</w:t>
      </w:r>
      <w:r>
        <w:tab/>
      </w:r>
      <w:r>
        <w:fldChar w:fldCharType="begin"/>
      </w:r>
      <w:r>
        <w:instrText xml:space="preserve"> PAGEREF _Toc167440851 \h </w:instrText>
      </w:r>
      <w:r>
        <w:fldChar w:fldCharType="separate"/>
      </w:r>
      <w:r>
        <w:t>XIII</w:t>
      </w:r>
      <w:r>
        <w:fldChar w:fldCharType="end"/>
      </w:r>
      <w:r>
        <w:fldChar w:fldCharType="end"/>
      </w:r>
    </w:p>
    <w:p w14:paraId="4B0D47DE">
      <w:pPr>
        <w:pStyle w:val="21"/>
        <w:tabs>
          <w:tab w:val="left" w:pos="1050"/>
          <w:tab w:val="right" w:leader="dot" w:pos="8777"/>
        </w:tabs>
        <w:rPr>
          <w:rFonts w:asciiTheme="minorHAnsi" w:hAnsiTheme="minorHAnsi" w:eastAsiaTheme="minorEastAsia" w:cstheme="minorBidi"/>
          <w:sz w:val="21"/>
          <w:szCs w:val="22"/>
          <w14:ligatures w14:val="standardContextual"/>
        </w:rPr>
      </w:pPr>
      <w:r>
        <w:fldChar w:fldCharType="begin"/>
      </w:r>
      <w:r>
        <w:instrText xml:space="preserve"> HYPERLINK \l "_Toc167440852" </w:instrText>
      </w:r>
      <w:r>
        <w:fldChar w:fldCharType="separate"/>
      </w:r>
      <w:r>
        <w:rPr>
          <w:rStyle w:val="36"/>
        </w:rPr>
        <w:t>第一章</w:t>
      </w:r>
      <w:r>
        <w:rPr>
          <w:rFonts w:asciiTheme="minorHAnsi" w:hAnsiTheme="minorHAnsi" w:eastAsiaTheme="minorEastAsia" w:cstheme="minorBidi"/>
          <w:sz w:val="21"/>
          <w:szCs w:val="22"/>
          <w14:ligatures w14:val="standardContextual"/>
        </w:rPr>
        <w:tab/>
      </w:r>
      <w:r>
        <w:rPr>
          <w:rStyle w:val="36"/>
        </w:rPr>
        <w:t>绪论</w:t>
      </w:r>
      <w:r>
        <w:tab/>
      </w:r>
      <w:r>
        <w:fldChar w:fldCharType="begin"/>
      </w:r>
      <w:r>
        <w:instrText xml:space="preserve"> PAGEREF _Toc167440852 \h </w:instrText>
      </w:r>
      <w:r>
        <w:fldChar w:fldCharType="separate"/>
      </w:r>
      <w:r>
        <w:t>1</w:t>
      </w:r>
      <w:r>
        <w:fldChar w:fldCharType="end"/>
      </w:r>
      <w:r>
        <w:fldChar w:fldCharType="end"/>
      </w:r>
    </w:p>
    <w:p w14:paraId="578ADBB3">
      <w:pPr>
        <w:pStyle w:val="25"/>
        <w:tabs>
          <w:tab w:val="left" w:pos="1050"/>
          <w:tab w:val="right" w:leader="dot" w:pos="8777"/>
        </w:tabs>
        <w:ind w:left="456"/>
        <w:rPr>
          <w:rFonts w:asciiTheme="minorHAnsi" w:hAnsiTheme="minorHAnsi" w:eastAsiaTheme="minorEastAsia" w:cstheme="minorBidi"/>
          <w:sz w:val="21"/>
          <w:szCs w:val="22"/>
          <w14:ligatures w14:val="standardContextual"/>
        </w:rPr>
      </w:pPr>
      <w:r>
        <w:fldChar w:fldCharType="begin"/>
      </w:r>
      <w:r>
        <w:instrText xml:space="preserve"> HYPERLINK \l "_Toc167440853" </w:instrText>
      </w:r>
      <w:r>
        <w:fldChar w:fldCharType="separate"/>
      </w:r>
      <w:r>
        <w:rPr>
          <w:rStyle w:val="36"/>
          <w:rFonts w:eastAsia="黑体"/>
        </w:rPr>
        <w:t>1.1</w:t>
      </w:r>
      <w:r>
        <w:rPr>
          <w:rFonts w:asciiTheme="minorHAnsi" w:hAnsiTheme="minorHAnsi" w:eastAsiaTheme="minorEastAsia" w:cstheme="minorBidi"/>
          <w:sz w:val="21"/>
          <w:szCs w:val="22"/>
          <w14:ligatures w14:val="standardContextual"/>
        </w:rPr>
        <w:tab/>
      </w:r>
      <w:r>
        <w:rPr>
          <w:rStyle w:val="36"/>
        </w:rPr>
        <w:t>研究背景及意义</w:t>
      </w:r>
      <w:r>
        <w:tab/>
      </w:r>
      <w:r>
        <w:fldChar w:fldCharType="begin"/>
      </w:r>
      <w:r>
        <w:instrText xml:space="preserve"> PAGEREF _Toc167440853 \h </w:instrText>
      </w:r>
      <w:r>
        <w:fldChar w:fldCharType="separate"/>
      </w:r>
      <w:r>
        <w:t>1</w:t>
      </w:r>
      <w:r>
        <w:fldChar w:fldCharType="end"/>
      </w:r>
      <w:r>
        <w:fldChar w:fldCharType="end"/>
      </w:r>
    </w:p>
    <w:p w14:paraId="051B49E2">
      <w:pPr>
        <w:pStyle w:val="25"/>
        <w:tabs>
          <w:tab w:val="left" w:pos="1050"/>
          <w:tab w:val="right" w:leader="dot" w:pos="8777"/>
        </w:tabs>
        <w:ind w:left="456"/>
        <w:rPr>
          <w:rFonts w:asciiTheme="minorHAnsi" w:hAnsiTheme="minorHAnsi" w:eastAsiaTheme="minorEastAsia" w:cstheme="minorBidi"/>
          <w:sz w:val="21"/>
          <w:szCs w:val="22"/>
          <w14:ligatures w14:val="standardContextual"/>
        </w:rPr>
      </w:pPr>
      <w:r>
        <w:fldChar w:fldCharType="begin"/>
      </w:r>
      <w:r>
        <w:instrText xml:space="preserve"> HYPERLINK \l "_Toc167440854" </w:instrText>
      </w:r>
      <w:r>
        <w:fldChar w:fldCharType="separate"/>
      </w:r>
      <w:r>
        <w:rPr>
          <w:rStyle w:val="36"/>
          <w:rFonts w:eastAsia="黑体"/>
        </w:rPr>
        <w:t>1.2</w:t>
      </w:r>
      <w:r>
        <w:rPr>
          <w:rFonts w:asciiTheme="minorHAnsi" w:hAnsiTheme="minorHAnsi" w:eastAsiaTheme="minorEastAsia" w:cstheme="minorBidi"/>
          <w:sz w:val="21"/>
          <w:szCs w:val="22"/>
          <w14:ligatures w14:val="standardContextual"/>
        </w:rPr>
        <w:tab/>
      </w:r>
      <w:r>
        <w:rPr>
          <w:rStyle w:val="36"/>
        </w:rPr>
        <w:t>等离子体诊断研究现状</w:t>
      </w:r>
      <w:r>
        <w:tab/>
      </w:r>
      <w:r>
        <w:fldChar w:fldCharType="begin"/>
      </w:r>
      <w:r>
        <w:instrText xml:space="preserve"> PAGEREF _Toc167440854 \h </w:instrText>
      </w:r>
      <w:r>
        <w:fldChar w:fldCharType="separate"/>
      </w:r>
      <w:r>
        <w:t>3</w:t>
      </w:r>
      <w:r>
        <w:fldChar w:fldCharType="end"/>
      </w:r>
      <w:r>
        <w:fldChar w:fldCharType="end"/>
      </w:r>
    </w:p>
    <w:p w14:paraId="02EE0D24">
      <w:pPr>
        <w:pStyle w:val="25"/>
        <w:tabs>
          <w:tab w:val="left" w:pos="1050"/>
          <w:tab w:val="right" w:leader="dot" w:pos="8777"/>
        </w:tabs>
        <w:ind w:left="456"/>
        <w:rPr>
          <w:rFonts w:asciiTheme="minorHAnsi" w:hAnsiTheme="minorHAnsi" w:eastAsiaTheme="minorEastAsia" w:cstheme="minorBidi"/>
          <w:sz w:val="21"/>
          <w:szCs w:val="22"/>
          <w14:ligatures w14:val="standardContextual"/>
        </w:rPr>
      </w:pPr>
      <w:r>
        <w:fldChar w:fldCharType="begin"/>
      </w:r>
      <w:r>
        <w:instrText xml:space="preserve"> HYPERLINK \l "_Toc167440855" </w:instrText>
      </w:r>
      <w:r>
        <w:fldChar w:fldCharType="separate"/>
      </w:r>
      <w:r>
        <w:rPr>
          <w:rStyle w:val="36"/>
          <w:rFonts w:eastAsia="黑体"/>
        </w:rPr>
        <w:t>1.3</w:t>
      </w:r>
      <w:r>
        <w:rPr>
          <w:rFonts w:asciiTheme="minorHAnsi" w:hAnsiTheme="minorHAnsi" w:eastAsiaTheme="minorEastAsia" w:cstheme="minorBidi"/>
          <w:sz w:val="21"/>
          <w:szCs w:val="22"/>
          <w14:ligatures w14:val="standardContextual"/>
        </w:rPr>
        <w:tab/>
      </w:r>
      <w:r>
        <w:rPr>
          <w:rStyle w:val="36"/>
        </w:rPr>
        <w:t>本文研究内容及章节安排</w:t>
      </w:r>
      <w:r>
        <w:tab/>
      </w:r>
      <w:r>
        <w:fldChar w:fldCharType="begin"/>
      </w:r>
      <w:r>
        <w:instrText xml:space="preserve"> PAGEREF _Toc167440855 \h </w:instrText>
      </w:r>
      <w:r>
        <w:fldChar w:fldCharType="separate"/>
      </w:r>
      <w:r>
        <w:t>6</w:t>
      </w:r>
      <w:r>
        <w:fldChar w:fldCharType="end"/>
      </w:r>
      <w:r>
        <w:fldChar w:fldCharType="end"/>
      </w:r>
    </w:p>
    <w:p w14:paraId="017ACDBD">
      <w:pPr>
        <w:pStyle w:val="21"/>
        <w:tabs>
          <w:tab w:val="left" w:pos="1050"/>
          <w:tab w:val="right" w:leader="dot" w:pos="8777"/>
        </w:tabs>
        <w:rPr>
          <w:rFonts w:asciiTheme="minorHAnsi" w:hAnsiTheme="minorHAnsi" w:eastAsiaTheme="minorEastAsia" w:cstheme="minorBidi"/>
          <w:sz w:val="21"/>
          <w:szCs w:val="22"/>
          <w14:ligatures w14:val="standardContextual"/>
        </w:rPr>
      </w:pPr>
      <w:r>
        <w:fldChar w:fldCharType="begin"/>
      </w:r>
      <w:r>
        <w:instrText xml:space="preserve"> HYPERLINK \l "_Toc167440856" </w:instrText>
      </w:r>
      <w:r>
        <w:fldChar w:fldCharType="separate"/>
      </w:r>
      <w:r>
        <w:rPr>
          <w:rStyle w:val="36"/>
        </w:rPr>
        <w:t>第二章</w:t>
      </w:r>
      <w:r>
        <w:rPr>
          <w:rFonts w:asciiTheme="minorHAnsi" w:hAnsiTheme="minorHAnsi" w:eastAsiaTheme="minorEastAsia" w:cstheme="minorBidi"/>
          <w:sz w:val="21"/>
          <w:szCs w:val="22"/>
          <w14:ligatures w14:val="standardContextual"/>
        </w:rPr>
        <w:tab/>
      </w:r>
      <w:r>
        <w:rPr>
          <w:rStyle w:val="36"/>
        </w:rPr>
        <w:t>等离子体诊断原理及线性调频连续波诊断原理</w:t>
      </w:r>
      <w:r>
        <w:tab/>
      </w:r>
      <w:r>
        <w:fldChar w:fldCharType="begin"/>
      </w:r>
      <w:r>
        <w:instrText xml:space="preserve"> PAGEREF _Toc167440856 \h </w:instrText>
      </w:r>
      <w:r>
        <w:fldChar w:fldCharType="separate"/>
      </w:r>
      <w:r>
        <w:t>9</w:t>
      </w:r>
      <w:r>
        <w:fldChar w:fldCharType="end"/>
      </w:r>
      <w:r>
        <w:fldChar w:fldCharType="end"/>
      </w:r>
    </w:p>
    <w:p w14:paraId="5F336CDB">
      <w:pPr>
        <w:pStyle w:val="25"/>
        <w:tabs>
          <w:tab w:val="left" w:pos="1050"/>
          <w:tab w:val="right" w:leader="dot" w:pos="8777"/>
        </w:tabs>
        <w:ind w:left="456"/>
        <w:rPr>
          <w:rFonts w:asciiTheme="minorHAnsi" w:hAnsiTheme="minorHAnsi" w:eastAsiaTheme="minorEastAsia" w:cstheme="minorBidi"/>
          <w:sz w:val="21"/>
          <w:szCs w:val="22"/>
          <w14:ligatures w14:val="standardContextual"/>
        </w:rPr>
      </w:pPr>
      <w:r>
        <w:fldChar w:fldCharType="begin"/>
      </w:r>
      <w:r>
        <w:instrText xml:space="preserve"> HYPERLINK \l "_Toc167440857" </w:instrText>
      </w:r>
      <w:r>
        <w:fldChar w:fldCharType="separate"/>
      </w:r>
      <w:r>
        <w:rPr>
          <w:rStyle w:val="36"/>
          <w:rFonts w:eastAsia="黑体"/>
        </w:rPr>
        <w:t>2.1</w:t>
      </w:r>
      <w:r>
        <w:rPr>
          <w:rFonts w:asciiTheme="minorHAnsi" w:hAnsiTheme="minorHAnsi" w:eastAsiaTheme="minorEastAsia" w:cstheme="minorBidi"/>
          <w:sz w:val="21"/>
          <w:szCs w:val="22"/>
          <w14:ligatures w14:val="standardContextual"/>
        </w:rPr>
        <w:tab/>
      </w:r>
      <w:r>
        <w:rPr>
          <w:rStyle w:val="36"/>
        </w:rPr>
        <w:t>引言</w:t>
      </w:r>
      <w:r>
        <w:tab/>
      </w:r>
      <w:r>
        <w:fldChar w:fldCharType="begin"/>
      </w:r>
      <w:r>
        <w:instrText xml:space="preserve"> PAGEREF _Toc167440857 \h </w:instrText>
      </w:r>
      <w:r>
        <w:fldChar w:fldCharType="separate"/>
      </w:r>
      <w:r>
        <w:t>9</w:t>
      </w:r>
      <w:r>
        <w:fldChar w:fldCharType="end"/>
      </w:r>
      <w:r>
        <w:fldChar w:fldCharType="end"/>
      </w:r>
    </w:p>
    <w:p w14:paraId="52E3E9F0">
      <w:pPr>
        <w:pStyle w:val="25"/>
        <w:tabs>
          <w:tab w:val="left" w:pos="1050"/>
          <w:tab w:val="right" w:leader="dot" w:pos="8777"/>
        </w:tabs>
        <w:ind w:left="456"/>
        <w:rPr>
          <w:rFonts w:asciiTheme="minorHAnsi" w:hAnsiTheme="minorHAnsi" w:eastAsiaTheme="minorEastAsia" w:cstheme="minorBidi"/>
          <w:sz w:val="21"/>
          <w:szCs w:val="22"/>
          <w14:ligatures w14:val="standardContextual"/>
        </w:rPr>
      </w:pPr>
      <w:r>
        <w:fldChar w:fldCharType="begin"/>
      </w:r>
      <w:r>
        <w:instrText xml:space="preserve"> HYPERLINK \l "_Toc167440858" </w:instrText>
      </w:r>
      <w:r>
        <w:fldChar w:fldCharType="separate"/>
      </w:r>
      <w:r>
        <w:rPr>
          <w:rStyle w:val="36"/>
          <w:rFonts w:eastAsia="黑体"/>
        </w:rPr>
        <w:t>2.2</w:t>
      </w:r>
      <w:r>
        <w:rPr>
          <w:rFonts w:asciiTheme="minorHAnsi" w:hAnsiTheme="minorHAnsi" w:eastAsiaTheme="minorEastAsia" w:cstheme="minorBidi"/>
          <w:sz w:val="21"/>
          <w:szCs w:val="22"/>
          <w14:ligatures w14:val="standardContextual"/>
        </w:rPr>
        <w:tab/>
      </w:r>
      <w:r>
        <w:rPr>
          <w:rStyle w:val="36"/>
        </w:rPr>
        <w:t>等离子体基础理论</w:t>
      </w:r>
      <w:r>
        <w:tab/>
      </w:r>
      <w:r>
        <w:fldChar w:fldCharType="begin"/>
      </w:r>
      <w:r>
        <w:instrText xml:space="preserve"> PAGEREF _Toc167440858 \h </w:instrText>
      </w:r>
      <w:r>
        <w:fldChar w:fldCharType="separate"/>
      </w:r>
      <w:r>
        <w:t>9</w:t>
      </w:r>
      <w:r>
        <w:fldChar w:fldCharType="end"/>
      </w:r>
      <w:r>
        <w:fldChar w:fldCharType="end"/>
      </w:r>
    </w:p>
    <w:p w14:paraId="0C9287DD">
      <w:pPr>
        <w:pStyle w:val="15"/>
        <w:tabs>
          <w:tab w:val="left" w:pos="1695"/>
          <w:tab w:val="right" w:leader="dot" w:pos="8777"/>
        </w:tabs>
        <w:ind w:left="1080"/>
        <w:rPr>
          <w:rFonts w:asciiTheme="minorHAnsi" w:hAnsiTheme="minorHAnsi" w:eastAsiaTheme="minorEastAsia" w:cstheme="minorBidi"/>
          <w:sz w:val="21"/>
          <w:szCs w:val="22"/>
          <w14:ligatures w14:val="standardContextual"/>
        </w:rPr>
      </w:pPr>
      <w:r>
        <w:fldChar w:fldCharType="begin"/>
      </w:r>
      <w:r>
        <w:instrText xml:space="preserve"> HYPERLINK \l "_Toc167440859" </w:instrText>
      </w:r>
      <w:r>
        <w:fldChar w:fldCharType="separate"/>
      </w:r>
      <w:r>
        <w:rPr>
          <w:rStyle w:val="36"/>
        </w:rPr>
        <w:t>2.2.1</w:t>
      </w:r>
      <w:r>
        <w:rPr>
          <w:rFonts w:asciiTheme="minorHAnsi" w:hAnsiTheme="minorHAnsi" w:eastAsiaTheme="minorEastAsia" w:cstheme="minorBidi"/>
          <w:sz w:val="21"/>
          <w:szCs w:val="22"/>
          <w14:ligatures w14:val="standardContextual"/>
        </w:rPr>
        <w:tab/>
      </w:r>
      <w:r>
        <w:rPr>
          <w:rStyle w:val="36"/>
        </w:rPr>
        <w:t>等离子体基本参数</w:t>
      </w:r>
      <w:r>
        <w:tab/>
      </w:r>
      <w:r>
        <w:fldChar w:fldCharType="begin"/>
      </w:r>
      <w:r>
        <w:instrText xml:space="preserve"> PAGEREF _Toc167440859 \h </w:instrText>
      </w:r>
      <w:r>
        <w:fldChar w:fldCharType="separate"/>
      </w:r>
      <w:r>
        <w:t>9</w:t>
      </w:r>
      <w:r>
        <w:fldChar w:fldCharType="end"/>
      </w:r>
      <w:r>
        <w:fldChar w:fldCharType="end"/>
      </w:r>
    </w:p>
    <w:p w14:paraId="6C72DD6F">
      <w:pPr>
        <w:pStyle w:val="15"/>
        <w:tabs>
          <w:tab w:val="left" w:pos="1695"/>
          <w:tab w:val="right" w:leader="dot" w:pos="8777"/>
        </w:tabs>
        <w:ind w:left="1080"/>
        <w:rPr>
          <w:rFonts w:asciiTheme="minorHAnsi" w:hAnsiTheme="minorHAnsi" w:eastAsiaTheme="minorEastAsia" w:cstheme="minorBidi"/>
          <w:sz w:val="21"/>
          <w:szCs w:val="22"/>
          <w14:ligatures w14:val="standardContextual"/>
        </w:rPr>
      </w:pPr>
      <w:r>
        <w:fldChar w:fldCharType="begin"/>
      </w:r>
      <w:r>
        <w:instrText xml:space="preserve"> HYPERLINK \l "_Toc167440860" </w:instrText>
      </w:r>
      <w:r>
        <w:fldChar w:fldCharType="separate"/>
      </w:r>
      <w:r>
        <w:rPr>
          <w:rStyle w:val="36"/>
        </w:rPr>
        <w:t>2.2.2</w:t>
      </w:r>
      <w:r>
        <w:rPr>
          <w:rFonts w:asciiTheme="minorHAnsi" w:hAnsiTheme="minorHAnsi" w:eastAsiaTheme="minorEastAsia" w:cstheme="minorBidi"/>
          <w:sz w:val="21"/>
          <w:szCs w:val="22"/>
          <w14:ligatures w14:val="standardContextual"/>
        </w:rPr>
        <w:tab/>
      </w:r>
      <w:r>
        <w:rPr>
          <w:rStyle w:val="36"/>
        </w:rPr>
        <w:t>等离子体的介质特性</w:t>
      </w:r>
      <w:r>
        <w:tab/>
      </w:r>
      <w:r>
        <w:fldChar w:fldCharType="begin"/>
      </w:r>
      <w:r>
        <w:instrText xml:space="preserve"> PAGEREF _Toc167440860 \h </w:instrText>
      </w:r>
      <w:r>
        <w:fldChar w:fldCharType="separate"/>
      </w:r>
      <w:r>
        <w:t>10</w:t>
      </w:r>
      <w:r>
        <w:fldChar w:fldCharType="end"/>
      </w:r>
      <w:r>
        <w:fldChar w:fldCharType="end"/>
      </w:r>
    </w:p>
    <w:p w14:paraId="0DA5D55A">
      <w:pPr>
        <w:pStyle w:val="15"/>
        <w:tabs>
          <w:tab w:val="left" w:pos="1695"/>
          <w:tab w:val="right" w:leader="dot" w:pos="8777"/>
        </w:tabs>
        <w:ind w:left="1080"/>
        <w:rPr>
          <w:rFonts w:asciiTheme="minorHAnsi" w:hAnsiTheme="minorHAnsi" w:eastAsiaTheme="minorEastAsia" w:cstheme="minorBidi"/>
          <w:sz w:val="21"/>
          <w:szCs w:val="22"/>
          <w14:ligatures w14:val="standardContextual"/>
        </w:rPr>
      </w:pPr>
      <w:r>
        <w:fldChar w:fldCharType="begin"/>
      </w:r>
      <w:r>
        <w:instrText xml:space="preserve"> HYPERLINK \l "_Toc167440861" </w:instrText>
      </w:r>
      <w:r>
        <w:fldChar w:fldCharType="separate"/>
      </w:r>
      <w:r>
        <w:rPr>
          <w:rStyle w:val="36"/>
        </w:rPr>
        <w:t>2.2.3</w:t>
      </w:r>
      <w:r>
        <w:rPr>
          <w:rFonts w:asciiTheme="minorHAnsi" w:hAnsiTheme="minorHAnsi" w:eastAsiaTheme="minorEastAsia" w:cstheme="minorBidi"/>
          <w:sz w:val="21"/>
          <w:szCs w:val="22"/>
          <w14:ligatures w14:val="standardContextual"/>
        </w:rPr>
        <w:tab/>
      </w:r>
      <w:r>
        <w:rPr>
          <w:rStyle w:val="36"/>
        </w:rPr>
        <w:t>等离子体中的电磁波传播规律</w:t>
      </w:r>
      <w:r>
        <w:tab/>
      </w:r>
      <w:r>
        <w:fldChar w:fldCharType="begin"/>
      </w:r>
      <w:r>
        <w:instrText xml:space="preserve"> PAGEREF _Toc167440861 \h </w:instrText>
      </w:r>
      <w:r>
        <w:fldChar w:fldCharType="separate"/>
      </w:r>
      <w:r>
        <w:t>11</w:t>
      </w:r>
      <w:r>
        <w:fldChar w:fldCharType="end"/>
      </w:r>
      <w:r>
        <w:fldChar w:fldCharType="end"/>
      </w:r>
    </w:p>
    <w:p w14:paraId="2DF69212">
      <w:pPr>
        <w:pStyle w:val="25"/>
        <w:tabs>
          <w:tab w:val="left" w:pos="1050"/>
          <w:tab w:val="right" w:leader="dot" w:pos="8777"/>
        </w:tabs>
        <w:ind w:left="456"/>
        <w:rPr>
          <w:rFonts w:asciiTheme="minorHAnsi" w:hAnsiTheme="minorHAnsi" w:eastAsiaTheme="minorEastAsia" w:cstheme="minorBidi"/>
          <w:sz w:val="21"/>
          <w:szCs w:val="22"/>
          <w14:ligatures w14:val="standardContextual"/>
        </w:rPr>
      </w:pPr>
      <w:r>
        <w:fldChar w:fldCharType="begin"/>
      </w:r>
      <w:r>
        <w:instrText xml:space="preserve"> HYPERLINK \l "_Toc167440862" </w:instrText>
      </w:r>
      <w:r>
        <w:fldChar w:fldCharType="separate"/>
      </w:r>
      <w:r>
        <w:rPr>
          <w:rStyle w:val="36"/>
          <w:rFonts w:eastAsia="黑体"/>
        </w:rPr>
        <w:t>2.3</w:t>
      </w:r>
      <w:r>
        <w:rPr>
          <w:rFonts w:asciiTheme="minorHAnsi" w:hAnsiTheme="minorHAnsi" w:eastAsiaTheme="minorEastAsia" w:cstheme="minorBidi"/>
          <w:sz w:val="21"/>
          <w:szCs w:val="22"/>
          <w14:ligatures w14:val="standardContextual"/>
        </w:rPr>
        <w:tab/>
      </w:r>
      <w:r>
        <w:rPr>
          <w:rStyle w:val="36"/>
        </w:rPr>
        <w:t>等离子体微波诊断方法</w:t>
      </w:r>
      <w:r>
        <w:tab/>
      </w:r>
      <w:r>
        <w:fldChar w:fldCharType="begin"/>
      </w:r>
      <w:r>
        <w:instrText xml:space="preserve"> PAGEREF _Toc167440862 \h </w:instrText>
      </w:r>
      <w:r>
        <w:fldChar w:fldCharType="separate"/>
      </w:r>
      <w:r>
        <w:t>14</w:t>
      </w:r>
      <w:r>
        <w:fldChar w:fldCharType="end"/>
      </w:r>
      <w:r>
        <w:fldChar w:fldCharType="end"/>
      </w:r>
    </w:p>
    <w:p w14:paraId="674E951A">
      <w:pPr>
        <w:pStyle w:val="15"/>
        <w:tabs>
          <w:tab w:val="left" w:pos="1695"/>
          <w:tab w:val="right" w:leader="dot" w:pos="8777"/>
        </w:tabs>
        <w:ind w:left="1080"/>
        <w:rPr>
          <w:rFonts w:asciiTheme="minorHAnsi" w:hAnsiTheme="minorHAnsi" w:eastAsiaTheme="minorEastAsia" w:cstheme="minorBidi"/>
          <w:sz w:val="21"/>
          <w:szCs w:val="22"/>
          <w14:ligatures w14:val="standardContextual"/>
        </w:rPr>
      </w:pPr>
      <w:r>
        <w:fldChar w:fldCharType="begin"/>
      </w:r>
      <w:r>
        <w:instrText xml:space="preserve"> HYPERLINK \l "_Toc167440863" </w:instrText>
      </w:r>
      <w:r>
        <w:fldChar w:fldCharType="separate"/>
      </w:r>
      <w:r>
        <w:rPr>
          <w:rStyle w:val="36"/>
        </w:rPr>
        <w:t>2.3.1</w:t>
      </w:r>
      <w:r>
        <w:rPr>
          <w:rFonts w:asciiTheme="minorHAnsi" w:hAnsiTheme="minorHAnsi" w:eastAsiaTheme="minorEastAsia" w:cstheme="minorBidi"/>
          <w:sz w:val="21"/>
          <w:szCs w:val="22"/>
          <w14:ligatures w14:val="standardContextual"/>
        </w:rPr>
        <w:tab/>
      </w:r>
      <w:r>
        <w:rPr>
          <w:rStyle w:val="36"/>
        </w:rPr>
        <w:t>微波干涉法</w:t>
      </w:r>
      <w:r>
        <w:tab/>
      </w:r>
      <w:r>
        <w:fldChar w:fldCharType="begin"/>
      </w:r>
      <w:r>
        <w:instrText xml:space="preserve"> PAGEREF _Toc167440863 \h </w:instrText>
      </w:r>
      <w:r>
        <w:fldChar w:fldCharType="separate"/>
      </w:r>
      <w:r>
        <w:t>14</w:t>
      </w:r>
      <w:r>
        <w:fldChar w:fldCharType="end"/>
      </w:r>
      <w:r>
        <w:fldChar w:fldCharType="end"/>
      </w:r>
    </w:p>
    <w:p w14:paraId="4CBAFB1C">
      <w:pPr>
        <w:pStyle w:val="15"/>
        <w:tabs>
          <w:tab w:val="left" w:pos="1695"/>
          <w:tab w:val="right" w:leader="dot" w:pos="8777"/>
        </w:tabs>
        <w:ind w:left="1080"/>
        <w:rPr>
          <w:rFonts w:asciiTheme="minorHAnsi" w:hAnsiTheme="minorHAnsi" w:eastAsiaTheme="minorEastAsia" w:cstheme="minorBidi"/>
          <w:sz w:val="21"/>
          <w:szCs w:val="22"/>
          <w14:ligatures w14:val="standardContextual"/>
        </w:rPr>
      </w:pPr>
      <w:r>
        <w:fldChar w:fldCharType="begin"/>
      </w:r>
      <w:r>
        <w:instrText xml:space="preserve"> HYPERLINK \l "_Toc167440864" </w:instrText>
      </w:r>
      <w:r>
        <w:fldChar w:fldCharType="separate"/>
      </w:r>
      <w:r>
        <w:rPr>
          <w:rStyle w:val="36"/>
        </w:rPr>
        <w:t>2.3.2</w:t>
      </w:r>
      <w:r>
        <w:rPr>
          <w:rFonts w:asciiTheme="minorHAnsi" w:hAnsiTheme="minorHAnsi" w:eastAsiaTheme="minorEastAsia" w:cstheme="minorBidi"/>
          <w:sz w:val="21"/>
          <w:szCs w:val="22"/>
          <w14:ligatures w14:val="standardContextual"/>
        </w:rPr>
        <w:tab/>
      </w:r>
      <w:r>
        <w:rPr>
          <w:rStyle w:val="36"/>
        </w:rPr>
        <w:t>微波反射法</w:t>
      </w:r>
      <w:r>
        <w:tab/>
      </w:r>
      <w:r>
        <w:fldChar w:fldCharType="begin"/>
      </w:r>
      <w:r>
        <w:instrText xml:space="preserve"> PAGEREF _Toc167440864 \h </w:instrText>
      </w:r>
      <w:r>
        <w:fldChar w:fldCharType="separate"/>
      </w:r>
      <w:r>
        <w:t>16</w:t>
      </w:r>
      <w:r>
        <w:fldChar w:fldCharType="end"/>
      </w:r>
      <w:r>
        <w:fldChar w:fldCharType="end"/>
      </w:r>
    </w:p>
    <w:p w14:paraId="3C4033E5">
      <w:pPr>
        <w:pStyle w:val="25"/>
        <w:tabs>
          <w:tab w:val="left" w:pos="1050"/>
          <w:tab w:val="right" w:leader="dot" w:pos="8777"/>
        </w:tabs>
        <w:ind w:left="456"/>
        <w:rPr>
          <w:rFonts w:asciiTheme="minorHAnsi" w:hAnsiTheme="minorHAnsi" w:eastAsiaTheme="minorEastAsia" w:cstheme="minorBidi"/>
          <w:sz w:val="21"/>
          <w:szCs w:val="22"/>
          <w14:ligatures w14:val="standardContextual"/>
        </w:rPr>
      </w:pPr>
      <w:r>
        <w:fldChar w:fldCharType="begin"/>
      </w:r>
      <w:r>
        <w:instrText xml:space="preserve"> HYPERLINK \l "_Toc167440865" </w:instrText>
      </w:r>
      <w:r>
        <w:fldChar w:fldCharType="separate"/>
      </w:r>
      <w:r>
        <w:rPr>
          <w:rStyle w:val="36"/>
          <w:rFonts w:eastAsia="黑体"/>
        </w:rPr>
        <w:t>2.4</w:t>
      </w:r>
      <w:r>
        <w:rPr>
          <w:rFonts w:asciiTheme="minorHAnsi" w:hAnsiTheme="minorHAnsi" w:eastAsiaTheme="minorEastAsia" w:cstheme="minorBidi"/>
          <w:sz w:val="21"/>
          <w:szCs w:val="22"/>
          <w14:ligatures w14:val="standardContextual"/>
        </w:rPr>
        <w:tab/>
      </w:r>
      <w:r>
        <w:rPr>
          <w:rStyle w:val="36"/>
        </w:rPr>
        <w:t>线性调频连续波诊断原理</w:t>
      </w:r>
      <w:r>
        <w:tab/>
      </w:r>
      <w:r>
        <w:fldChar w:fldCharType="begin"/>
      </w:r>
      <w:r>
        <w:instrText xml:space="preserve"> PAGEREF _Toc167440865 \h </w:instrText>
      </w:r>
      <w:r>
        <w:fldChar w:fldCharType="separate"/>
      </w:r>
      <w:r>
        <w:t>17</w:t>
      </w:r>
      <w:r>
        <w:fldChar w:fldCharType="end"/>
      </w:r>
      <w:r>
        <w:fldChar w:fldCharType="end"/>
      </w:r>
    </w:p>
    <w:p w14:paraId="0613A00D">
      <w:pPr>
        <w:pStyle w:val="15"/>
        <w:tabs>
          <w:tab w:val="left" w:pos="1695"/>
          <w:tab w:val="right" w:leader="dot" w:pos="8777"/>
        </w:tabs>
        <w:ind w:left="1080"/>
        <w:rPr>
          <w:rFonts w:asciiTheme="minorHAnsi" w:hAnsiTheme="minorHAnsi" w:eastAsiaTheme="minorEastAsia" w:cstheme="minorBidi"/>
          <w:sz w:val="21"/>
          <w:szCs w:val="22"/>
          <w14:ligatures w14:val="standardContextual"/>
        </w:rPr>
      </w:pPr>
      <w:r>
        <w:fldChar w:fldCharType="begin"/>
      </w:r>
      <w:r>
        <w:instrText xml:space="preserve"> HYPERLINK \l "_Toc167440866" </w:instrText>
      </w:r>
      <w:r>
        <w:fldChar w:fldCharType="separate"/>
      </w:r>
      <w:r>
        <w:rPr>
          <w:rStyle w:val="36"/>
        </w:rPr>
        <w:t>2.4.1</w:t>
      </w:r>
      <w:r>
        <w:rPr>
          <w:rFonts w:asciiTheme="minorHAnsi" w:hAnsiTheme="minorHAnsi" w:eastAsiaTheme="minorEastAsia" w:cstheme="minorBidi"/>
          <w:sz w:val="21"/>
          <w:szCs w:val="22"/>
          <w14:ligatures w14:val="standardContextual"/>
        </w:rPr>
        <w:tab/>
      </w:r>
      <w:r>
        <w:rPr>
          <w:rStyle w:val="36"/>
        </w:rPr>
        <w:t>锯齿波调制的连续波测量原理</w:t>
      </w:r>
      <w:r>
        <w:tab/>
      </w:r>
      <w:r>
        <w:fldChar w:fldCharType="begin"/>
      </w:r>
      <w:r>
        <w:instrText xml:space="preserve"> PAGEREF _Toc167440866 \h </w:instrText>
      </w:r>
      <w:r>
        <w:fldChar w:fldCharType="separate"/>
      </w:r>
      <w:r>
        <w:t>17</w:t>
      </w:r>
      <w:r>
        <w:fldChar w:fldCharType="end"/>
      </w:r>
      <w:r>
        <w:fldChar w:fldCharType="end"/>
      </w:r>
    </w:p>
    <w:p w14:paraId="39EFCD9E">
      <w:pPr>
        <w:pStyle w:val="15"/>
        <w:tabs>
          <w:tab w:val="left" w:pos="1695"/>
          <w:tab w:val="right" w:leader="dot" w:pos="8777"/>
        </w:tabs>
        <w:ind w:left="1080"/>
        <w:rPr>
          <w:rFonts w:asciiTheme="minorHAnsi" w:hAnsiTheme="minorHAnsi" w:eastAsiaTheme="minorEastAsia" w:cstheme="minorBidi"/>
          <w:sz w:val="21"/>
          <w:szCs w:val="22"/>
          <w14:ligatures w14:val="standardContextual"/>
        </w:rPr>
      </w:pPr>
      <w:r>
        <w:fldChar w:fldCharType="begin"/>
      </w:r>
      <w:r>
        <w:instrText xml:space="preserve"> HYPERLINK \l "_Toc167440867" </w:instrText>
      </w:r>
      <w:r>
        <w:fldChar w:fldCharType="separate"/>
      </w:r>
      <w:r>
        <w:rPr>
          <w:rStyle w:val="36"/>
        </w:rPr>
        <w:t>2.4.2</w:t>
      </w:r>
      <w:r>
        <w:rPr>
          <w:rFonts w:asciiTheme="minorHAnsi" w:hAnsiTheme="minorHAnsi" w:eastAsiaTheme="minorEastAsia" w:cstheme="minorBidi"/>
          <w:sz w:val="21"/>
          <w:szCs w:val="22"/>
          <w14:ligatures w14:val="standardContextual"/>
        </w:rPr>
        <w:tab/>
      </w:r>
      <w:r>
        <w:rPr>
          <w:rStyle w:val="36"/>
        </w:rPr>
        <w:t>连续波系统差频信号分析</w:t>
      </w:r>
      <w:r>
        <w:tab/>
      </w:r>
      <w:r>
        <w:fldChar w:fldCharType="begin"/>
      </w:r>
      <w:r>
        <w:instrText xml:space="preserve"> PAGEREF _Toc167440867 \h </w:instrText>
      </w:r>
      <w:r>
        <w:fldChar w:fldCharType="separate"/>
      </w:r>
      <w:r>
        <w:t>20</w:t>
      </w:r>
      <w:r>
        <w:fldChar w:fldCharType="end"/>
      </w:r>
      <w:r>
        <w:fldChar w:fldCharType="end"/>
      </w:r>
    </w:p>
    <w:p w14:paraId="3FAFF765">
      <w:pPr>
        <w:pStyle w:val="15"/>
        <w:tabs>
          <w:tab w:val="left" w:pos="1695"/>
          <w:tab w:val="right" w:leader="dot" w:pos="8777"/>
        </w:tabs>
        <w:ind w:left="1080"/>
        <w:rPr>
          <w:rFonts w:asciiTheme="minorHAnsi" w:hAnsiTheme="minorHAnsi" w:eastAsiaTheme="minorEastAsia" w:cstheme="minorBidi"/>
          <w:sz w:val="21"/>
          <w:szCs w:val="22"/>
          <w14:ligatures w14:val="standardContextual"/>
        </w:rPr>
      </w:pPr>
      <w:r>
        <w:fldChar w:fldCharType="begin"/>
      </w:r>
      <w:r>
        <w:instrText xml:space="preserve"> HYPERLINK \l "_Toc167440868" </w:instrText>
      </w:r>
      <w:r>
        <w:fldChar w:fldCharType="separate"/>
      </w:r>
      <w:r>
        <w:rPr>
          <w:rStyle w:val="36"/>
        </w:rPr>
        <w:t>2.4.3</w:t>
      </w:r>
      <w:r>
        <w:rPr>
          <w:rFonts w:asciiTheme="minorHAnsi" w:hAnsiTheme="minorHAnsi" w:eastAsiaTheme="minorEastAsia" w:cstheme="minorBidi"/>
          <w:sz w:val="21"/>
          <w:szCs w:val="22"/>
          <w14:ligatures w14:val="standardContextual"/>
        </w:rPr>
        <w:tab/>
      </w:r>
      <w:r>
        <w:rPr>
          <w:rStyle w:val="36"/>
        </w:rPr>
        <w:t>调频连续波测量的影响因素</w:t>
      </w:r>
      <w:r>
        <w:tab/>
      </w:r>
      <w:r>
        <w:fldChar w:fldCharType="begin"/>
      </w:r>
      <w:r>
        <w:instrText xml:space="preserve"> PAGEREF _Toc167440868 \h </w:instrText>
      </w:r>
      <w:r>
        <w:fldChar w:fldCharType="separate"/>
      </w:r>
      <w:r>
        <w:t>22</w:t>
      </w:r>
      <w:r>
        <w:fldChar w:fldCharType="end"/>
      </w:r>
      <w:r>
        <w:fldChar w:fldCharType="end"/>
      </w:r>
    </w:p>
    <w:p w14:paraId="5CB2C517">
      <w:pPr>
        <w:pStyle w:val="25"/>
        <w:tabs>
          <w:tab w:val="left" w:pos="1050"/>
          <w:tab w:val="right" w:leader="dot" w:pos="8777"/>
        </w:tabs>
        <w:ind w:left="456"/>
        <w:rPr>
          <w:rFonts w:asciiTheme="minorHAnsi" w:hAnsiTheme="minorHAnsi" w:eastAsiaTheme="minorEastAsia" w:cstheme="minorBidi"/>
          <w:sz w:val="21"/>
          <w:szCs w:val="22"/>
          <w14:ligatures w14:val="standardContextual"/>
        </w:rPr>
      </w:pPr>
      <w:r>
        <w:fldChar w:fldCharType="begin"/>
      </w:r>
      <w:r>
        <w:instrText xml:space="preserve"> HYPERLINK \l "_Toc167440869" </w:instrText>
      </w:r>
      <w:r>
        <w:fldChar w:fldCharType="separate"/>
      </w:r>
      <w:r>
        <w:rPr>
          <w:rStyle w:val="36"/>
          <w:rFonts w:eastAsia="黑体"/>
        </w:rPr>
        <w:t>2.5</w:t>
      </w:r>
      <w:r>
        <w:rPr>
          <w:rFonts w:asciiTheme="minorHAnsi" w:hAnsiTheme="minorHAnsi" w:eastAsiaTheme="minorEastAsia" w:cstheme="minorBidi"/>
          <w:sz w:val="21"/>
          <w:szCs w:val="22"/>
          <w14:ligatures w14:val="standardContextual"/>
        </w:rPr>
        <w:tab/>
      </w:r>
      <w:r>
        <w:rPr>
          <w:rStyle w:val="36"/>
        </w:rPr>
        <w:t>本章小结</w:t>
      </w:r>
      <w:r>
        <w:tab/>
      </w:r>
      <w:r>
        <w:fldChar w:fldCharType="begin"/>
      </w:r>
      <w:r>
        <w:instrText xml:space="preserve"> PAGEREF _Toc167440869 \h </w:instrText>
      </w:r>
      <w:r>
        <w:fldChar w:fldCharType="separate"/>
      </w:r>
      <w:r>
        <w:t>22</w:t>
      </w:r>
      <w:r>
        <w:fldChar w:fldCharType="end"/>
      </w:r>
      <w:r>
        <w:fldChar w:fldCharType="end"/>
      </w:r>
    </w:p>
    <w:p w14:paraId="513FF6AB">
      <w:pPr>
        <w:pStyle w:val="21"/>
        <w:tabs>
          <w:tab w:val="left" w:pos="1050"/>
          <w:tab w:val="right" w:leader="dot" w:pos="8777"/>
        </w:tabs>
        <w:rPr>
          <w:rFonts w:asciiTheme="minorHAnsi" w:hAnsiTheme="minorHAnsi" w:eastAsiaTheme="minorEastAsia" w:cstheme="minorBidi"/>
          <w:sz w:val="21"/>
          <w:szCs w:val="22"/>
          <w14:ligatures w14:val="standardContextual"/>
        </w:rPr>
      </w:pPr>
      <w:r>
        <w:fldChar w:fldCharType="begin"/>
      </w:r>
      <w:r>
        <w:instrText xml:space="preserve"> HYPERLINK \l "_Toc167440870" </w:instrText>
      </w:r>
      <w:r>
        <w:fldChar w:fldCharType="separate"/>
      </w:r>
      <w:r>
        <w:rPr>
          <w:rStyle w:val="36"/>
        </w:rPr>
        <w:t>第三章</w:t>
      </w:r>
      <w:r>
        <w:rPr>
          <w:rFonts w:asciiTheme="minorHAnsi" w:hAnsiTheme="minorHAnsi" w:eastAsiaTheme="minorEastAsia" w:cstheme="minorBidi"/>
          <w:sz w:val="21"/>
          <w:szCs w:val="22"/>
          <w14:ligatures w14:val="standardContextual"/>
        </w:rPr>
        <w:tab/>
      </w:r>
      <w:r>
        <w:rPr>
          <w:rStyle w:val="36"/>
        </w:rPr>
        <w:t>诊断系统硬件设计</w:t>
      </w:r>
      <w:r>
        <w:tab/>
      </w:r>
      <w:r>
        <w:fldChar w:fldCharType="begin"/>
      </w:r>
      <w:r>
        <w:instrText xml:space="preserve"> PAGEREF _Toc167440870 \h </w:instrText>
      </w:r>
      <w:r>
        <w:fldChar w:fldCharType="separate"/>
      </w:r>
      <w:r>
        <w:t>25</w:t>
      </w:r>
      <w:r>
        <w:fldChar w:fldCharType="end"/>
      </w:r>
      <w:r>
        <w:fldChar w:fldCharType="end"/>
      </w:r>
    </w:p>
    <w:p w14:paraId="1DE6ECDE">
      <w:pPr>
        <w:pStyle w:val="25"/>
        <w:tabs>
          <w:tab w:val="left" w:pos="1050"/>
          <w:tab w:val="right" w:leader="dot" w:pos="8777"/>
        </w:tabs>
        <w:ind w:left="456"/>
        <w:rPr>
          <w:rFonts w:asciiTheme="minorHAnsi" w:hAnsiTheme="minorHAnsi" w:eastAsiaTheme="minorEastAsia" w:cstheme="minorBidi"/>
          <w:sz w:val="21"/>
          <w:szCs w:val="22"/>
          <w14:ligatures w14:val="standardContextual"/>
        </w:rPr>
      </w:pPr>
      <w:r>
        <w:fldChar w:fldCharType="begin"/>
      </w:r>
      <w:r>
        <w:instrText xml:space="preserve"> HYPERLINK \l "_Toc167440871" </w:instrText>
      </w:r>
      <w:r>
        <w:fldChar w:fldCharType="separate"/>
      </w:r>
      <w:r>
        <w:rPr>
          <w:rStyle w:val="36"/>
          <w:rFonts w:eastAsia="黑体"/>
        </w:rPr>
        <w:t>3.1</w:t>
      </w:r>
      <w:r>
        <w:rPr>
          <w:rFonts w:asciiTheme="minorHAnsi" w:hAnsiTheme="minorHAnsi" w:eastAsiaTheme="minorEastAsia" w:cstheme="minorBidi"/>
          <w:sz w:val="21"/>
          <w:szCs w:val="22"/>
          <w14:ligatures w14:val="standardContextual"/>
        </w:rPr>
        <w:tab/>
      </w:r>
      <w:r>
        <w:rPr>
          <w:rStyle w:val="36"/>
        </w:rPr>
        <w:t>引言</w:t>
      </w:r>
      <w:r>
        <w:tab/>
      </w:r>
      <w:r>
        <w:fldChar w:fldCharType="begin"/>
      </w:r>
      <w:r>
        <w:instrText xml:space="preserve"> PAGEREF _Toc167440871 \h </w:instrText>
      </w:r>
      <w:r>
        <w:fldChar w:fldCharType="separate"/>
      </w:r>
      <w:r>
        <w:t>25</w:t>
      </w:r>
      <w:r>
        <w:fldChar w:fldCharType="end"/>
      </w:r>
      <w:r>
        <w:fldChar w:fldCharType="end"/>
      </w:r>
    </w:p>
    <w:p w14:paraId="3F19C5F5">
      <w:pPr>
        <w:pStyle w:val="25"/>
        <w:tabs>
          <w:tab w:val="left" w:pos="1050"/>
          <w:tab w:val="right" w:leader="dot" w:pos="8777"/>
        </w:tabs>
        <w:ind w:left="456"/>
        <w:rPr>
          <w:rFonts w:asciiTheme="minorHAnsi" w:hAnsiTheme="minorHAnsi" w:eastAsiaTheme="minorEastAsia" w:cstheme="minorBidi"/>
          <w:sz w:val="21"/>
          <w:szCs w:val="22"/>
          <w14:ligatures w14:val="standardContextual"/>
        </w:rPr>
      </w:pPr>
      <w:r>
        <w:fldChar w:fldCharType="begin"/>
      </w:r>
      <w:r>
        <w:instrText xml:space="preserve"> HYPERLINK \l "_Toc167440872" </w:instrText>
      </w:r>
      <w:r>
        <w:fldChar w:fldCharType="separate"/>
      </w:r>
      <w:r>
        <w:rPr>
          <w:rStyle w:val="36"/>
          <w:rFonts w:eastAsia="黑体"/>
        </w:rPr>
        <w:t>3.2</w:t>
      </w:r>
      <w:r>
        <w:rPr>
          <w:rFonts w:asciiTheme="minorHAnsi" w:hAnsiTheme="minorHAnsi" w:eastAsiaTheme="minorEastAsia" w:cstheme="minorBidi"/>
          <w:sz w:val="21"/>
          <w:szCs w:val="22"/>
          <w14:ligatures w14:val="standardContextual"/>
        </w:rPr>
        <w:tab/>
      </w:r>
      <w:r>
        <w:rPr>
          <w:rStyle w:val="36"/>
        </w:rPr>
        <w:t>系统主要工作参数</w:t>
      </w:r>
      <w:r>
        <w:tab/>
      </w:r>
      <w:r>
        <w:fldChar w:fldCharType="begin"/>
      </w:r>
      <w:r>
        <w:instrText xml:space="preserve"> PAGEREF _Toc167440872 \h </w:instrText>
      </w:r>
      <w:r>
        <w:fldChar w:fldCharType="separate"/>
      </w:r>
      <w:r>
        <w:t>25</w:t>
      </w:r>
      <w:r>
        <w:fldChar w:fldCharType="end"/>
      </w:r>
      <w:r>
        <w:fldChar w:fldCharType="end"/>
      </w:r>
    </w:p>
    <w:p w14:paraId="5ACC2284">
      <w:pPr>
        <w:pStyle w:val="15"/>
        <w:tabs>
          <w:tab w:val="left" w:pos="1695"/>
          <w:tab w:val="right" w:leader="dot" w:pos="8777"/>
        </w:tabs>
        <w:ind w:left="1080"/>
        <w:rPr>
          <w:rFonts w:asciiTheme="minorHAnsi" w:hAnsiTheme="minorHAnsi" w:eastAsiaTheme="minorEastAsia" w:cstheme="minorBidi"/>
          <w:sz w:val="21"/>
          <w:szCs w:val="22"/>
          <w14:ligatures w14:val="standardContextual"/>
        </w:rPr>
      </w:pPr>
      <w:r>
        <w:fldChar w:fldCharType="begin"/>
      </w:r>
      <w:r>
        <w:instrText xml:space="preserve"> HYPERLINK \l "_Toc167440873" </w:instrText>
      </w:r>
      <w:r>
        <w:fldChar w:fldCharType="separate"/>
      </w:r>
      <w:r>
        <w:rPr>
          <w:rStyle w:val="36"/>
        </w:rPr>
        <w:t>3.2.1</w:t>
      </w:r>
      <w:r>
        <w:rPr>
          <w:rFonts w:asciiTheme="minorHAnsi" w:hAnsiTheme="minorHAnsi" w:eastAsiaTheme="minorEastAsia" w:cstheme="minorBidi"/>
          <w:sz w:val="21"/>
          <w:szCs w:val="22"/>
          <w14:ligatures w14:val="standardContextual"/>
        </w:rPr>
        <w:tab/>
      </w:r>
      <w:r>
        <w:rPr>
          <w:rStyle w:val="36"/>
        </w:rPr>
        <w:t>工作频率</w:t>
      </w:r>
      <w:r>
        <w:tab/>
      </w:r>
      <w:r>
        <w:fldChar w:fldCharType="begin"/>
      </w:r>
      <w:r>
        <w:instrText xml:space="preserve"> PAGEREF _Toc167440873 \h </w:instrText>
      </w:r>
      <w:r>
        <w:fldChar w:fldCharType="separate"/>
      </w:r>
      <w:r>
        <w:t>25</w:t>
      </w:r>
      <w:r>
        <w:fldChar w:fldCharType="end"/>
      </w:r>
      <w:r>
        <w:fldChar w:fldCharType="end"/>
      </w:r>
    </w:p>
    <w:p w14:paraId="64550BFA">
      <w:pPr>
        <w:pStyle w:val="15"/>
        <w:tabs>
          <w:tab w:val="left" w:pos="1695"/>
          <w:tab w:val="right" w:leader="dot" w:pos="8777"/>
        </w:tabs>
        <w:ind w:left="1080"/>
        <w:rPr>
          <w:rFonts w:asciiTheme="minorHAnsi" w:hAnsiTheme="minorHAnsi" w:eastAsiaTheme="minorEastAsia" w:cstheme="minorBidi"/>
          <w:sz w:val="21"/>
          <w:szCs w:val="22"/>
          <w14:ligatures w14:val="standardContextual"/>
        </w:rPr>
      </w:pPr>
      <w:r>
        <w:fldChar w:fldCharType="begin"/>
      </w:r>
      <w:r>
        <w:instrText xml:space="preserve"> HYPERLINK \l "_Toc167440874" </w:instrText>
      </w:r>
      <w:r>
        <w:fldChar w:fldCharType="separate"/>
      </w:r>
      <w:r>
        <w:rPr>
          <w:rStyle w:val="36"/>
        </w:rPr>
        <w:t>3.2.2</w:t>
      </w:r>
      <w:r>
        <w:rPr>
          <w:rFonts w:asciiTheme="minorHAnsi" w:hAnsiTheme="minorHAnsi" w:eastAsiaTheme="minorEastAsia" w:cstheme="minorBidi"/>
          <w:sz w:val="21"/>
          <w:szCs w:val="22"/>
          <w14:ligatures w14:val="standardContextual"/>
        </w:rPr>
        <w:tab/>
      </w:r>
      <w:r>
        <w:rPr>
          <w:rStyle w:val="36"/>
        </w:rPr>
        <w:t>扫频带宽</w:t>
      </w:r>
      <w:r>
        <w:tab/>
      </w:r>
      <w:r>
        <w:fldChar w:fldCharType="begin"/>
      </w:r>
      <w:r>
        <w:instrText xml:space="preserve"> PAGEREF _Toc167440874 \h </w:instrText>
      </w:r>
      <w:r>
        <w:fldChar w:fldCharType="separate"/>
      </w:r>
      <w:r>
        <w:t>25</w:t>
      </w:r>
      <w:r>
        <w:fldChar w:fldCharType="end"/>
      </w:r>
      <w:r>
        <w:fldChar w:fldCharType="end"/>
      </w:r>
    </w:p>
    <w:p w14:paraId="2DB9507C">
      <w:pPr>
        <w:pStyle w:val="15"/>
        <w:tabs>
          <w:tab w:val="left" w:pos="1695"/>
          <w:tab w:val="right" w:leader="dot" w:pos="8777"/>
        </w:tabs>
        <w:ind w:left="1080"/>
        <w:rPr>
          <w:rFonts w:asciiTheme="minorHAnsi" w:hAnsiTheme="minorHAnsi" w:eastAsiaTheme="minorEastAsia" w:cstheme="minorBidi"/>
          <w:sz w:val="21"/>
          <w:szCs w:val="22"/>
          <w14:ligatures w14:val="standardContextual"/>
        </w:rPr>
      </w:pPr>
      <w:r>
        <w:fldChar w:fldCharType="begin"/>
      </w:r>
      <w:r>
        <w:instrText xml:space="preserve"> HYPERLINK \l "_Toc167440875" </w:instrText>
      </w:r>
      <w:r>
        <w:fldChar w:fldCharType="separate"/>
      </w:r>
      <w:r>
        <w:rPr>
          <w:rStyle w:val="36"/>
        </w:rPr>
        <w:t>3.2.3</w:t>
      </w:r>
      <w:r>
        <w:rPr>
          <w:rFonts w:asciiTheme="minorHAnsi" w:hAnsiTheme="minorHAnsi" w:eastAsiaTheme="minorEastAsia" w:cstheme="minorBidi"/>
          <w:sz w:val="21"/>
          <w:szCs w:val="22"/>
          <w14:ligatures w14:val="standardContextual"/>
        </w:rPr>
        <w:tab/>
      </w:r>
      <w:r>
        <w:rPr>
          <w:rStyle w:val="36"/>
        </w:rPr>
        <w:t>扫频周期</w:t>
      </w:r>
      <w:r>
        <w:tab/>
      </w:r>
      <w:r>
        <w:fldChar w:fldCharType="begin"/>
      </w:r>
      <w:r>
        <w:instrText xml:space="preserve"> PAGEREF _Toc167440875 \h </w:instrText>
      </w:r>
      <w:r>
        <w:fldChar w:fldCharType="separate"/>
      </w:r>
      <w:r>
        <w:t>26</w:t>
      </w:r>
      <w:r>
        <w:fldChar w:fldCharType="end"/>
      </w:r>
      <w:r>
        <w:fldChar w:fldCharType="end"/>
      </w:r>
    </w:p>
    <w:p w14:paraId="395176A5">
      <w:pPr>
        <w:pStyle w:val="25"/>
        <w:tabs>
          <w:tab w:val="left" w:pos="1050"/>
          <w:tab w:val="right" w:leader="dot" w:pos="8777"/>
        </w:tabs>
        <w:ind w:left="456"/>
        <w:rPr>
          <w:rFonts w:asciiTheme="minorHAnsi" w:hAnsiTheme="minorHAnsi" w:eastAsiaTheme="minorEastAsia" w:cstheme="minorBidi"/>
          <w:sz w:val="21"/>
          <w:szCs w:val="22"/>
          <w14:ligatures w14:val="standardContextual"/>
        </w:rPr>
      </w:pPr>
      <w:r>
        <w:fldChar w:fldCharType="begin"/>
      </w:r>
      <w:r>
        <w:instrText xml:space="preserve"> HYPERLINK \l "_Toc167440876" </w:instrText>
      </w:r>
      <w:r>
        <w:fldChar w:fldCharType="separate"/>
      </w:r>
      <w:r>
        <w:rPr>
          <w:rStyle w:val="36"/>
          <w:rFonts w:eastAsia="黑体"/>
        </w:rPr>
        <w:t>3.3</w:t>
      </w:r>
      <w:r>
        <w:rPr>
          <w:rFonts w:asciiTheme="minorHAnsi" w:hAnsiTheme="minorHAnsi" w:eastAsiaTheme="minorEastAsia" w:cstheme="minorBidi"/>
          <w:sz w:val="21"/>
          <w:szCs w:val="22"/>
          <w14:ligatures w14:val="standardContextual"/>
        </w:rPr>
        <w:tab/>
      </w:r>
      <w:r>
        <w:rPr>
          <w:rStyle w:val="36"/>
        </w:rPr>
        <w:t>诊断系统方案设计</w:t>
      </w:r>
      <w:r>
        <w:tab/>
      </w:r>
      <w:r>
        <w:fldChar w:fldCharType="begin"/>
      </w:r>
      <w:r>
        <w:instrText xml:space="preserve"> PAGEREF _Toc167440876 \h </w:instrText>
      </w:r>
      <w:r>
        <w:fldChar w:fldCharType="separate"/>
      </w:r>
      <w:r>
        <w:t>26</w:t>
      </w:r>
      <w:r>
        <w:fldChar w:fldCharType="end"/>
      </w:r>
      <w:r>
        <w:fldChar w:fldCharType="end"/>
      </w:r>
    </w:p>
    <w:p w14:paraId="05416A5E">
      <w:pPr>
        <w:pStyle w:val="15"/>
        <w:tabs>
          <w:tab w:val="left" w:pos="1695"/>
          <w:tab w:val="right" w:leader="dot" w:pos="8777"/>
        </w:tabs>
        <w:ind w:left="1080"/>
        <w:rPr>
          <w:rFonts w:asciiTheme="minorHAnsi" w:hAnsiTheme="minorHAnsi" w:eastAsiaTheme="minorEastAsia" w:cstheme="minorBidi"/>
          <w:sz w:val="21"/>
          <w:szCs w:val="22"/>
          <w14:ligatures w14:val="standardContextual"/>
        </w:rPr>
      </w:pPr>
      <w:r>
        <w:fldChar w:fldCharType="begin"/>
      </w:r>
      <w:r>
        <w:instrText xml:space="preserve"> HYPERLINK \l "_Toc167440877" </w:instrText>
      </w:r>
      <w:r>
        <w:fldChar w:fldCharType="separate"/>
      </w:r>
      <w:r>
        <w:rPr>
          <w:rStyle w:val="36"/>
        </w:rPr>
        <w:t>3.3.1</w:t>
      </w:r>
      <w:r>
        <w:rPr>
          <w:rFonts w:asciiTheme="minorHAnsi" w:hAnsiTheme="minorHAnsi" w:eastAsiaTheme="minorEastAsia" w:cstheme="minorBidi"/>
          <w:sz w:val="21"/>
          <w:szCs w:val="22"/>
          <w14:ligatures w14:val="standardContextual"/>
        </w:rPr>
        <w:tab/>
      </w:r>
      <w:r>
        <w:rPr>
          <w:rStyle w:val="36"/>
        </w:rPr>
        <w:t>链路方案设计</w:t>
      </w:r>
      <w:r>
        <w:tab/>
      </w:r>
      <w:r>
        <w:fldChar w:fldCharType="begin"/>
      </w:r>
      <w:r>
        <w:instrText xml:space="preserve"> PAGEREF _Toc167440877 \h </w:instrText>
      </w:r>
      <w:r>
        <w:fldChar w:fldCharType="separate"/>
      </w:r>
      <w:r>
        <w:t>28</w:t>
      </w:r>
      <w:r>
        <w:fldChar w:fldCharType="end"/>
      </w:r>
      <w:r>
        <w:fldChar w:fldCharType="end"/>
      </w:r>
    </w:p>
    <w:p w14:paraId="399A4422">
      <w:pPr>
        <w:pStyle w:val="15"/>
        <w:tabs>
          <w:tab w:val="left" w:pos="1695"/>
          <w:tab w:val="right" w:leader="dot" w:pos="8777"/>
        </w:tabs>
        <w:ind w:left="1080"/>
        <w:rPr>
          <w:rFonts w:asciiTheme="minorHAnsi" w:hAnsiTheme="minorHAnsi" w:eastAsiaTheme="minorEastAsia" w:cstheme="minorBidi"/>
          <w:sz w:val="21"/>
          <w:szCs w:val="22"/>
          <w14:ligatures w14:val="standardContextual"/>
        </w:rPr>
      </w:pPr>
      <w:r>
        <w:fldChar w:fldCharType="begin"/>
      </w:r>
      <w:r>
        <w:instrText xml:space="preserve"> HYPERLINK \l "_Toc167440878" </w:instrText>
      </w:r>
      <w:r>
        <w:fldChar w:fldCharType="separate"/>
      </w:r>
      <w:r>
        <w:rPr>
          <w:rStyle w:val="36"/>
        </w:rPr>
        <w:t>3.3.2</w:t>
      </w:r>
      <w:r>
        <w:rPr>
          <w:rFonts w:asciiTheme="minorHAnsi" w:hAnsiTheme="minorHAnsi" w:eastAsiaTheme="minorEastAsia" w:cstheme="minorBidi"/>
          <w:sz w:val="21"/>
          <w:szCs w:val="22"/>
          <w14:ligatures w14:val="standardContextual"/>
        </w:rPr>
        <w:tab/>
      </w:r>
      <w:r>
        <w:rPr>
          <w:rStyle w:val="36"/>
        </w:rPr>
        <w:t>链路模块选择</w:t>
      </w:r>
      <w:r>
        <w:tab/>
      </w:r>
      <w:r>
        <w:fldChar w:fldCharType="begin"/>
      </w:r>
      <w:r>
        <w:instrText xml:space="preserve"> PAGEREF _Toc167440878 \h </w:instrText>
      </w:r>
      <w:r>
        <w:fldChar w:fldCharType="separate"/>
      </w:r>
      <w:r>
        <w:t>30</w:t>
      </w:r>
      <w:r>
        <w:fldChar w:fldCharType="end"/>
      </w:r>
      <w:r>
        <w:fldChar w:fldCharType="end"/>
      </w:r>
    </w:p>
    <w:p w14:paraId="6E3497BA">
      <w:pPr>
        <w:pStyle w:val="25"/>
        <w:tabs>
          <w:tab w:val="left" w:pos="1050"/>
          <w:tab w:val="right" w:leader="dot" w:pos="8777"/>
        </w:tabs>
        <w:ind w:left="456"/>
        <w:rPr>
          <w:rFonts w:asciiTheme="minorHAnsi" w:hAnsiTheme="minorHAnsi" w:eastAsiaTheme="minorEastAsia" w:cstheme="minorBidi"/>
          <w:sz w:val="21"/>
          <w:szCs w:val="22"/>
          <w14:ligatures w14:val="standardContextual"/>
        </w:rPr>
      </w:pPr>
      <w:r>
        <w:fldChar w:fldCharType="begin"/>
      </w:r>
      <w:r>
        <w:instrText xml:space="preserve"> HYPERLINK \l "_Toc167440879" </w:instrText>
      </w:r>
      <w:r>
        <w:fldChar w:fldCharType="separate"/>
      </w:r>
      <w:r>
        <w:rPr>
          <w:rStyle w:val="36"/>
          <w:rFonts w:eastAsia="黑体"/>
        </w:rPr>
        <w:t>3.4</w:t>
      </w:r>
      <w:r>
        <w:rPr>
          <w:rFonts w:asciiTheme="minorHAnsi" w:hAnsiTheme="minorHAnsi" w:eastAsiaTheme="minorEastAsia" w:cstheme="minorBidi"/>
          <w:sz w:val="21"/>
          <w:szCs w:val="22"/>
          <w14:ligatures w14:val="standardContextual"/>
        </w:rPr>
        <w:tab/>
      </w:r>
      <w:r>
        <w:rPr>
          <w:rStyle w:val="36"/>
        </w:rPr>
        <w:t>系统扩频方案</w:t>
      </w:r>
      <w:r>
        <w:tab/>
      </w:r>
      <w:r>
        <w:fldChar w:fldCharType="begin"/>
      </w:r>
      <w:r>
        <w:instrText xml:space="preserve"> PAGEREF _Toc167440879 \h </w:instrText>
      </w:r>
      <w:r>
        <w:fldChar w:fldCharType="separate"/>
      </w:r>
      <w:r>
        <w:t>33</w:t>
      </w:r>
      <w:r>
        <w:fldChar w:fldCharType="end"/>
      </w:r>
      <w:r>
        <w:fldChar w:fldCharType="end"/>
      </w:r>
    </w:p>
    <w:p w14:paraId="72ADB06E">
      <w:pPr>
        <w:pStyle w:val="25"/>
        <w:tabs>
          <w:tab w:val="left" w:pos="1050"/>
          <w:tab w:val="right" w:leader="dot" w:pos="8777"/>
        </w:tabs>
        <w:ind w:left="456"/>
        <w:rPr>
          <w:rFonts w:asciiTheme="minorHAnsi" w:hAnsiTheme="minorHAnsi" w:eastAsiaTheme="minorEastAsia" w:cstheme="minorBidi"/>
          <w:sz w:val="21"/>
          <w:szCs w:val="22"/>
          <w14:ligatures w14:val="standardContextual"/>
        </w:rPr>
      </w:pPr>
      <w:r>
        <w:fldChar w:fldCharType="begin"/>
      </w:r>
      <w:r>
        <w:instrText xml:space="preserve"> HYPERLINK \l "_Toc167440880" </w:instrText>
      </w:r>
      <w:r>
        <w:fldChar w:fldCharType="separate"/>
      </w:r>
      <w:r>
        <w:rPr>
          <w:rStyle w:val="36"/>
          <w:rFonts w:eastAsia="黑体"/>
        </w:rPr>
        <w:t>3.5</w:t>
      </w:r>
      <w:r>
        <w:rPr>
          <w:rFonts w:asciiTheme="minorHAnsi" w:hAnsiTheme="minorHAnsi" w:eastAsiaTheme="minorEastAsia" w:cstheme="minorBidi"/>
          <w:sz w:val="21"/>
          <w:szCs w:val="22"/>
          <w14:ligatures w14:val="standardContextual"/>
        </w:rPr>
        <w:tab/>
      </w:r>
      <w:r>
        <w:rPr>
          <w:rStyle w:val="36"/>
        </w:rPr>
        <w:t>基于ADS的系统仿真</w:t>
      </w:r>
      <w:r>
        <w:tab/>
      </w:r>
      <w:r>
        <w:fldChar w:fldCharType="begin"/>
      </w:r>
      <w:r>
        <w:instrText xml:space="preserve"> PAGEREF _Toc167440880 \h </w:instrText>
      </w:r>
      <w:r>
        <w:fldChar w:fldCharType="separate"/>
      </w:r>
      <w:r>
        <w:t>35</w:t>
      </w:r>
      <w:r>
        <w:fldChar w:fldCharType="end"/>
      </w:r>
      <w:r>
        <w:fldChar w:fldCharType="end"/>
      </w:r>
    </w:p>
    <w:p w14:paraId="0C566187">
      <w:pPr>
        <w:pStyle w:val="15"/>
        <w:tabs>
          <w:tab w:val="left" w:pos="1695"/>
          <w:tab w:val="right" w:leader="dot" w:pos="8777"/>
        </w:tabs>
        <w:ind w:left="1080"/>
        <w:rPr>
          <w:rFonts w:asciiTheme="minorHAnsi" w:hAnsiTheme="minorHAnsi" w:eastAsiaTheme="minorEastAsia" w:cstheme="minorBidi"/>
          <w:sz w:val="21"/>
          <w:szCs w:val="22"/>
          <w14:ligatures w14:val="standardContextual"/>
        </w:rPr>
      </w:pPr>
      <w:r>
        <w:fldChar w:fldCharType="begin"/>
      </w:r>
      <w:r>
        <w:instrText xml:space="preserve"> HYPERLINK \l "_Toc167440881" </w:instrText>
      </w:r>
      <w:r>
        <w:fldChar w:fldCharType="separate"/>
      </w:r>
      <w:r>
        <w:rPr>
          <w:rStyle w:val="36"/>
        </w:rPr>
        <w:t>3.5.1</w:t>
      </w:r>
      <w:r>
        <w:rPr>
          <w:rFonts w:asciiTheme="minorHAnsi" w:hAnsiTheme="minorHAnsi" w:eastAsiaTheme="minorEastAsia" w:cstheme="minorBidi"/>
          <w:sz w:val="21"/>
          <w:szCs w:val="22"/>
          <w14:ligatures w14:val="standardContextual"/>
        </w:rPr>
        <w:tab/>
      </w:r>
      <w:r>
        <w:rPr>
          <w:rStyle w:val="36"/>
        </w:rPr>
        <w:t>低通滤波器设计仿真</w:t>
      </w:r>
      <w:r>
        <w:tab/>
      </w:r>
      <w:r>
        <w:fldChar w:fldCharType="begin"/>
      </w:r>
      <w:r>
        <w:instrText xml:space="preserve"> PAGEREF _Toc167440881 \h </w:instrText>
      </w:r>
      <w:r>
        <w:fldChar w:fldCharType="separate"/>
      </w:r>
      <w:r>
        <w:t>35</w:t>
      </w:r>
      <w:r>
        <w:fldChar w:fldCharType="end"/>
      </w:r>
      <w:r>
        <w:fldChar w:fldCharType="end"/>
      </w:r>
    </w:p>
    <w:p w14:paraId="68E82B5E">
      <w:pPr>
        <w:pStyle w:val="15"/>
        <w:tabs>
          <w:tab w:val="left" w:pos="1695"/>
          <w:tab w:val="right" w:leader="dot" w:pos="8777"/>
        </w:tabs>
        <w:ind w:left="1080"/>
        <w:rPr>
          <w:rFonts w:asciiTheme="minorHAnsi" w:hAnsiTheme="minorHAnsi" w:eastAsiaTheme="minorEastAsia" w:cstheme="minorBidi"/>
          <w:sz w:val="21"/>
          <w:szCs w:val="22"/>
          <w14:ligatures w14:val="standardContextual"/>
        </w:rPr>
      </w:pPr>
      <w:r>
        <w:fldChar w:fldCharType="begin"/>
      </w:r>
      <w:r>
        <w:instrText xml:space="preserve"> HYPERLINK \l "_Toc167440882" </w:instrText>
      </w:r>
      <w:r>
        <w:fldChar w:fldCharType="separate"/>
      </w:r>
      <w:r>
        <w:rPr>
          <w:rStyle w:val="36"/>
        </w:rPr>
        <w:t>3.5.2</w:t>
      </w:r>
      <w:r>
        <w:rPr>
          <w:rFonts w:asciiTheme="minorHAnsi" w:hAnsiTheme="minorHAnsi" w:eastAsiaTheme="minorEastAsia" w:cstheme="minorBidi"/>
          <w:sz w:val="21"/>
          <w:szCs w:val="22"/>
          <w14:ligatures w14:val="standardContextual"/>
        </w:rPr>
        <w:tab/>
      </w:r>
      <w:r>
        <w:rPr>
          <w:rStyle w:val="36"/>
        </w:rPr>
        <w:t>系统信号瞬态仿真</w:t>
      </w:r>
      <w:r>
        <w:tab/>
      </w:r>
      <w:r>
        <w:fldChar w:fldCharType="begin"/>
      </w:r>
      <w:r>
        <w:instrText xml:space="preserve"> PAGEREF _Toc167440882 \h </w:instrText>
      </w:r>
      <w:r>
        <w:fldChar w:fldCharType="separate"/>
      </w:r>
      <w:r>
        <w:t>36</w:t>
      </w:r>
      <w:r>
        <w:fldChar w:fldCharType="end"/>
      </w:r>
      <w:r>
        <w:fldChar w:fldCharType="end"/>
      </w:r>
    </w:p>
    <w:p w14:paraId="2DD49F40">
      <w:pPr>
        <w:pStyle w:val="25"/>
        <w:tabs>
          <w:tab w:val="left" w:pos="1050"/>
          <w:tab w:val="right" w:leader="dot" w:pos="8777"/>
        </w:tabs>
        <w:ind w:left="456"/>
        <w:rPr>
          <w:rFonts w:asciiTheme="minorHAnsi" w:hAnsiTheme="minorHAnsi" w:eastAsiaTheme="minorEastAsia" w:cstheme="minorBidi"/>
          <w:sz w:val="21"/>
          <w:szCs w:val="22"/>
          <w14:ligatures w14:val="standardContextual"/>
        </w:rPr>
      </w:pPr>
      <w:r>
        <w:fldChar w:fldCharType="begin"/>
      </w:r>
      <w:r>
        <w:instrText xml:space="preserve"> HYPERLINK \l "_Toc167440883" </w:instrText>
      </w:r>
      <w:r>
        <w:fldChar w:fldCharType="separate"/>
      </w:r>
      <w:r>
        <w:rPr>
          <w:rStyle w:val="36"/>
          <w:rFonts w:eastAsia="黑体"/>
        </w:rPr>
        <w:t>3.6</w:t>
      </w:r>
      <w:r>
        <w:rPr>
          <w:rFonts w:asciiTheme="minorHAnsi" w:hAnsiTheme="minorHAnsi" w:eastAsiaTheme="minorEastAsia" w:cstheme="minorBidi"/>
          <w:sz w:val="21"/>
          <w:szCs w:val="22"/>
          <w14:ligatures w14:val="standardContextual"/>
        </w:rPr>
        <w:tab/>
      </w:r>
      <w:r>
        <w:rPr>
          <w:rStyle w:val="36"/>
        </w:rPr>
        <w:t>诊断系统实物调试</w:t>
      </w:r>
      <w:r>
        <w:tab/>
      </w:r>
      <w:r>
        <w:fldChar w:fldCharType="begin"/>
      </w:r>
      <w:r>
        <w:instrText xml:space="preserve"> PAGEREF _Toc167440883 \h </w:instrText>
      </w:r>
      <w:r>
        <w:fldChar w:fldCharType="separate"/>
      </w:r>
      <w:r>
        <w:t>39</w:t>
      </w:r>
      <w:r>
        <w:fldChar w:fldCharType="end"/>
      </w:r>
      <w:r>
        <w:fldChar w:fldCharType="end"/>
      </w:r>
    </w:p>
    <w:p w14:paraId="50EE1584">
      <w:pPr>
        <w:pStyle w:val="25"/>
        <w:tabs>
          <w:tab w:val="left" w:pos="1050"/>
          <w:tab w:val="right" w:leader="dot" w:pos="8777"/>
        </w:tabs>
        <w:ind w:left="456"/>
        <w:rPr>
          <w:rFonts w:asciiTheme="minorHAnsi" w:hAnsiTheme="minorHAnsi" w:eastAsiaTheme="minorEastAsia" w:cstheme="minorBidi"/>
          <w:sz w:val="21"/>
          <w:szCs w:val="22"/>
          <w14:ligatures w14:val="standardContextual"/>
        </w:rPr>
      </w:pPr>
      <w:r>
        <w:fldChar w:fldCharType="begin"/>
      </w:r>
      <w:r>
        <w:instrText xml:space="preserve"> HYPERLINK \l "_Toc167440884" </w:instrText>
      </w:r>
      <w:r>
        <w:fldChar w:fldCharType="separate"/>
      </w:r>
      <w:r>
        <w:rPr>
          <w:rStyle w:val="36"/>
          <w:rFonts w:eastAsia="黑体"/>
        </w:rPr>
        <w:t>3.7</w:t>
      </w:r>
      <w:r>
        <w:rPr>
          <w:rFonts w:asciiTheme="minorHAnsi" w:hAnsiTheme="minorHAnsi" w:eastAsiaTheme="minorEastAsia" w:cstheme="minorBidi"/>
          <w:sz w:val="21"/>
          <w:szCs w:val="22"/>
          <w14:ligatures w14:val="standardContextual"/>
        </w:rPr>
        <w:tab/>
      </w:r>
      <w:r>
        <w:rPr>
          <w:rStyle w:val="36"/>
        </w:rPr>
        <w:t>本章小结</w:t>
      </w:r>
      <w:r>
        <w:tab/>
      </w:r>
      <w:r>
        <w:fldChar w:fldCharType="begin"/>
      </w:r>
      <w:r>
        <w:instrText xml:space="preserve"> PAGEREF _Toc167440884 \h </w:instrText>
      </w:r>
      <w:r>
        <w:fldChar w:fldCharType="separate"/>
      </w:r>
      <w:r>
        <w:t>43</w:t>
      </w:r>
      <w:r>
        <w:fldChar w:fldCharType="end"/>
      </w:r>
      <w:r>
        <w:fldChar w:fldCharType="end"/>
      </w:r>
    </w:p>
    <w:p w14:paraId="58BC5CCB">
      <w:pPr>
        <w:pStyle w:val="21"/>
        <w:tabs>
          <w:tab w:val="left" w:pos="1050"/>
          <w:tab w:val="right" w:leader="dot" w:pos="8777"/>
        </w:tabs>
        <w:rPr>
          <w:rFonts w:asciiTheme="minorHAnsi" w:hAnsiTheme="minorHAnsi" w:eastAsiaTheme="minorEastAsia" w:cstheme="minorBidi"/>
          <w:sz w:val="21"/>
          <w:szCs w:val="22"/>
          <w14:ligatures w14:val="standardContextual"/>
        </w:rPr>
      </w:pPr>
      <w:r>
        <w:fldChar w:fldCharType="begin"/>
      </w:r>
      <w:r>
        <w:instrText xml:space="preserve"> HYPERLINK \l "_Toc167440885" </w:instrText>
      </w:r>
      <w:r>
        <w:fldChar w:fldCharType="separate"/>
      </w:r>
      <w:r>
        <w:rPr>
          <w:rStyle w:val="36"/>
        </w:rPr>
        <w:t>第四章</w:t>
      </w:r>
      <w:r>
        <w:rPr>
          <w:rFonts w:asciiTheme="minorHAnsi" w:hAnsiTheme="minorHAnsi" w:eastAsiaTheme="minorEastAsia" w:cstheme="minorBidi"/>
          <w:sz w:val="21"/>
          <w:szCs w:val="22"/>
          <w14:ligatures w14:val="standardContextual"/>
        </w:rPr>
        <w:tab/>
      </w:r>
      <w:r>
        <w:rPr>
          <w:rStyle w:val="36"/>
        </w:rPr>
        <w:t>系统差频信号数据处理</w:t>
      </w:r>
      <w:r>
        <w:tab/>
      </w:r>
      <w:r>
        <w:fldChar w:fldCharType="begin"/>
      </w:r>
      <w:r>
        <w:instrText xml:space="preserve"> PAGEREF _Toc167440885 \h </w:instrText>
      </w:r>
      <w:r>
        <w:fldChar w:fldCharType="separate"/>
      </w:r>
      <w:r>
        <w:t>45</w:t>
      </w:r>
      <w:r>
        <w:fldChar w:fldCharType="end"/>
      </w:r>
      <w:r>
        <w:fldChar w:fldCharType="end"/>
      </w:r>
    </w:p>
    <w:p w14:paraId="4D40AA8B">
      <w:pPr>
        <w:pStyle w:val="25"/>
        <w:tabs>
          <w:tab w:val="left" w:pos="1050"/>
          <w:tab w:val="right" w:leader="dot" w:pos="8777"/>
        </w:tabs>
        <w:ind w:left="456"/>
        <w:rPr>
          <w:rFonts w:asciiTheme="minorHAnsi" w:hAnsiTheme="minorHAnsi" w:eastAsiaTheme="minorEastAsia" w:cstheme="minorBidi"/>
          <w:sz w:val="21"/>
          <w:szCs w:val="22"/>
          <w14:ligatures w14:val="standardContextual"/>
        </w:rPr>
      </w:pPr>
      <w:r>
        <w:fldChar w:fldCharType="begin"/>
      </w:r>
      <w:r>
        <w:instrText xml:space="preserve"> HYPERLINK \l "_Toc167440886" </w:instrText>
      </w:r>
      <w:r>
        <w:fldChar w:fldCharType="separate"/>
      </w:r>
      <w:r>
        <w:rPr>
          <w:rStyle w:val="36"/>
          <w:rFonts w:eastAsia="黑体"/>
        </w:rPr>
        <w:t>4.1</w:t>
      </w:r>
      <w:r>
        <w:rPr>
          <w:rFonts w:asciiTheme="minorHAnsi" w:hAnsiTheme="minorHAnsi" w:eastAsiaTheme="minorEastAsia" w:cstheme="minorBidi"/>
          <w:sz w:val="21"/>
          <w:szCs w:val="22"/>
          <w14:ligatures w14:val="standardContextual"/>
        </w:rPr>
        <w:tab/>
      </w:r>
      <w:r>
        <w:rPr>
          <w:rStyle w:val="36"/>
        </w:rPr>
        <w:t>引言</w:t>
      </w:r>
      <w:r>
        <w:tab/>
      </w:r>
      <w:r>
        <w:fldChar w:fldCharType="begin"/>
      </w:r>
      <w:r>
        <w:instrText xml:space="preserve"> PAGEREF _Toc167440886 \h </w:instrText>
      </w:r>
      <w:r>
        <w:fldChar w:fldCharType="separate"/>
      </w:r>
      <w:r>
        <w:t>45</w:t>
      </w:r>
      <w:r>
        <w:fldChar w:fldCharType="end"/>
      </w:r>
      <w:r>
        <w:fldChar w:fldCharType="end"/>
      </w:r>
    </w:p>
    <w:p w14:paraId="44DB6552">
      <w:pPr>
        <w:pStyle w:val="25"/>
        <w:tabs>
          <w:tab w:val="left" w:pos="1050"/>
          <w:tab w:val="right" w:leader="dot" w:pos="8777"/>
        </w:tabs>
        <w:ind w:left="456"/>
        <w:rPr>
          <w:rFonts w:asciiTheme="minorHAnsi" w:hAnsiTheme="minorHAnsi" w:eastAsiaTheme="minorEastAsia" w:cstheme="minorBidi"/>
          <w:sz w:val="21"/>
          <w:szCs w:val="22"/>
          <w14:ligatures w14:val="standardContextual"/>
        </w:rPr>
      </w:pPr>
      <w:r>
        <w:fldChar w:fldCharType="begin"/>
      </w:r>
      <w:r>
        <w:instrText xml:space="preserve"> HYPERLINK \l "_Toc167440887" </w:instrText>
      </w:r>
      <w:r>
        <w:fldChar w:fldCharType="separate"/>
      </w:r>
      <w:r>
        <w:rPr>
          <w:rStyle w:val="36"/>
          <w:rFonts w:eastAsia="黑体"/>
        </w:rPr>
        <w:t>4.2</w:t>
      </w:r>
      <w:r>
        <w:rPr>
          <w:rFonts w:asciiTheme="minorHAnsi" w:hAnsiTheme="minorHAnsi" w:eastAsiaTheme="minorEastAsia" w:cstheme="minorBidi"/>
          <w:sz w:val="21"/>
          <w:szCs w:val="22"/>
          <w14:ligatures w14:val="standardContextual"/>
        </w:rPr>
        <w:tab/>
      </w:r>
      <w:r>
        <w:rPr>
          <w:rStyle w:val="36"/>
        </w:rPr>
        <w:t>信号处理方案</w:t>
      </w:r>
      <w:r>
        <w:tab/>
      </w:r>
      <w:r>
        <w:fldChar w:fldCharType="begin"/>
      </w:r>
      <w:r>
        <w:instrText xml:space="preserve"> PAGEREF _Toc167440887 \h </w:instrText>
      </w:r>
      <w:r>
        <w:fldChar w:fldCharType="separate"/>
      </w:r>
      <w:r>
        <w:t>45</w:t>
      </w:r>
      <w:r>
        <w:fldChar w:fldCharType="end"/>
      </w:r>
      <w:r>
        <w:fldChar w:fldCharType="end"/>
      </w:r>
    </w:p>
    <w:p w14:paraId="2FCAD7ED">
      <w:pPr>
        <w:pStyle w:val="25"/>
        <w:tabs>
          <w:tab w:val="left" w:pos="1050"/>
          <w:tab w:val="right" w:leader="dot" w:pos="8777"/>
        </w:tabs>
        <w:ind w:left="456"/>
        <w:rPr>
          <w:rFonts w:asciiTheme="minorHAnsi" w:hAnsiTheme="minorHAnsi" w:eastAsiaTheme="minorEastAsia" w:cstheme="minorBidi"/>
          <w:sz w:val="21"/>
          <w:szCs w:val="22"/>
          <w14:ligatures w14:val="standardContextual"/>
        </w:rPr>
      </w:pPr>
      <w:r>
        <w:fldChar w:fldCharType="begin"/>
      </w:r>
      <w:r>
        <w:instrText xml:space="preserve"> HYPERLINK \l "_Toc167440888" </w:instrText>
      </w:r>
      <w:r>
        <w:fldChar w:fldCharType="separate"/>
      </w:r>
      <w:r>
        <w:rPr>
          <w:rStyle w:val="36"/>
          <w:rFonts w:eastAsia="黑体"/>
        </w:rPr>
        <w:t>4.3</w:t>
      </w:r>
      <w:r>
        <w:rPr>
          <w:rFonts w:asciiTheme="minorHAnsi" w:hAnsiTheme="minorHAnsi" w:eastAsiaTheme="minorEastAsia" w:cstheme="minorBidi"/>
          <w:sz w:val="21"/>
          <w:szCs w:val="22"/>
          <w14:ligatures w14:val="standardContextual"/>
        </w:rPr>
        <w:tab/>
      </w:r>
      <w:r>
        <w:rPr>
          <w:rStyle w:val="36"/>
        </w:rPr>
        <w:t>EMD去噪算法</w:t>
      </w:r>
      <w:r>
        <w:tab/>
      </w:r>
      <w:r>
        <w:fldChar w:fldCharType="begin"/>
      </w:r>
      <w:r>
        <w:instrText xml:space="preserve"> PAGEREF _Toc167440888 \h </w:instrText>
      </w:r>
      <w:r>
        <w:fldChar w:fldCharType="separate"/>
      </w:r>
      <w:r>
        <w:t>47</w:t>
      </w:r>
      <w:r>
        <w:fldChar w:fldCharType="end"/>
      </w:r>
      <w:r>
        <w:fldChar w:fldCharType="end"/>
      </w:r>
    </w:p>
    <w:p w14:paraId="13CA7079">
      <w:pPr>
        <w:pStyle w:val="15"/>
        <w:tabs>
          <w:tab w:val="left" w:pos="1680"/>
          <w:tab w:val="right" w:leader="dot" w:pos="8777"/>
        </w:tabs>
        <w:ind w:left="1080"/>
        <w:rPr>
          <w:rFonts w:asciiTheme="minorHAnsi" w:hAnsiTheme="minorHAnsi" w:eastAsiaTheme="minorEastAsia" w:cstheme="minorBidi"/>
          <w:sz w:val="21"/>
          <w:szCs w:val="22"/>
          <w14:ligatures w14:val="standardContextual"/>
        </w:rPr>
      </w:pPr>
      <w:r>
        <w:fldChar w:fldCharType="begin"/>
      </w:r>
      <w:r>
        <w:instrText xml:space="preserve"> HYPERLINK \l "_Toc167440889" </w:instrText>
      </w:r>
      <w:r>
        <w:fldChar w:fldCharType="separate"/>
      </w:r>
      <w:r>
        <w:rPr>
          <w:rStyle w:val="36"/>
        </w:rPr>
        <w:t>4.3.1</w:t>
      </w:r>
      <w:r>
        <w:rPr>
          <w:rFonts w:asciiTheme="minorHAnsi" w:hAnsiTheme="minorHAnsi" w:eastAsiaTheme="minorEastAsia" w:cstheme="minorBidi"/>
          <w:sz w:val="21"/>
          <w:szCs w:val="22"/>
          <w14:ligatures w14:val="standardContextual"/>
        </w:rPr>
        <w:tab/>
      </w:r>
      <w:r>
        <w:rPr>
          <w:rStyle w:val="36"/>
        </w:rPr>
        <w:t>EMD分解基本原理</w:t>
      </w:r>
      <w:r>
        <w:tab/>
      </w:r>
      <w:r>
        <w:fldChar w:fldCharType="begin"/>
      </w:r>
      <w:r>
        <w:instrText xml:space="preserve"> PAGEREF _Toc167440889 \h </w:instrText>
      </w:r>
      <w:r>
        <w:fldChar w:fldCharType="separate"/>
      </w:r>
      <w:r>
        <w:t>47</w:t>
      </w:r>
      <w:r>
        <w:fldChar w:fldCharType="end"/>
      </w:r>
      <w:r>
        <w:fldChar w:fldCharType="end"/>
      </w:r>
    </w:p>
    <w:p w14:paraId="58498F79">
      <w:pPr>
        <w:pStyle w:val="15"/>
        <w:tabs>
          <w:tab w:val="left" w:pos="1695"/>
          <w:tab w:val="right" w:leader="dot" w:pos="8777"/>
        </w:tabs>
        <w:ind w:left="1080"/>
        <w:rPr>
          <w:rFonts w:asciiTheme="minorHAnsi" w:hAnsiTheme="minorHAnsi" w:eastAsiaTheme="minorEastAsia" w:cstheme="minorBidi"/>
          <w:sz w:val="21"/>
          <w:szCs w:val="22"/>
          <w14:ligatures w14:val="standardContextual"/>
        </w:rPr>
      </w:pPr>
      <w:r>
        <w:fldChar w:fldCharType="begin"/>
      </w:r>
      <w:r>
        <w:instrText xml:space="preserve"> HYPERLINK \l "_Toc167440890" </w:instrText>
      </w:r>
      <w:r>
        <w:fldChar w:fldCharType="separate"/>
      </w:r>
      <w:r>
        <w:rPr>
          <w:rStyle w:val="36"/>
        </w:rPr>
        <w:t>4.3.2</w:t>
      </w:r>
      <w:r>
        <w:rPr>
          <w:rFonts w:asciiTheme="minorHAnsi" w:hAnsiTheme="minorHAnsi" w:eastAsiaTheme="minorEastAsia" w:cstheme="minorBidi"/>
          <w:sz w:val="21"/>
          <w:szCs w:val="22"/>
          <w14:ligatures w14:val="standardContextual"/>
        </w:rPr>
        <w:tab/>
      </w:r>
      <w:r>
        <w:rPr>
          <w:rStyle w:val="36"/>
        </w:rPr>
        <w:t>基于相关函数特性的带通滤波方法</w:t>
      </w:r>
      <w:r>
        <w:tab/>
      </w:r>
      <w:r>
        <w:fldChar w:fldCharType="begin"/>
      </w:r>
      <w:r>
        <w:instrText xml:space="preserve"> PAGEREF _Toc167440890 \h </w:instrText>
      </w:r>
      <w:r>
        <w:fldChar w:fldCharType="separate"/>
      </w:r>
      <w:r>
        <w:t>48</w:t>
      </w:r>
      <w:r>
        <w:fldChar w:fldCharType="end"/>
      </w:r>
      <w:r>
        <w:fldChar w:fldCharType="end"/>
      </w:r>
    </w:p>
    <w:p w14:paraId="1911F3AB">
      <w:pPr>
        <w:pStyle w:val="15"/>
        <w:tabs>
          <w:tab w:val="left" w:pos="1695"/>
          <w:tab w:val="right" w:leader="dot" w:pos="8777"/>
        </w:tabs>
        <w:ind w:left="1080"/>
        <w:rPr>
          <w:rFonts w:asciiTheme="minorHAnsi" w:hAnsiTheme="minorHAnsi" w:eastAsiaTheme="minorEastAsia" w:cstheme="minorBidi"/>
          <w:sz w:val="21"/>
          <w:szCs w:val="22"/>
          <w14:ligatures w14:val="standardContextual"/>
        </w:rPr>
      </w:pPr>
      <w:r>
        <w:fldChar w:fldCharType="begin"/>
      </w:r>
      <w:r>
        <w:instrText xml:space="preserve"> HYPERLINK \l "_Toc167440891" </w:instrText>
      </w:r>
      <w:r>
        <w:fldChar w:fldCharType="separate"/>
      </w:r>
      <w:r>
        <w:rPr>
          <w:rStyle w:val="36"/>
        </w:rPr>
        <w:t>4.3.3</w:t>
      </w:r>
      <w:r>
        <w:rPr>
          <w:rFonts w:asciiTheme="minorHAnsi" w:hAnsiTheme="minorHAnsi" w:eastAsiaTheme="minorEastAsia" w:cstheme="minorBidi"/>
          <w:sz w:val="21"/>
          <w:szCs w:val="22"/>
          <w14:ligatures w14:val="standardContextual"/>
        </w:rPr>
        <w:tab/>
      </w:r>
      <w:r>
        <w:rPr>
          <w:rStyle w:val="36"/>
        </w:rPr>
        <w:t>去噪算法测试分析</w:t>
      </w:r>
      <w:r>
        <w:tab/>
      </w:r>
      <w:r>
        <w:fldChar w:fldCharType="begin"/>
      </w:r>
      <w:r>
        <w:instrText xml:space="preserve"> PAGEREF _Toc167440891 \h </w:instrText>
      </w:r>
      <w:r>
        <w:fldChar w:fldCharType="separate"/>
      </w:r>
      <w:r>
        <w:t>48</w:t>
      </w:r>
      <w:r>
        <w:fldChar w:fldCharType="end"/>
      </w:r>
      <w:r>
        <w:fldChar w:fldCharType="end"/>
      </w:r>
    </w:p>
    <w:p w14:paraId="60BDB160">
      <w:pPr>
        <w:pStyle w:val="25"/>
        <w:tabs>
          <w:tab w:val="left" w:pos="1050"/>
          <w:tab w:val="right" w:leader="dot" w:pos="8777"/>
        </w:tabs>
        <w:ind w:left="456"/>
        <w:rPr>
          <w:rFonts w:asciiTheme="minorHAnsi" w:hAnsiTheme="minorHAnsi" w:eastAsiaTheme="minorEastAsia" w:cstheme="minorBidi"/>
          <w:sz w:val="21"/>
          <w:szCs w:val="22"/>
          <w14:ligatures w14:val="standardContextual"/>
        </w:rPr>
      </w:pPr>
      <w:r>
        <w:fldChar w:fldCharType="begin"/>
      </w:r>
      <w:r>
        <w:instrText xml:space="preserve"> HYPERLINK \l "_Toc167440892" </w:instrText>
      </w:r>
      <w:r>
        <w:fldChar w:fldCharType="separate"/>
      </w:r>
      <w:r>
        <w:rPr>
          <w:rStyle w:val="36"/>
          <w:rFonts w:eastAsia="黑体"/>
        </w:rPr>
        <w:t>4.4</w:t>
      </w:r>
      <w:r>
        <w:rPr>
          <w:rFonts w:asciiTheme="minorHAnsi" w:hAnsiTheme="minorHAnsi" w:eastAsiaTheme="minorEastAsia" w:cstheme="minorBidi"/>
          <w:sz w:val="21"/>
          <w:szCs w:val="22"/>
          <w14:ligatures w14:val="standardContextual"/>
        </w:rPr>
        <w:tab/>
      </w:r>
      <w:r>
        <w:rPr>
          <w:rStyle w:val="36"/>
        </w:rPr>
        <w:t>频谱校正算法</w:t>
      </w:r>
      <w:r>
        <w:tab/>
      </w:r>
      <w:r>
        <w:fldChar w:fldCharType="begin"/>
      </w:r>
      <w:r>
        <w:instrText xml:space="preserve"> PAGEREF _Toc167440892 \h </w:instrText>
      </w:r>
      <w:r>
        <w:fldChar w:fldCharType="separate"/>
      </w:r>
      <w:r>
        <w:t>52</w:t>
      </w:r>
      <w:r>
        <w:fldChar w:fldCharType="end"/>
      </w:r>
      <w:r>
        <w:fldChar w:fldCharType="end"/>
      </w:r>
    </w:p>
    <w:p w14:paraId="684A89F0">
      <w:pPr>
        <w:pStyle w:val="15"/>
        <w:tabs>
          <w:tab w:val="left" w:pos="1695"/>
          <w:tab w:val="right" w:leader="dot" w:pos="8777"/>
        </w:tabs>
        <w:ind w:left="1080"/>
        <w:rPr>
          <w:rFonts w:asciiTheme="minorHAnsi" w:hAnsiTheme="minorHAnsi" w:eastAsiaTheme="minorEastAsia" w:cstheme="minorBidi"/>
          <w:sz w:val="21"/>
          <w:szCs w:val="22"/>
          <w14:ligatures w14:val="standardContextual"/>
        </w:rPr>
      </w:pPr>
      <w:r>
        <w:fldChar w:fldCharType="begin"/>
      </w:r>
      <w:r>
        <w:instrText xml:space="preserve"> HYPERLINK \l "_Toc167440893" </w:instrText>
      </w:r>
      <w:r>
        <w:fldChar w:fldCharType="separate"/>
      </w:r>
      <w:r>
        <w:rPr>
          <w:rStyle w:val="36"/>
        </w:rPr>
        <w:t>4.4.1</w:t>
      </w:r>
      <w:r>
        <w:rPr>
          <w:rFonts w:asciiTheme="minorHAnsi" w:hAnsiTheme="minorHAnsi" w:eastAsiaTheme="minorEastAsia" w:cstheme="minorBidi"/>
          <w:sz w:val="21"/>
          <w:szCs w:val="22"/>
          <w14:ligatures w14:val="standardContextual"/>
        </w:rPr>
        <w:tab/>
      </w:r>
      <w:r>
        <w:rPr>
          <w:rStyle w:val="36"/>
        </w:rPr>
        <w:t>校正方法分析</w:t>
      </w:r>
      <w:r>
        <w:tab/>
      </w:r>
      <w:r>
        <w:fldChar w:fldCharType="begin"/>
      </w:r>
      <w:r>
        <w:instrText xml:space="preserve"> PAGEREF _Toc167440893 \h </w:instrText>
      </w:r>
      <w:r>
        <w:fldChar w:fldCharType="separate"/>
      </w:r>
      <w:r>
        <w:t>52</w:t>
      </w:r>
      <w:r>
        <w:fldChar w:fldCharType="end"/>
      </w:r>
      <w:r>
        <w:fldChar w:fldCharType="end"/>
      </w:r>
    </w:p>
    <w:p w14:paraId="0E9AA2C5">
      <w:pPr>
        <w:pStyle w:val="15"/>
        <w:tabs>
          <w:tab w:val="left" w:pos="1695"/>
          <w:tab w:val="right" w:leader="dot" w:pos="8777"/>
        </w:tabs>
        <w:ind w:left="1080"/>
        <w:rPr>
          <w:rFonts w:asciiTheme="minorHAnsi" w:hAnsiTheme="minorHAnsi" w:eastAsiaTheme="minorEastAsia" w:cstheme="minorBidi"/>
          <w:sz w:val="21"/>
          <w:szCs w:val="22"/>
          <w14:ligatures w14:val="standardContextual"/>
        </w:rPr>
      </w:pPr>
      <w:r>
        <w:fldChar w:fldCharType="begin"/>
      </w:r>
      <w:r>
        <w:instrText xml:space="preserve"> HYPERLINK \l "_Toc167440894" </w:instrText>
      </w:r>
      <w:r>
        <w:fldChar w:fldCharType="separate"/>
      </w:r>
      <w:r>
        <w:rPr>
          <w:rStyle w:val="36"/>
        </w:rPr>
        <w:t>4.4.2</w:t>
      </w:r>
      <w:r>
        <w:rPr>
          <w:rFonts w:asciiTheme="minorHAnsi" w:hAnsiTheme="minorHAnsi" w:eastAsiaTheme="minorEastAsia" w:cstheme="minorBidi"/>
          <w:sz w:val="21"/>
          <w:szCs w:val="22"/>
          <w14:ligatures w14:val="standardContextual"/>
        </w:rPr>
        <w:tab/>
      </w:r>
      <w:r>
        <w:rPr>
          <w:rStyle w:val="36"/>
        </w:rPr>
        <w:t>校正算法流程</w:t>
      </w:r>
      <w:r>
        <w:tab/>
      </w:r>
      <w:r>
        <w:fldChar w:fldCharType="begin"/>
      </w:r>
      <w:r>
        <w:instrText xml:space="preserve"> PAGEREF _Toc167440894 \h </w:instrText>
      </w:r>
      <w:r>
        <w:fldChar w:fldCharType="separate"/>
      </w:r>
      <w:r>
        <w:t>55</w:t>
      </w:r>
      <w:r>
        <w:fldChar w:fldCharType="end"/>
      </w:r>
      <w:r>
        <w:fldChar w:fldCharType="end"/>
      </w:r>
    </w:p>
    <w:p w14:paraId="5D63063A">
      <w:pPr>
        <w:pStyle w:val="15"/>
        <w:tabs>
          <w:tab w:val="left" w:pos="1695"/>
          <w:tab w:val="right" w:leader="dot" w:pos="8777"/>
        </w:tabs>
        <w:ind w:left="1080"/>
        <w:rPr>
          <w:rFonts w:asciiTheme="minorHAnsi" w:hAnsiTheme="minorHAnsi" w:eastAsiaTheme="minorEastAsia" w:cstheme="minorBidi"/>
          <w:sz w:val="21"/>
          <w:szCs w:val="22"/>
          <w14:ligatures w14:val="standardContextual"/>
        </w:rPr>
      </w:pPr>
      <w:r>
        <w:fldChar w:fldCharType="begin"/>
      </w:r>
      <w:r>
        <w:instrText xml:space="preserve"> HYPERLINK \l "_Toc167440895" </w:instrText>
      </w:r>
      <w:r>
        <w:fldChar w:fldCharType="separate"/>
      </w:r>
      <w:r>
        <w:rPr>
          <w:rStyle w:val="36"/>
        </w:rPr>
        <w:t>4.4.3</w:t>
      </w:r>
      <w:r>
        <w:rPr>
          <w:rFonts w:asciiTheme="minorHAnsi" w:hAnsiTheme="minorHAnsi" w:eastAsiaTheme="minorEastAsia" w:cstheme="minorBidi"/>
          <w:sz w:val="21"/>
          <w:szCs w:val="22"/>
          <w14:ligatures w14:val="standardContextual"/>
        </w:rPr>
        <w:tab/>
      </w:r>
      <w:r>
        <w:rPr>
          <w:rStyle w:val="36"/>
        </w:rPr>
        <w:t>校正算法测试分析</w:t>
      </w:r>
      <w:r>
        <w:tab/>
      </w:r>
      <w:r>
        <w:fldChar w:fldCharType="begin"/>
      </w:r>
      <w:r>
        <w:instrText xml:space="preserve"> PAGEREF _Toc167440895 \h </w:instrText>
      </w:r>
      <w:r>
        <w:fldChar w:fldCharType="separate"/>
      </w:r>
      <w:r>
        <w:t>56</w:t>
      </w:r>
      <w:r>
        <w:fldChar w:fldCharType="end"/>
      </w:r>
      <w:r>
        <w:fldChar w:fldCharType="end"/>
      </w:r>
    </w:p>
    <w:p w14:paraId="3AF2D4C9">
      <w:pPr>
        <w:pStyle w:val="25"/>
        <w:tabs>
          <w:tab w:val="left" w:pos="1050"/>
          <w:tab w:val="right" w:leader="dot" w:pos="8777"/>
        </w:tabs>
        <w:ind w:left="456"/>
        <w:rPr>
          <w:rFonts w:asciiTheme="minorHAnsi" w:hAnsiTheme="minorHAnsi" w:eastAsiaTheme="minorEastAsia" w:cstheme="minorBidi"/>
          <w:sz w:val="21"/>
          <w:szCs w:val="22"/>
          <w14:ligatures w14:val="standardContextual"/>
        </w:rPr>
      </w:pPr>
      <w:r>
        <w:fldChar w:fldCharType="begin"/>
      </w:r>
      <w:r>
        <w:instrText xml:space="preserve"> HYPERLINK \l "_Toc167440896" </w:instrText>
      </w:r>
      <w:r>
        <w:fldChar w:fldCharType="separate"/>
      </w:r>
      <w:r>
        <w:rPr>
          <w:rStyle w:val="36"/>
          <w:rFonts w:eastAsia="黑体"/>
        </w:rPr>
        <w:t>4.5</w:t>
      </w:r>
      <w:r>
        <w:rPr>
          <w:rFonts w:asciiTheme="minorHAnsi" w:hAnsiTheme="minorHAnsi" w:eastAsiaTheme="minorEastAsia" w:cstheme="minorBidi"/>
          <w:sz w:val="21"/>
          <w:szCs w:val="22"/>
          <w14:ligatures w14:val="standardContextual"/>
        </w:rPr>
        <w:tab/>
      </w:r>
      <w:r>
        <w:rPr>
          <w:rStyle w:val="36"/>
        </w:rPr>
        <w:t>本章小结</w:t>
      </w:r>
      <w:r>
        <w:tab/>
      </w:r>
      <w:r>
        <w:fldChar w:fldCharType="begin"/>
      </w:r>
      <w:r>
        <w:instrText xml:space="preserve"> PAGEREF _Toc167440896 \h </w:instrText>
      </w:r>
      <w:r>
        <w:fldChar w:fldCharType="separate"/>
      </w:r>
      <w:r>
        <w:t>60</w:t>
      </w:r>
      <w:r>
        <w:fldChar w:fldCharType="end"/>
      </w:r>
      <w:r>
        <w:fldChar w:fldCharType="end"/>
      </w:r>
    </w:p>
    <w:p w14:paraId="10D9E436">
      <w:pPr>
        <w:pStyle w:val="21"/>
        <w:tabs>
          <w:tab w:val="left" w:pos="1050"/>
          <w:tab w:val="right" w:leader="dot" w:pos="8777"/>
        </w:tabs>
        <w:rPr>
          <w:rFonts w:asciiTheme="minorHAnsi" w:hAnsiTheme="minorHAnsi" w:eastAsiaTheme="minorEastAsia" w:cstheme="minorBidi"/>
          <w:sz w:val="21"/>
          <w:szCs w:val="22"/>
          <w14:ligatures w14:val="standardContextual"/>
        </w:rPr>
      </w:pPr>
      <w:r>
        <w:fldChar w:fldCharType="begin"/>
      </w:r>
      <w:r>
        <w:instrText xml:space="preserve"> HYPERLINK \l "_Toc167440897" </w:instrText>
      </w:r>
      <w:r>
        <w:fldChar w:fldCharType="separate"/>
      </w:r>
      <w:r>
        <w:rPr>
          <w:rStyle w:val="36"/>
        </w:rPr>
        <w:t>第五章</w:t>
      </w:r>
      <w:r>
        <w:rPr>
          <w:rFonts w:asciiTheme="minorHAnsi" w:hAnsiTheme="minorHAnsi" w:eastAsiaTheme="minorEastAsia" w:cstheme="minorBidi"/>
          <w:sz w:val="21"/>
          <w:szCs w:val="22"/>
          <w14:ligatures w14:val="standardContextual"/>
        </w:rPr>
        <w:tab/>
      </w:r>
      <w:r>
        <w:rPr>
          <w:rStyle w:val="36"/>
        </w:rPr>
        <w:t>系统标定及诊断实验</w:t>
      </w:r>
      <w:r>
        <w:tab/>
      </w:r>
      <w:r>
        <w:fldChar w:fldCharType="begin"/>
      </w:r>
      <w:r>
        <w:instrText xml:space="preserve"> PAGEREF _Toc167440897 \h </w:instrText>
      </w:r>
      <w:r>
        <w:fldChar w:fldCharType="separate"/>
      </w:r>
      <w:r>
        <w:t>61</w:t>
      </w:r>
      <w:r>
        <w:fldChar w:fldCharType="end"/>
      </w:r>
      <w:r>
        <w:fldChar w:fldCharType="end"/>
      </w:r>
    </w:p>
    <w:p w14:paraId="1214A025">
      <w:pPr>
        <w:pStyle w:val="25"/>
        <w:tabs>
          <w:tab w:val="left" w:pos="1050"/>
          <w:tab w:val="right" w:leader="dot" w:pos="8777"/>
        </w:tabs>
        <w:ind w:left="456"/>
        <w:rPr>
          <w:rFonts w:asciiTheme="minorHAnsi" w:hAnsiTheme="minorHAnsi" w:eastAsiaTheme="minorEastAsia" w:cstheme="minorBidi"/>
          <w:sz w:val="21"/>
          <w:szCs w:val="22"/>
          <w14:ligatures w14:val="standardContextual"/>
        </w:rPr>
      </w:pPr>
      <w:r>
        <w:fldChar w:fldCharType="begin"/>
      </w:r>
      <w:r>
        <w:instrText xml:space="preserve"> HYPERLINK \l "_Toc167440898" </w:instrText>
      </w:r>
      <w:r>
        <w:fldChar w:fldCharType="separate"/>
      </w:r>
      <w:r>
        <w:rPr>
          <w:rStyle w:val="36"/>
          <w:rFonts w:eastAsia="黑体"/>
        </w:rPr>
        <w:t>5.1</w:t>
      </w:r>
      <w:r>
        <w:rPr>
          <w:rFonts w:asciiTheme="minorHAnsi" w:hAnsiTheme="minorHAnsi" w:eastAsiaTheme="minorEastAsia" w:cstheme="minorBidi"/>
          <w:sz w:val="21"/>
          <w:szCs w:val="22"/>
          <w14:ligatures w14:val="standardContextual"/>
        </w:rPr>
        <w:tab/>
      </w:r>
      <w:r>
        <w:rPr>
          <w:rStyle w:val="36"/>
        </w:rPr>
        <w:t>引言</w:t>
      </w:r>
      <w:r>
        <w:tab/>
      </w:r>
      <w:r>
        <w:fldChar w:fldCharType="begin"/>
      </w:r>
      <w:r>
        <w:instrText xml:space="preserve"> PAGEREF _Toc167440898 \h </w:instrText>
      </w:r>
      <w:r>
        <w:fldChar w:fldCharType="separate"/>
      </w:r>
      <w:r>
        <w:t>61</w:t>
      </w:r>
      <w:r>
        <w:fldChar w:fldCharType="end"/>
      </w:r>
      <w:r>
        <w:fldChar w:fldCharType="end"/>
      </w:r>
    </w:p>
    <w:p w14:paraId="3C506B95">
      <w:pPr>
        <w:pStyle w:val="25"/>
        <w:tabs>
          <w:tab w:val="left" w:pos="1050"/>
          <w:tab w:val="right" w:leader="dot" w:pos="8777"/>
        </w:tabs>
        <w:ind w:left="456"/>
        <w:rPr>
          <w:rFonts w:asciiTheme="minorHAnsi" w:hAnsiTheme="minorHAnsi" w:eastAsiaTheme="minorEastAsia" w:cstheme="minorBidi"/>
          <w:sz w:val="21"/>
          <w:szCs w:val="22"/>
          <w14:ligatures w14:val="standardContextual"/>
        </w:rPr>
      </w:pPr>
      <w:r>
        <w:fldChar w:fldCharType="begin"/>
      </w:r>
      <w:r>
        <w:instrText xml:space="preserve"> HYPERLINK \l "_Toc167440899" </w:instrText>
      </w:r>
      <w:r>
        <w:fldChar w:fldCharType="separate"/>
      </w:r>
      <w:r>
        <w:rPr>
          <w:rStyle w:val="36"/>
          <w:rFonts w:eastAsia="黑体"/>
        </w:rPr>
        <w:t>5.2</w:t>
      </w:r>
      <w:r>
        <w:rPr>
          <w:rFonts w:asciiTheme="minorHAnsi" w:hAnsiTheme="minorHAnsi" w:eastAsiaTheme="minorEastAsia" w:cstheme="minorBidi"/>
          <w:sz w:val="21"/>
          <w:szCs w:val="22"/>
          <w14:ligatures w14:val="standardContextual"/>
        </w:rPr>
        <w:tab/>
      </w:r>
      <w:r>
        <w:rPr>
          <w:rStyle w:val="36"/>
        </w:rPr>
        <w:t>系统极限分辨率标定实验</w:t>
      </w:r>
      <w:r>
        <w:tab/>
      </w:r>
      <w:r>
        <w:fldChar w:fldCharType="begin"/>
      </w:r>
      <w:r>
        <w:instrText xml:space="preserve"> PAGEREF _Toc167440899 \h </w:instrText>
      </w:r>
      <w:r>
        <w:fldChar w:fldCharType="separate"/>
      </w:r>
      <w:r>
        <w:t>61</w:t>
      </w:r>
      <w:r>
        <w:fldChar w:fldCharType="end"/>
      </w:r>
      <w:r>
        <w:fldChar w:fldCharType="end"/>
      </w:r>
    </w:p>
    <w:p w14:paraId="743BF92F">
      <w:pPr>
        <w:pStyle w:val="25"/>
        <w:tabs>
          <w:tab w:val="left" w:pos="1050"/>
          <w:tab w:val="right" w:leader="dot" w:pos="8777"/>
        </w:tabs>
        <w:ind w:left="456"/>
        <w:rPr>
          <w:rFonts w:asciiTheme="minorHAnsi" w:hAnsiTheme="minorHAnsi" w:eastAsiaTheme="minorEastAsia" w:cstheme="minorBidi"/>
          <w:sz w:val="21"/>
          <w:szCs w:val="22"/>
          <w14:ligatures w14:val="standardContextual"/>
        </w:rPr>
      </w:pPr>
      <w:r>
        <w:fldChar w:fldCharType="begin"/>
      </w:r>
      <w:r>
        <w:instrText xml:space="preserve"> HYPERLINK \l "_Toc167440900" </w:instrText>
      </w:r>
      <w:r>
        <w:fldChar w:fldCharType="separate"/>
      </w:r>
      <w:r>
        <w:rPr>
          <w:rStyle w:val="36"/>
          <w:rFonts w:eastAsia="黑体"/>
        </w:rPr>
        <w:t>5.3</w:t>
      </w:r>
      <w:r>
        <w:rPr>
          <w:rFonts w:asciiTheme="minorHAnsi" w:hAnsiTheme="minorHAnsi" w:eastAsiaTheme="minorEastAsia" w:cstheme="minorBidi"/>
          <w:sz w:val="21"/>
          <w:szCs w:val="22"/>
          <w14:ligatures w14:val="standardContextual"/>
        </w:rPr>
        <w:tab/>
      </w:r>
      <w:r>
        <w:rPr>
          <w:rStyle w:val="36"/>
        </w:rPr>
        <w:t>环氧树脂介电常数诊断实验</w:t>
      </w:r>
      <w:r>
        <w:tab/>
      </w:r>
      <w:r>
        <w:fldChar w:fldCharType="begin"/>
      </w:r>
      <w:r>
        <w:instrText xml:space="preserve"> PAGEREF _Toc167440900 \h </w:instrText>
      </w:r>
      <w:r>
        <w:fldChar w:fldCharType="separate"/>
      </w:r>
      <w:r>
        <w:t>64</w:t>
      </w:r>
      <w:r>
        <w:fldChar w:fldCharType="end"/>
      </w:r>
      <w:r>
        <w:fldChar w:fldCharType="end"/>
      </w:r>
    </w:p>
    <w:p w14:paraId="3BD379E9">
      <w:pPr>
        <w:pStyle w:val="25"/>
        <w:tabs>
          <w:tab w:val="left" w:pos="1050"/>
          <w:tab w:val="right" w:leader="dot" w:pos="8777"/>
        </w:tabs>
        <w:ind w:left="456"/>
        <w:rPr>
          <w:rFonts w:asciiTheme="minorHAnsi" w:hAnsiTheme="minorHAnsi" w:eastAsiaTheme="minorEastAsia" w:cstheme="minorBidi"/>
          <w:sz w:val="21"/>
          <w:szCs w:val="22"/>
          <w14:ligatures w14:val="standardContextual"/>
        </w:rPr>
      </w:pPr>
      <w:r>
        <w:fldChar w:fldCharType="begin"/>
      </w:r>
      <w:r>
        <w:instrText xml:space="preserve"> HYPERLINK \l "_Toc167440901" </w:instrText>
      </w:r>
      <w:r>
        <w:fldChar w:fldCharType="separate"/>
      </w:r>
      <w:r>
        <w:rPr>
          <w:rStyle w:val="36"/>
          <w:rFonts w:eastAsia="黑体"/>
        </w:rPr>
        <w:t>5.4</w:t>
      </w:r>
      <w:r>
        <w:rPr>
          <w:rFonts w:asciiTheme="minorHAnsi" w:hAnsiTheme="minorHAnsi" w:eastAsiaTheme="minorEastAsia" w:cstheme="minorBidi"/>
          <w:sz w:val="21"/>
          <w:szCs w:val="22"/>
          <w14:ligatures w14:val="standardContextual"/>
        </w:rPr>
        <w:tab/>
      </w:r>
      <w:r>
        <w:rPr>
          <w:rStyle w:val="36"/>
        </w:rPr>
        <w:t>等离子体电子密度诊断实验</w:t>
      </w:r>
      <w:r>
        <w:tab/>
      </w:r>
      <w:r>
        <w:fldChar w:fldCharType="begin"/>
      </w:r>
      <w:r>
        <w:instrText xml:space="preserve"> PAGEREF _Toc167440901 \h </w:instrText>
      </w:r>
      <w:r>
        <w:fldChar w:fldCharType="separate"/>
      </w:r>
      <w:r>
        <w:t>68</w:t>
      </w:r>
      <w:r>
        <w:fldChar w:fldCharType="end"/>
      </w:r>
      <w:r>
        <w:fldChar w:fldCharType="end"/>
      </w:r>
    </w:p>
    <w:p w14:paraId="3AF8A09C">
      <w:pPr>
        <w:pStyle w:val="15"/>
        <w:tabs>
          <w:tab w:val="left" w:pos="1695"/>
          <w:tab w:val="right" w:leader="dot" w:pos="8777"/>
        </w:tabs>
        <w:ind w:left="1080"/>
        <w:rPr>
          <w:rFonts w:asciiTheme="minorHAnsi" w:hAnsiTheme="minorHAnsi" w:eastAsiaTheme="minorEastAsia" w:cstheme="minorBidi"/>
          <w:sz w:val="21"/>
          <w:szCs w:val="22"/>
          <w14:ligatures w14:val="standardContextual"/>
        </w:rPr>
      </w:pPr>
      <w:r>
        <w:fldChar w:fldCharType="begin"/>
      </w:r>
      <w:r>
        <w:instrText xml:space="preserve"> HYPERLINK \l "_Toc167440902" </w:instrText>
      </w:r>
      <w:r>
        <w:fldChar w:fldCharType="separate"/>
      </w:r>
      <w:r>
        <w:rPr>
          <w:rStyle w:val="36"/>
        </w:rPr>
        <w:t>5.4.1</w:t>
      </w:r>
      <w:r>
        <w:rPr>
          <w:rFonts w:asciiTheme="minorHAnsi" w:hAnsiTheme="minorHAnsi" w:eastAsiaTheme="minorEastAsia" w:cstheme="minorBidi"/>
          <w:sz w:val="21"/>
          <w:szCs w:val="22"/>
          <w14:ligatures w14:val="standardContextual"/>
        </w:rPr>
        <w:tab/>
      </w:r>
      <w:r>
        <w:rPr>
          <w:rStyle w:val="36"/>
        </w:rPr>
        <w:t>等离子体的衰减及时延仿真</w:t>
      </w:r>
      <w:r>
        <w:tab/>
      </w:r>
      <w:r>
        <w:fldChar w:fldCharType="begin"/>
      </w:r>
      <w:r>
        <w:instrText xml:space="preserve"> PAGEREF _Toc167440902 \h </w:instrText>
      </w:r>
      <w:r>
        <w:fldChar w:fldCharType="separate"/>
      </w:r>
      <w:r>
        <w:t>68</w:t>
      </w:r>
      <w:r>
        <w:fldChar w:fldCharType="end"/>
      </w:r>
      <w:r>
        <w:fldChar w:fldCharType="end"/>
      </w:r>
    </w:p>
    <w:p w14:paraId="6F3646A7">
      <w:pPr>
        <w:pStyle w:val="15"/>
        <w:tabs>
          <w:tab w:val="left" w:pos="1695"/>
          <w:tab w:val="right" w:leader="dot" w:pos="8777"/>
        </w:tabs>
        <w:ind w:left="1080"/>
        <w:rPr>
          <w:rFonts w:asciiTheme="minorHAnsi" w:hAnsiTheme="minorHAnsi" w:eastAsiaTheme="minorEastAsia" w:cstheme="minorBidi"/>
          <w:sz w:val="21"/>
          <w:szCs w:val="22"/>
          <w14:ligatures w14:val="standardContextual"/>
        </w:rPr>
      </w:pPr>
      <w:r>
        <w:fldChar w:fldCharType="begin"/>
      </w:r>
      <w:r>
        <w:instrText xml:space="preserve"> HYPERLINK \l "_Toc167440903" </w:instrText>
      </w:r>
      <w:r>
        <w:fldChar w:fldCharType="separate"/>
      </w:r>
      <w:r>
        <w:rPr>
          <w:rStyle w:val="36"/>
        </w:rPr>
        <w:t>5.4.2</w:t>
      </w:r>
      <w:r>
        <w:rPr>
          <w:rFonts w:asciiTheme="minorHAnsi" w:hAnsiTheme="minorHAnsi" w:eastAsiaTheme="minorEastAsia" w:cstheme="minorBidi"/>
          <w:sz w:val="21"/>
          <w:szCs w:val="22"/>
          <w14:ligatures w14:val="standardContextual"/>
        </w:rPr>
        <w:tab/>
      </w:r>
      <w:r>
        <w:rPr>
          <w:rStyle w:val="36"/>
        </w:rPr>
        <w:t>等离子体诊断系统搭建</w:t>
      </w:r>
      <w:r>
        <w:tab/>
      </w:r>
      <w:r>
        <w:fldChar w:fldCharType="begin"/>
      </w:r>
      <w:r>
        <w:instrText xml:space="preserve"> PAGEREF _Toc167440903 \h </w:instrText>
      </w:r>
      <w:r>
        <w:fldChar w:fldCharType="separate"/>
      </w:r>
      <w:r>
        <w:t>73</w:t>
      </w:r>
      <w:r>
        <w:fldChar w:fldCharType="end"/>
      </w:r>
      <w:r>
        <w:fldChar w:fldCharType="end"/>
      </w:r>
    </w:p>
    <w:p w14:paraId="10416789">
      <w:pPr>
        <w:pStyle w:val="15"/>
        <w:tabs>
          <w:tab w:val="left" w:pos="1695"/>
          <w:tab w:val="right" w:leader="dot" w:pos="8777"/>
        </w:tabs>
        <w:ind w:left="1080"/>
        <w:rPr>
          <w:rFonts w:asciiTheme="minorHAnsi" w:hAnsiTheme="minorHAnsi" w:eastAsiaTheme="minorEastAsia" w:cstheme="minorBidi"/>
          <w:sz w:val="21"/>
          <w:szCs w:val="22"/>
          <w14:ligatures w14:val="standardContextual"/>
        </w:rPr>
      </w:pPr>
      <w:r>
        <w:fldChar w:fldCharType="begin"/>
      </w:r>
      <w:r>
        <w:instrText xml:space="preserve"> HYPERLINK \l "_Toc167440904" </w:instrText>
      </w:r>
      <w:r>
        <w:fldChar w:fldCharType="separate"/>
      </w:r>
      <w:r>
        <w:rPr>
          <w:rStyle w:val="36"/>
        </w:rPr>
        <w:t>5.4.3</w:t>
      </w:r>
      <w:r>
        <w:rPr>
          <w:rFonts w:asciiTheme="minorHAnsi" w:hAnsiTheme="minorHAnsi" w:eastAsiaTheme="minorEastAsia" w:cstheme="minorBidi"/>
          <w:sz w:val="21"/>
          <w:szCs w:val="22"/>
          <w14:ligatures w14:val="standardContextual"/>
        </w:rPr>
        <w:tab/>
      </w:r>
      <w:r>
        <w:rPr>
          <w:rStyle w:val="36"/>
        </w:rPr>
        <w:t>相同位置下不同电压诊断结果分析及对比</w:t>
      </w:r>
      <w:r>
        <w:tab/>
      </w:r>
      <w:r>
        <w:fldChar w:fldCharType="begin"/>
      </w:r>
      <w:r>
        <w:instrText xml:space="preserve"> PAGEREF _Toc167440904 \h </w:instrText>
      </w:r>
      <w:r>
        <w:fldChar w:fldCharType="separate"/>
      </w:r>
      <w:r>
        <w:t>75</w:t>
      </w:r>
      <w:r>
        <w:fldChar w:fldCharType="end"/>
      </w:r>
      <w:r>
        <w:fldChar w:fldCharType="end"/>
      </w:r>
    </w:p>
    <w:p w14:paraId="382DB7C7">
      <w:pPr>
        <w:pStyle w:val="15"/>
        <w:tabs>
          <w:tab w:val="left" w:pos="1695"/>
          <w:tab w:val="right" w:leader="dot" w:pos="8777"/>
        </w:tabs>
        <w:ind w:left="1080"/>
        <w:rPr>
          <w:rFonts w:asciiTheme="minorHAnsi" w:hAnsiTheme="minorHAnsi" w:eastAsiaTheme="minorEastAsia" w:cstheme="minorBidi"/>
          <w:sz w:val="21"/>
          <w:szCs w:val="22"/>
          <w14:ligatures w14:val="standardContextual"/>
        </w:rPr>
      </w:pPr>
      <w:r>
        <w:fldChar w:fldCharType="begin"/>
      </w:r>
      <w:r>
        <w:instrText xml:space="preserve"> HYPERLINK \l "_Toc167440905" </w:instrText>
      </w:r>
      <w:r>
        <w:fldChar w:fldCharType="separate"/>
      </w:r>
      <w:r>
        <w:rPr>
          <w:rStyle w:val="36"/>
        </w:rPr>
        <w:t>5.4.4</w:t>
      </w:r>
      <w:r>
        <w:rPr>
          <w:rFonts w:asciiTheme="minorHAnsi" w:hAnsiTheme="minorHAnsi" w:eastAsiaTheme="minorEastAsia" w:cstheme="minorBidi"/>
          <w:sz w:val="21"/>
          <w:szCs w:val="22"/>
          <w14:ligatures w14:val="standardContextual"/>
        </w:rPr>
        <w:tab/>
      </w:r>
      <w:r>
        <w:rPr>
          <w:rStyle w:val="36"/>
        </w:rPr>
        <w:t>相同电压下不同位置诊断结果分析及对比</w:t>
      </w:r>
      <w:r>
        <w:tab/>
      </w:r>
      <w:r>
        <w:fldChar w:fldCharType="begin"/>
      </w:r>
      <w:r>
        <w:instrText xml:space="preserve"> PAGEREF _Toc167440905 \h </w:instrText>
      </w:r>
      <w:r>
        <w:fldChar w:fldCharType="separate"/>
      </w:r>
      <w:r>
        <w:t>80</w:t>
      </w:r>
      <w:r>
        <w:fldChar w:fldCharType="end"/>
      </w:r>
      <w:r>
        <w:fldChar w:fldCharType="end"/>
      </w:r>
    </w:p>
    <w:p w14:paraId="4CF0324C">
      <w:pPr>
        <w:pStyle w:val="25"/>
        <w:tabs>
          <w:tab w:val="left" w:pos="1050"/>
          <w:tab w:val="right" w:leader="dot" w:pos="8777"/>
        </w:tabs>
        <w:ind w:left="456"/>
        <w:rPr>
          <w:rFonts w:asciiTheme="minorHAnsi" w:hAnsiTheme="minorHAnsi" w:eastAsiaTheme="minorEastAsia" w:cstheme="minorBidi"/>
          <w:sz w:val="21"/>
          <w:szCs w:val="22"/>
          <w14:ligatures w14:val="standardContextual"/>
        </w:rPr>
      </w:pPr>
      <w:r>
        <w:fldChar w:fldCharType="begin"/>
      </w:r>
      <w:r>
        <w:instrText xml:space="preserve"> HYPERLINK \l "_Toc167440906" </w:instrText>
      </w:r>
      <w:r>
        <w:fldChar w:fldCharType="separate"/>
      </w:r>
      <w:r>
        <w:rPr>
          <w:rStyle w:val="36"/>
          <w:rFonts w:eastAsia="黑体"/>
        </w:rPr>
        <w:t>5.5</w:t>
      </w:r>
      <w:r>
        <w:rPr>
          <w:rFonts w:asciiTheme="minorHAnsi" w:hAnsiTheme="minorHAnsi" w:eastAsiaTheme="minorEastAsia" w:cstheme="minorBidi"/>
          <w:sz w:val="21"/>
          <w:szCs w:val="22"/>
          <w14:ligatures w14:val="standardContextual"/>
        </w:rPr>
        <w:tab/>
      </w:r>
      <w:r>
        <w:rPr>
          <w:rStyle w:val="36"/>
        </w:rPr>
        <w:t>系统扩频后诊断实验</w:t>
      </w:r>
      <w:r>
        <w:tab/>
      </w:r>
      <w:r>
        <w:fldChar w:fldCharType="begin"/>
      </w:r>
      <w:r>
        <w:instrText xml:space="preserve"> PAGEREF _Toc167440906 \h </w:instrText>
      </w:r>
      <w:r>
        <w:fldChar w:fldCharType="separate"/>
      </w:r>
      <w:r>
        <w:t>84</w:t>
      </w:r>
      <w:r>
        <w:fldChar w:fldCharType="end"/>
      </w:r>
      <w:r>
        <w:fldChar w:fldCharType="end"/>
      </w:r>
    </w:p>
    <w:p w14:paraId="35C661C1">
      <w:pPr>
        <w:pStyle w:val="25"/>
        <w:tabs>
          <w:tab w:val="left" w:pos="1050"/>
          <w:tab w:val="right" w:leader="dot" w:pos="8777"/>
        </w:tabs>
        <w:ind w:left="456"/>
        <w:rPr>
          <w:rFonts w:asciiTheme="minorHAnsi" w:hAnsiTheme="minorHAnsi" w:eastAsiaTheme="minorEastAsia" w:cstheme="minorBidi"/>
          <w:sz w:val="21"/>
          <w:szCs w:val="22"/>
          <w14:ligatures w14:val="standardContextual"/>
        </w:rPr>
      </w:pPr>
      <w:r>
        <w:fldChar w:fldCharType="begin"/>
      </w:r>
      <w:r>
        <w:instrText xml:space="preserve"> HYPERLINK \l "_Toc167440907" </w:instrText>
      </w:r>
      <w:r>
        <w:fldChar w:fldCharType="separate"/>
      </w:r>
      <w:r>
        <w:rPr>
          <w:rStyle w:val="36"/>
          <w:rFonts w:eastAsia="黑体"/>
        </w:rPr>
        <w:t>5.6</w:t>
      </w:r>
      <w:r>
        <w:rPr>
          <w:rFonts w:asciiTheme="minorHAnsi" w:hAnsiTheme="minorHAnsi" w:eastAsiaTheme="minorEastAsia" w:cstheme="minorBidi"/>
          <w:sz w:val="21"/>
          <w:szCs w:val="22"/>
          <w14:ligatures w14:val="standardContextual"/>
        </w:rPr>
        <w:tab/>
      </w:r>
      <w:r>
        <w:rPr>
          <w:rStyle w:val="36"/>
        </w:rPr>
        <w:t>本章小结</w:t>
      </w:r>
      <w:r>
        <w:tab/>
      </w:r>
      <w:r>
        <w:fldChar w:fldCharType="begin"/>
      </w:r>
      <w:r>
        <w:instrText xml:space="preserve"> PAGEREF _Toc167440907 \h </w:instrText>
      </w:r>
      <w:r>
        <w:fldChar w:fldCharType="separate"/>
      </w:r>
      <w:r>
        <w:t>85</w:t>
      </w:r>
      <w:r>
        <w:fldChar w:fldCharType="end"/>
      </w:r>
      <w:r>
        <w:fldChar w:fldCharType="end"/>
      </w:r>
    </w:p>
    <w:p w14:paraId="16A10248">
      <w:pPr>
        <w:pStyle w:val="21"/>
        <w:tabs>
          <w:tab w:val="left" w:pos="1050"/>
          <w:tab w:val="right" w:leader="dot" w:pos="8777"/>
        </w:tabs>
        <w:rPr>
          <w:rFonts w:asciiTheme="minorHAnsi" w:hAnsiTheme="minorHAnsi" w:eastAsiaTheme="minorEastAsia" w:cstheme="minorBidi"/>
          <w:sz w:val="21"/>
          <w:szCs w:val="22"/>
          <w14:ligatures w14:val="standardContextual"/>
        </w:rPr>
      </w:pPr>
      <w:r>
        <w:fldChar w:fldCharType="begin"/>
      </w:r>
      <w:r>
        <w:instrText xml:space="preserve"> HYPERLINK \l "_Toc167440908" </w:instrText>
      </w:r>
      <w:r>
        <w:fldChar w:fldCharType="separate"/>
      </w:r>
      <w:r>
        <w:rPr>
          <w:rStyle w:val="36"/>
        </w:rPr>
        <w:t>第六章</w:t>
      </w:r>
      <w:r>
        <w:rPr>
          <w:rFonts w:asciiTheme="minorHAnsi" w:hAnsiTheme="minorHAnsi" w:eastAsiaTheme="minorEastAsia" w:cstheme="minorBidi"/>
          <w:sz w:val="21"/>
          <w:szCs w:val="22"/>
          <w14:ligatures w14:val="standardContextual"/>
        </w:rPr>
        <w:tab/>
      </w:r>
      <w:r>
        <w:rPr>
          <w:rStyle w:val="36"/>
        </w:rPr>
        <w:t>总结与展望</w:t>
      </w:r>
      <w:r>
        <w:tab/>
      </w:r>
      <w:r>
        <w:fldChar w:fldCharType="begin"/>
      </w:r>
      <w:r>
        <w:instrText xml:space="preserve"> PAGEREF _Toc167440908 \h </w:instrText>
      </w:r>
      <w:r>
        <w:fldChar w:fldCharType="separate"/>
      </w:r>
      <w:r>
        <w:t>87</w:t>
      </w:r>
      <w:r>
        <w:fldChar w:fldCharType="end"/>
      </w:r>
      <w:r>
        <w:fldChar w:fldCharType="end"/>
      </w:r>
    </w:p>
    <w:p w14:paraId="39E13D7A">
      <w:pPr>
        <w:pStyle w:val="25"/>
        <w:tabs>
          <w:tab w:val="left" w:pos="1050"/>
          <w:tab w:val="right" w:leader="dot" w:pos="8777"/>
        </w:tabs>
        <w:ind w:left="456"/>
        <w:rPr>
          <w:rFonts w:asciiTheme="minorHAnsi" w:hAnsiTheme="minorHAnsi" w:eastAsiaTheme="minorEastAsia" w:cstheme="minorBidi"/>
          <w:sz w:val="21"/>
          <w:szCs w:val="22"/>
          <w14:ligatures w14:val="standardContextual"/>
        </w:rPr>
      </w:pPr>
      <w:r>
        <w:fldChar w:fldCharType="begin"/>
      </w:r>
      <w:r>
        <w:instrText xml:space="preserve"> HYPERLINK \l "_Toc167440909" </w:instrText>
      </w:r>
      <w:r>
        <w:fldChar w:fldCharType="separate"/>
      </w:r>
      <w:r>
        <w:rPr>
          <w:rStyle w:val="36"/>
          <w:rFonts w:eastAsia="黑体"/>
        </w:rPr>
        <w:t>6.1</w:t>
      </w:r>
      <w:r>
        <w:rPr>
          <w:rFonts w:asciiTheme="minorHAnsi" w:hAnsiTheme="minorHAnsi" w:eastAsiaTheme="minorEastAsia" w:cstheme="minorBidi"/>
          <w:sz w:val="21"/>
          <w:szCs w:val="22"/>
          <w14:ligatures w14:val="standardContextual"/>
        </w:rPr>
        <w:tab/>
      </w:r>
      <w:r>
        <w:rPr>
          <w:rStyle w:val="36"/>
        </w:rPr>
        <w:t>本文工作总结</w:t>
      </w:r>
      <w:r>
        <w:tab/>
      </w:r>
      <w:r>
        <w:fldChar w:fldCharType="begin"/>
      </w:r>
      <w:r>
        <w:instrText xml:space="preserve"> PAGEREF _Toc167440909 \h </w:instrText>
      </w:r>
      <w:r>
        <w:fldChar w:fldCharType="separate"/>
      </w:r>
      <w:r>
        <w:t>87</w:t>
      </w:r>
      <w:r>
        <w:fldChar w:fldCharType="end"/>
      </w:r>
      <w:r>
        <w:fldChar w:fldCharType="end"/>
      </w:r>
    </w:p>
    <w:p w14:paraId="11004970">
      <w:pPr>
        <w:pStyle w:val="25"/>
        <w:tabs>
          <w:tab w:val="left" w:pos="1050"/>
          <w:tab w:val="right" w:leader="dot" w:pos="8777"/>
        </w:tabs>
        <w:ind w:left="456"/>
        <w:rPr>
          <w:rFonts w:asciiTheme="minorHAnsi" w:hAnsiTheme="minorHAnsi" w:eastAsiaTheme="minorEastAsia" w:cstheme="minorBidi"/>
          <w:sz w:val="21"/>
          <w:szCs w:val="22"/>
          <w14:ligatures w14:val="standardContextual"/>
        </w:rPr>
      </w:pPr>
      <w:r>
        <w:fldChar w:fldCharType="begin"/>
      </w:r>
      <w:r>
        <w:instrText xml:space="preserve"> HYPERLINK \l "_Toc167440910" </w:instrText>
      </w:r>
      <w:r>
        <w:fldChar w:fldCharType="separate"/>
      </w:r>
      <w:r>
        <w:rPr>
          <w:rStyle w:val="36"/>
          <w:rFonts w:eastAsia="黑体"/>
        </w:rPr>
        <w:t>6.2</w:t>
      </w:r>
      <w:r>
        <w:rPr>
          <w:rFonts w:asciiTheme="minorHAnsi" w:hAnsiTheme="minorHAnsi" w:eastAsiaTheme="minorEastAsia" w:cstheme="minorBidi"/>
          <w:sz w:val="21"/>
          <w:szCs w:val="22"/>
          <w14:ligatures w14:val="standardContextual"/>
        </w:rPr>
        <w:tab/>
      </w:r>
      <w:r>
        <w:rPr>
          <w:rStyle w:val="36"/>
        </w:rPr>
        <w:t>后期工作展望</w:t>
      </w:r>
      <w:r>
        <w:tab/>
      </w:r>
      <w:r>
        <w:fldChar w:fldCharType="begin"/>
      </w:r>
      <w:r>
        <w:instrText xml:space="preserve"> PAGEREF _Toc167440910 \h </w:instrText>
      </w:r>
      <w:r>
        <w:fldChar w:fldCharType="separate"/>
      </w:r>
      <w:r>
        <w:t>87</w:t>
      </w:r>
      <w:r>
        <w:fldChar w:fldCharType="end"/>
      </w:r>
      <w:r>
        <w:fldChar w:fldCharType="end"/>
      </w:r>
    </w:p>
    <w:p w14:paraId="530E188A">
      <w:pPr>
        <w:pStyle w:val="21"/>
        <w:tabs>
          <w:tab w:val="right" w:leader="dot" w:pos="8777"/>
        </w:tabs>
        <w:rPr>
          <w:rFonts w:asciiTheme="minorHAnsi" w:hAnsiTheme="minorHAnsi" w:eastAsiaTheme="minorEastAsia" w:cstheme="minorBidi"/>
          <w:sz w:val="21"/>
          <w:szCs w:val="22"/>
          <w14:ligatures w14:val="standardContextual"/>
        </w:rPr>
      </w:pPr>
      <w:r>
        <w:fldChar w:fldCharType="begin"/>
      </w:r>
      <w:r>
        <w:instrText xml:space="preserve"> HYPERLINK \l "_Toc167440911" </w:instrText>
      </w:r>
      <w:r>
        <w:fldChar w:fldCharType="separate"/>
      </w:r>
      <w:r>
        <w:rPr>
          <w:rStyle w:val="36"/>
        </w:rPr>
        <w:t>参考文献</w:t>
      </w:r>
      <w:r>
        <w:tab/>
      </w:r>
      <w:r>
        <w:fldChar w:fldCharType="begin"/>
      </w:r>
      <w:r>
        <w:instrText xml:space="preserve"> PAGEREF _Toc167440911 \h </w:instrText>
      </w:r>
      <w:r>
        <w:fldChar w:fldCharType="separate"/>
      </w:r>
      <w:r>
        <w:t>89</w:t>
      </w:r>
      <w:r>
        <w:fldChar w:fldCharType="end"/>
      </w:r>
      <w:r>
        <w:fldChar w:fldCharType="end"/>
      </w:r>
    </w:p>
    <w:p w14:paraId="5ED05194">
      <w:pPr>
        <w:pStyle w:val="21"/>
        <w:tabs>
          <w:tab w:val="right" w:leader="dot" w:pos="8777"/>
        </w:tabs>
        <w:rPr>
          <w:rFonts w:asciiTheme="minorHAnsi" w:hAnsiTheme="minorHAnsi" w:eastAsiaTheme="minorEastAsia" w:cstheme="minorBidi"/>
          <w:sz w:val="21"/>
          <w:szCs w:val="22"/>
          <w14:ligatures w14:val="standardContextual"/>
        </w:rPr>
      </w:pPr>
      <w:r>
        <w:fldChar w:fldCharType="begin"/>
      </w:r>
      <w:r>
        <w:instrText xml:space="preserve"> HYPERLINK \l "_Toc167440912" </w:instrText>
      </w:r>
      <w:r>
        <w:fldChar w:fldCharType="separate"/>
      </w:r>
      <w:r>
        <w:rPr>
          <w:rStyle w:val="36"/>
        </w:rPr>
        <w:t>致谢</w:t>
      </w:r>
      <w:r>
        <w:tab/>
      </w:r>
      <w:r>
        <w:fldChar w:fldCharType="begin"/>
      </w:r>
      <w:r>
        <w:instrText xml:space="preserve"> PAGEREF _Toc167440912 \h </w:instrText>
      </w:r>
      <w:r>
        <w:fldChar w:fldCharType="separate"/>
      </w:r>
      <w:r>
        <w:t>93</w:t>
      </w:r>
      <w:r>
        <w:fldChar w:fldCharType="end"/>
      </w:r>
      <w:r>
        <w:fldChar w:fldCharType="end"/>
      </w:r>
    </w:p>
    <w:p w14:paraId="78D686BC">
      <w:pPr>
        <w:pStyle w:val="21"/>
        <w:tabs>
          <w:tab w:val="right" w:leader="dot" w:pos="8777"/>
        </w:tabs>
        <w:rPr>
          <w:rFonts w:asciiTheme="minorHAnsi" w:hAnsiTheme="minorHAnsi" w:eastAsiaTheme="minorEastAsia" w:cstheme="minorBidi"/>
          <w:sz w:val="21"/>
          <w:szCs w:val="22"/>
          <w14:ligatures w14:val="standardContextual"/>
        </w:rPr>
      </w:pPr>
      <w:r>
        <w:fldChar w:fldCharType="begin"/>
      </w:r>
      <w:r>
        <w:instrText xml:space="preserve"> HYPERLINK \l "_Toc167440913" </w:instrText>
      </w:r>
      <w:r>
        <w:fldChar w:fldCharType="separate"/>
      </w:r>
      <w:r>
        <w:rPr>
          <w:rStyle w:val="36"/>
        </w:rPr>
        <w:t>作者简介</w:t>
      </w:r>
      <w:r>
        <w:tab/>
      </w:r>
      <w:r>
        <w:fldChar w:fldCharType="begin"/>
      </w:r>
      <w:r>
        <w:instrText xml:space="preserve"> PAGEREF _Toc167440913 \h </w:instrText>
      </w:r>
      <w:r>
        <w:fldChar w:fldCharType="separate"/>
      </w:r>
      <w:r>
        <w:t>95</w:t>
      </w:r>
      <w:r>
        <w:fldChar w:fldCharType="end"/>
      </w:r>
      <w:r>
        <w:fldChar w:fldCharType="end"/>
      </w:r>
    </w:p>
    <w:p w14:paraId="58FBD0AF">
      <w:pPr>
        <w:ind w:firstLine="0" w:firstLineChars="0"/>
      </w:pPr>
      <w:r>
        <w:fldChar w:fldCharType="end"/>
      </w:r>
      <w:bookmarkStart w:id="18" w:name="TEMPGOTO"/>
      <w:bookmarkEnd w:id="18"/>
    </w:p>
    <w:p w14:paraId="4F81A31D">
      <w:pPr>
        <w:widowControl/>
        <w:spacing w:line="240" w:lineRule="auto"/>
        <w:ind w:firstLine="0" w:firstLineChars="0"/>
        <w:jc w:val="left"/>
      </w:pPr>
      <w:r>
        <w:br w:type="page"/>
      </w:r>
    </w:p>
    <w:p w14:paraId="3B5B6BB3">
      <w:pPr>
        <w:tabs>
          <w:tab w:val="left" w:pos="720"/>
        </w:tabs>
        <w:ind w:firstLine="0" w:firstLineChars="0"/>
      </w:pPr>
    </w:p>
    <w:p w14:paraId="3D3F758A">
      <w:pPr>
        <w:ind w:firstLine="0" w:firstLineChars="0"/>
        <w:sectPr>
          <w:headerReference r:id="rId16" w:type="default"/>
          <w:footnotePr>
            <w:numFmt w:val="decimalEnclosedCircleChinese"/>
            <w:numRestart w:val="eachSect"/>
          </w:footnotePr>
          <w:type w:val="oddPage"/>
          <w:pgSz w:w="11907" w:h="16840"/>
          <w:pgMar w:top="1701" w:right="1418" w:bottom="1134" w:left="1418" w:header="1134" w:footer="992" w:gutter="284"/>
          <w:pgNumType w:fmt="upperRoman"/>
          <w:cols w:space="425" w:num="1"/>
          <w:docGrid w:linePitch="384" w:charSpace="7430"/>
        </w:sectPr>
      </w:pPr>
    </w:p>
    <w:p w14:paraId="571C0966">
      <w:pPr>
        <w:pStyle w:val="2"/>
      </w:pPr>
      <w:bookmarkStart w:id="19" w:name="绪论"/>
      <w:r>
        <w:rPr>
          <w:rFonts w:hint="eastAsia"/>
        </w:rPr>
        <w:t>绪论</w:t>
      </w:r>
    </w:p>
    <w:p w14:paraId="5FC78651">
      <w:pPr>
        <w:pStyle w:val="3"/>
      </w:pPr>
      <w:bookmarkStart w:id="20" w:name="研究背景及意义"/>
      <w:r>
        <w:rPr>
          <w:rFonts w:hint="eastAsia"/>
        </w:rPr>
        <w:t>研究背景及意义</w:t>
      </w:r>
    </w:p>
    <w:p w14:paraId="2B353889">
      <w:pPr>
        <w:pStyle w:val="4"/>
      </w:pPr>
      <w:bookmarkStart w:id="21" w:name="临近空间高超声速飞行与黑障通信导航挑战"/>
      <w:r>
        <w:rPr>
          <w:rFonts w:hint="eastAsia"/>
        </w:rPr>
        <w:t>临近空间高超声速飞行与“黑障”通信/导航挑战</w:t>
      </w:r>
    </w:p>
    <w:p w14:paraId="2179F5ED">
      <w:r>
        <w:rPr>
          <w:rFonts w:hint="eastAsia"/>
        </w:rPr>
        <w:t>临近空间（海拔约20~100</w:t>
      </w:r>
      <w:r>
        <w:t xml:space="preserve"> </w:t>
      </w:r>
      <w:r>
        <w:rPr>
          <w:rFonts w:hint="eastAsia"/>
        </w:rPr>
        <w:t>km）被公认为连接航空与航天的战略过渡区域，该空间内的高超声速飞行——通常指马赫数大于5的飞行状态——是当代空天技术发展的前沿方向之一。飞行器在此区间内以极高速度穿越稀薄大气时，其前端形成的强弓形激波将动能高效地转化为热能，表面与激波层温度可达数千乃至上万开尔文。在此极端热力学条件下，飞行器周围的大气分子发生剧烈电离，生成由大量自由电子、正离子与中性粒子组成的高温等离子体，并在飞行器外表面形成厚度不均、密度时变的包覆层——即等离子体鞘套。</w:t>
      </w:r>
    </w:p>
    <w:p w14:paraId="144033FA">
      <w:r>
        <w:rPr>
          <w:rFonts w:hint="eastAsia"/>
        </w:rPr>
        <w:t>等离子体鞘套对电磁环境的改变是全方位的。其内部自由电子的集体振荡赋予了等离子体独特的频率选择性传播特性：当通信或导航信号的电磁波频率低于等离子体的截止频率时，电磁波将被完全反射或强烈衰减而无法穿透鞘套；即便信号频率高于截止频率，电磁波在穿越鞘套的过程中仍会经历显著的相位畸变、群时延色散与幅度衰落。当鞘套电子密度达到足够高的水平时，飞行器与地面测控站之间的通信链路将发生完全中断，遥测遥控信号无法上传下达，卫星导航信号亦被屏蔽——这一现象即为航天工程领域所熟知的“黑障”效应。</w:t>
      </w:r>
    </w:p>
    <w:p w14:paraId="4C09701D">
      <w:r>
        <w:rPr>
          <w:rFonts w:hint="eastAsia"/>
        </w:rPr>
        <w:t>“黑障”问题并非仅限于载人飞船再入大气层的短暂过程，而是伴随高超声速飞行全程存在的系统性挑战。随着空天飞机、高超声速滑翔弹头以及可重复使用运载器等新型飞行器概念的不断推进，飞行速度更高、持续时间更长的高超声速飞行场景日益增多，“黑障”期间飞行器的通信中断与导航失联所引发的控制风险也更为突出。为应对这一挑战，当前工程中常采用的存储转发技术虽能在飞行器出“黑障”后回溯飞行状态，但本质上属于延后的、非实时的信息获取方式，难以满足对飞行器实时状态感知与态势控制的迫切需求。</w:t>
      </w:r>
    </w:p>
    <w:p w14:paraId="5523B563">
      <w:r>
        <w:rPr>
          <w:rFonts w:hint="eastAsia"/>
        </w:rPr>
        <w:t>从电磁学的物理本质来看，“黑障”现象的核心在于等离子体鞘套对电磁波传播特性的强烈调制，而这种调制效应的强弱直接取决于鞘套的电子密度参数及其时空分布。因此，攻克“黑障”的第一步，也是最为基础的一步，在于对飞行器周围等离子体鞘套的电子密度进行高精度、动态化的诊断测量，从而为后续的通信对抗策略（如频率优选、功率控制、自适应波形设计等）提供精确的物理环境参数基准。</w:t>
      </w:r>
    </w:p>
    <w:bookmarkEnd w:id="21"/>
    <w:p w14:paraId="7BAEBF2A">
      <w:pPr>
        <w:pStyle w:val="4"/>
      </w:pPr>
      <w:bookmarkStart w:id="22" w:name="等离子体鞘套电子密度动态诊断的迫切需求"/>
      <w:r>
        <w:rPr>
          <w:rFonts w:hint="eastAsia"/>
        </w:rPr>
        <w:t>等离子体鞘套电子密度动态诊断的迫切需求</w:t>
      </w:r>
    </w:p>
    <w:p w14:paraId="2250F702">
      <w:r>
        <w:rPr>
          <w:rFonts w:hint="eastAsia"/>
        </w:rPr>
        <w:t>精确获取等离子体鞘套的电子密度及其动态演化信息，是理解电磁波与等离子体相互作用规律、发展“黑障”缓解技术的物理前提。围绕这一目标，国内外研究机构从理论建模、飞行试验和地面模拟三条路径展开了长期而深入的研究。其中，地面模拟实验以其可重复性强、单一参数可控、诊断手段灵活等优势，成为等离子体诊断研究的主要平台。</w:t>
      </w:r>
    </w:p>
    <w:p w14:paraId="7D18D15D">
      <w:r>
        <w:rPr>
          <w:rFonts w:hint="eastAsia"/>
        </w:rPr>
        <w:t>以临近空间高速目标等离子体电磁科学实验装置为代表的地面模拟设施，能够产生电子密度覆盖</w:t>
      </w:r>
      <m:oMath>
        <m:sSup>
          <m:sSupPr/>
          <m:e>
            <m:r>
              <m:rPr/>
              <m:t>10</m:t>
            </m:r>
          </m:e>
          <m:sup>
            <m:r>
              <m:rPr/>
              <m:t>15</m:t>
            </m:r>
          </m:sup>
        </m:sSup>
      </m:oMath>
      <w:r>
        <w:t>~</w:t>
      </w:r>
      <m:oMath>
        <m:r>
          <m:rPr/>
          <m:t>3</m:t>
        </m:r>
        <m:r>
          <m:rPr>
            <m:sty m:val="p"/>
          </m:rPr>
          <m:t>×</m:t>
        </m:r>
        <m:sSup>
          <m:sSupPr/>
          <m:e>
            <m:r>
              <m:rPr/>
              <m:t>10</m:t>
            </m:r>
          </m:e>
          <m:sup>
            <m:r>
              <m:rPr/>
              <m:t>19</m:t>
            </m:r>
          </m:sup>
        </m:sSup>
      </m:oMath>
      <w:r>
        <w:t xml:space="preserve"> m</w:t>
      </w:r>
      <m:oMath>
        <m:sSup>
          <m:sSupPr/>
          <m:e>
            <m:r>
              <m:rPr/>
              <m:t>​</m:t>
            </m:r>
          </m:e>
          <m:sup>
            <m:r>
              <m:rPr>
                <m:sty m:val="p"/>
              </m:rPr>
              <m:t>−</m:t>
            </m:r>
            <m:r>
              <m:rPr/>
              <m:t>3</m:t>
            </m:r>
          </m:sup>
        </m:sSup>
      </m:oMath>
      <w:r>
        <w:rPr>
          <w:rFonts w:hint="eastAsia"/>
        </w:rPr>
        <w:t>宽范围、射流直径达200</w:t>
      </w:r>
      <w:r>
        <w:t xml:space="preserve"> </w:t>
      </w:r>
      <w:r>
        <w:rPr>
          <w:rFonts w:hint="eastAsia"/>
        </w:rPr>
        <w:t>mm的高温等离子体环境，为开展系统性的诊断实验提供了理想条件。然而，该实验装置产生的等离子体射流兼具大尺寸与高电子密度的特点，对现有微波诊断方法提出了严峻的技术挑战。</w:t>
      </w:r>
    </w:p>
    <w:p w14:paraId="355AEA58">
      <w:r>
        <w:rPr>
          <w:rFonts w:hint="eastAsia"/>
        </w:rPr>
        <w:t>等离子体诊断方法按探测方式可划分为介入式与非介入式两大类。介入式方法（如Langmuir静电探针）虽可实现局部高精度测量，但探针的物理侵入不可避免地扰动待测等离子体的局部状态，且在高温高密度环境下面临探针烧蚀、电极污染等问题。相比之下，非介入式的微波诊断方法利用电磁波作为信息载体进行远程探测，对待测等离子体无物理接触、无状态扰动，在等离子体诊断领域获得了广泛应用。</w:t>
      </w:r>
    </w:p>
    <w:p w14:paraId="0780A867">
      <w:r>
        <w:rPr>
          <w:rFonts w:hint="eastAsia"/>
        </w:rPr>
        <w:t>微波透射干涉法是目前应用最为普遍的电子密度诊断技术之一。该方法通过测量电磁波穿过等离子体前后的相位变化量，结合等离子体的色散关系反演电子密度。其优点在于属于绝对测量方法，无需额外标定系数。然而，当等离子体的电子密度较高、介质厚度较大时（如上述实验装置环境），电磁波穿越鞘套所经历的相移可能超过</w:t>
      </w:r>
      <m:oMath>
        <m:r>
          <m:rPr/>
          <m:t>360</m:t>
        </m:r>
        <m:r>
          <m:rPr>
            <m:sty m:val="p"/>
          </m:rPr>
          <m:t>°</m:t>
        </m:r>
      </m:oMath>
      <w:r>
        <w:rPr>
          <w:rFonts w:hint="eastAsia"/>
        </w:rPr>
        <w:t>，产生相位反转，导致严重的整周模糊问题。相位的真实变化量在未知反转周期数的条件下无法唯一确定，这直接制约了传统微波干涉法在高密度等离子体诊断中的可靠性。</w:t>
      </w:r>
    </w:p>
    <w:p w14:paraId="466F398D">
      <w:r>
        <w:rPr>
          <w:rFonts w:hint="eastAsia"/>
        </w:rPr>
        <w:t>上述整周模糊问题的本质根源在于：传统干涉法以“相位变化”作为直接观测量，而相位测量天然具有</w:t>
      </w:r>
      <m:oMath>
        <m:r>
          <m:rPr/>
          <m:t>2π</m:t>
        </m:r>
      </m:oMath>
      <w:r>
        <w:rPr>
          <w:rFonts w:hint="eastAsia"/>
        </w:rPr>
        <w:t>的周期性模糊。若将观测量从相位域转换至时延域——即测量电磁波穿过等离子体引起的群时延变化，则可从根本上规避周期模糊的困扰，因为时延作为物理量不存在周期性折叠。线性调频连续波（LFMCW）雷达体制恰好提供了一种将时延信息转化为可测频率偏移量的高精度机制：发射信号与回波信号混频后产生的差频信号频率正比于传播时延，通过精确测量差频信号的频率变化即可提取等离子体引入的时延增量。在此基础上，本课题组前期工作已初步验证了LFMCW时延诊断法的可行性，实现了对等离子体电子密度的基本测量，但相关结论仍主要建立在弱色散条件与单峰检测框架之上。本文则进一步面向强色散条件下的传播机理、传统方法适用性边界、群时延轨迹提取、降维参数反演以及工程验证展开系统研究。</w:t>
      </w:r>
    </w:p>
    <w:p w14:paraId="5158C66C">
      <w:r>
        <w:rPr>
          <w:rFonts w:hint="eastAsia"/>
        </w:rPr>
        <w:t>然而，前期工作采用的“全频段FFT单峰检测”方案隐含着一个重要的物理假设——差频信号为单一频率的稳态正弦波，即等离子体对宽带LFMCW信号的群时延为恒定值。这一假设仅在弱色散条件（探测频率远高于等离子体截止频率）下近似成立。当诊断目标的电子密度较高、等离子体截止频率逼近探测频段时，等离子体呈现强色散特性——不同频率分量经历的群时延存在显著差异——传统方案的“恒定时延”假设将严重失效，差频信号不再是单频正弦波，而是频率随时间漂移的啁啾(Chirp)信号，FFT频谱出现展宽、散焦甚至主瓣分裂，致使单峰检测方法的测距精度急剧恶化，诊断结果失去工程可信度。</w:t>
      </w:r>
    </w:p>
    <w:p w14:paraId="6E27461C">
      <w:r>
        <w:rPr>
          <w:rFonts w:hint="eastAsia"/>
        </w:rPr>
        <w:t>上述物理限制引出了一个根本性的科学问题，即在色散效应不可忽略的条件下，如何从LFMCW差频信号中稳定重构随频率演化的群时延轨迹，并据此实现对主导参数电子密度</w:t>
      </w:r>
      <m:oMath>
        <m:sSub>
          <m:sSubPr/>
          <m:e>
            <m:r>
              <m:rPr/>
              <m:t>n</m:t>
            </m:r>
          </m:e>
          <m:sub>
            <m:r>
              <m:rPr/>
              <m:t>e</m:t>
            </m:r>
          </m:sub>
        </m:sSub>
      </m:oMath>
      <w:r>
        <w:rPr>
          <w:rFonts w:hint="eastAsia"/>
        </w:rPr>
        <w:t>的高精度反演。回答这一问题，构成了本文研究工作的核心动机。</w:t>
      </w:r>
      <w:r>
        <w:t xml:space="preserve"> </w:t>
      </w:r>
      <w:r>
        <w:rPr>
          <w:rFonts w:hint="eastAsia"/>
        </w:rPr>
        <w:t>进一步地，并非所有等离子体参数在群时延观测链路下都具有同等可观测性，因此有必要先分析参数敏感性，再决定反演变量集。为此，本文从差频信号中提取其随频率演化的群时延轨迹特征，并借助参数反演算法从时延轨迹中定量反解电子密度，从而为强色散条件下基于群时延轨迹的电子密度诊断提供可实施的观测量与反演流程。</w:t>
      </w:r>
    </w:p>
    <w:p w14:paraId="687F09DF">
      <w:r>
        <w:pict>
          <v:rect id="_x0000_i1025" o:spt="1" style="height:1.5pt;width:0pt;" coordsize="21600,21600" o:hr="t" o:hrstd="t" o:hralign="center">
            <v:path/>
            <v:fill focussize="0,0"/>
            <v:stroke/>
            <v:imagedata o:title=""/>
            <o:lock v:ext="edit"/>
            <w10:wrap type="none"/>
            <w10:anchorlock/>
          </v:rect>
        </w:pict>
      </w:r>
    </w:p>
    <w:bookmarkEnd w:id="20"/>
    <w:bookmarkEnd w:id="22"/>
    <w:p w14:paraId="38AD4153">
      <w:pPr>
        <w:pStyle w:val="3"/>
      </w:pPr>
      <w:bookmarkStart w:id="23" w:name="国内外研究现状"/>
      <w:r>
        <w:rPr>
          <w:rFonts w:hint="eastAsia"/>
        </w:rPr>
        <w:t>国内外研究现状</w:t>
      </w:r>
    </w:p>
    <w:p w14:paraId="45F5C6C6">
      <w:pPr>
        <w:pStyle w:val="4"/>
      </w:pPr>
      <w:bookmarkStart w:id="24" w:name="等离子体微波诊断技术演进干涉反射散射法"/>
      <w:r>
        <w:rPr>
          <w:rFonts w:hint="eastAsia"/>
        </w:rPr>
        <w:t>等离子体微波诊断技术演进（干涉、反射、散射法）</w:t>
      </w:r>
    </w:p>
    <w:p w14:paraId="2BD2D2B6">
      <w:r>
        <w:rPr>
          <w:rFonts w:hint="eastAsia"/>
        </w:rPr>
        <w:t>等离子体的微波诊断技术经历了从单频点测量到多频段宽带探测、从单一参数诊断到多参数联合获取的持续演进。按照电磁波与等离子体的相互作用方式，微波诊断方法可分为透射干涉法、反射法与散射法三大类。</w:t>
      </w:r>
    </w:p>
    <w:p w14:paraId="69AB2077">
      <w:r>
        <w:rPr>
          <w:rFonts w:hint="eastAsia"/>
        </w:rPr>
        <w:t>微波透射干涉法是等离子体电子密度诊断中应用最早且最广泛的测量手段之一。其核心原理为：比较电磁波在有、无等离子体两种状态下穿过同一物理路径后的相位差异，结合等离子体的色散关系（相位常数与电子密度的解析映射），反演线积分平均的电子密度。该方法属于绝对测量，无需工程标定系数，因而在核聚变装置（托卡马克）、低温等离子体源以及空间物理等领域获得了持久的关注。从技术形态上看，干涉仪经历了从零拍式、外差式到扫频式的多代发展。早期的单频干涉仪工作于微波X波段（约8~12</w:t>
      </w:r>
      <w:r>
        <w:t xml:space="preserve"> </w:t>
      </w:r>
      <w:r>
        <w:rPr>
          <w:rFonts w:hint="eastAsia"/>
        </w:rPr>
        <w:t>GHz），已能实现</w:t>
      </w:r>
      <m:oMath>
        <m:sSup>
          <m:sSupPr/>
          <m:e>
            <m:r>
              <m:rPr/>
              <m:t>10</m:t>
            </m:r>
          </m:e>
          <m:sup>
            <m:r>
              <m:rPr/>
              <m:t>8</m:t>
            </m:r>
          </m:sup>
        </m:sSup>
      </m:oMath>
      <w:r>
        <w:t>~</w:t>
      </w:r>
      <m:oMath>
        <m:sSup>
          <m:sSupPr/>
          <m:e>
            <m:r>
              <m:rPr/>
              <m:t>10</m:t>
            </m:r>
          </m:e>
          <m:sup>
            <m:r>
              <m:rPr/>
              <m:t>12</m:t>
            </m:r>
          </m:sup>
        </m:sSup>
      </m:oMath>
      <w:r>
        <w:t xml:space="preserve"> cm</w:t>
      </w:r>
      <m:oMath>
        <m:sSup>
          <m:sSupPr/>
          <m:e>
            <m:r>
              <m:rPr/>
              <m:t>​</m:t>
            </m:r>
          </m:e>
          <m:sup>
            <m:r>
              <m:rPr>
                <m:sty m:val="p"/>
              </m:rPr>
              <m:t>−</m:t>
            </m:r>
            <m:r>
              <m:rPr/>
              <m:t>3</m:t>
            </m:r>
          </m:sup>
        </m:sSup>
      </m:oMath>
      <w:r>
        <w:rPr>
          <w:rFonts w:hint="eastAsia"/>
        </w:rPr>
        <w:t>量级等离子体的电子密度诊断。此后，诊断频率逐步向毫米波乃至太赫兹频段拓展，以应对更高密度或更薄层等离子体带来的灵敏度需求。近年来，多通道干涉系统的引入使得电子密度空间分布的同步测量成为可能，进一步扩展了微波干涉法的应用深度。</w:t>
      </w:r>
    </w:p>
    <w:p w14:paraId="56988426">
      <w:r>
        <w:rPr>
          <w:rFonts w:hint="eastAsia"/>
        </w:rPr>
        <w:t>尽管微波干涉法具有成熟度高、精度可靠等优势，其在高电子密度等离子体诊断中仍面临前述的相位整周模糊难题。当等离子体厚度与电子密度的乘积超过临界值时，穿透信号经历的相移超出</w:t>
      </w:r>
      <m:oMath>
        <m:r>
          <m:rPr/>
          <m:t>2π</m:t>
        </m:r>
      </m:oMath>
      <w:r>
        <w:rPr>
          <w:rFonts w:hint="eastAsia"/>
        </w:rPr>
        <w:t>的单调可辨别区间，测量的相位值在</w:t>
      </w:r>
      <m:oMath>
        <m:r>
          <m:rPr>
            <m:sty m:val="p"/>
          </m:rPr>
          <m:t>[</m:t>
        </m:r>
        <m:r>
          <m:rPr/>
          <m:t>0</m:t>
        </m:r>
        <m:r>
          <m:rPr>
            <m:sty m:val="p"/>
          </m:rPr>
          <m:t>,</m:t>
        </m:r>
        <m:r>
          <m:rPr/>
          <m:t>2π</m:t>
        </m:r>
        <m:r>
          <m:rPr>
            <m:sty m:val="p"/>
          </m:rPr>
          <m:t>)</m:t>
        </m:r>
      </m:oMath>
      <w:r>
        <w:rPr>
          <w:rFonts w:hint="eastAsia"/>
        </w:rPr>
        <w:t>范围内发生折叠，无法唯一确定真实相移。尽管双频法、多波长法等技术在一定程度上缓解了这一问题，但本质上并未消除相位测量自身的周期性固有限制。</w:t>
      </w:r>
    </w:p>
    <w:p w14:paraId="35063988">
      <w:r>
        <w:rPr>
          <w:rFonts w:hint="eastAsia"/>
        </w:rPr>
        <w:t>微波反射法的测量机理借鉴了雷达回波探测的基本思想。当探测信号的频率低于等离子体的局部截止频率时，电磁波在密度达到此临界值的空间位置处发生全反射。通过扫描发射频率，每一频点的反射层对应于等离子体内部的一个特定密度截面，从而可重构出电子密度的空间剖面分布。与透射干涉法相比，反射法具有更高的空间分辨能力，特别适用于非均匀分布等离子体的剖面诊断。自20世纪60年代提出以来，微波反射测量技术在磁约束聚变装置上得到了长足发展，近年来的研究进一步将反射法拓展至激波管瞬态等离子体等高温高密度场景中的宽带扫频诊断。然而，反射法对信噪比要求严格（反射信号强度远低于发射信号）、天线与等离子体之间须保持较近距离，且在相位解释、截止层定位以及多径干扰抑制等方面存在较高实现难度。</w:t>
      </w:r>
    </w:p>
    <w:p w14:paraId="6BB64A65">
      <w:r>
        <w:rPr>
          <w:rFonts w:hint="eastAsia"/>
        </w:rPr>
        <w:t>微波散射法基于电磁波与等离子体中密度涨落的相互作用，通过分析散射信号的频移与角分布来推断等离子体的电子温度、离子温度及密度涨落谱等参数。该方法尤其适用于高温磁约束等离子体的精细参数诊断，但其对硬件系统（高功率发射源、灵敏接收机与精密天线系统）的要求极为苛刻，在地面模拟装置的常规等离子体诊断中应用相对较少。</w:t>
      </w:r>
    </w:p>
    <w:p w14:paraId="40709CC6">
      <w:r>
        <w:rPr>
          <w:rFonts w:hint="eastAsia"/>
        </w:rPr>
        <w:t>综观上述技术演进，可以提炼出一条贯穿各方法的核心矛盾：微波诊断本质上是从电磁波穿越等离子体后的幅度与相位变化中提取物理参数的逆问题，而传统方法均以相位变化或幅度衰减作为基本观测量。当等离子体密度升高或介质厚度增大时，相位观测量的整周模糊与幅度观测量的动态范围不足将同时成为制约诊断精度的瓶颈。如何引入新的观测量并结合参数反演方法提升强色散条件下的可辨识性，成为后续LFMCW诊断研究需要解决的关键问题。</w:t>
      </w:r>
    </w:p>
    <w:bookmarkEnd w:id="24"/>
    <w:p w14:paraId="51519BC6">
      <w:pPr>
        <w:pStyle w:val="4"/>
      </w:pPr>
      <w:bookmarkStart w:id="25" w:name="宽带lfmcw在色散介质诊断中的应用进展与瓶颈"/>
      <w:r>
        <w:rPr>
          <w:rFonts w:hint="eastAsia"/>
        </w:rPr>
        <w:t>宽带LFMCW在色散介质诊断中的应用进展与瓶颈</w:t>
      </w:r>
    </w:p>
    <w:p w14:paraId="0933725B">
      <w:r>
        <w:rPr>
          <w:rFonts w:hint="eastAsia"/>
        </w:rPr>
        <w:t>线性调频连续波（LFMCW）作为兼具连续波低峰值功率优势与脉冲压缩高分辨率特点的雷达体制，在测距和目标探测领域已有数十年的成熟应用。当该体制被引入等离子体这样的色散介质诊断场景后，其核心挑战也随之从传统的点目标测距问题演变为色散信道下的信号失真与参数反演问题。</w:t>
      </w:r>
    </w:p>
    <w:p w14:paraId="519FCE8C">
      <w:r>
        <w:rPr>
          <w:rFonts w:hint="eastAsia"/>
        </w:rPr>
        <w:t>围绕LFMCW（或广义FMCW）信号在色散介质中的传播失真与补偿问题，近十年来国内外研究者从多个技术路径展开了探索，形成了以色散补偿与消除为主线的若干代表性工作。由于直接面向等离子体强色散LFMCW诊断的公开研究仍相对有限，本文进一步引入波导、光纤及太赫兹FMCW等广义色散介质中的相关工作作为方法论对照，用以提炼可迁移的信号处理思路及其适用边界。</w:t>
      </w:r>
    </w:p>
    <w:p w14:paraId="10AD8AFC">
      <w:r>
        <w:rPr>
          <w:rFonts w:hint="eastAsia"/>
        </w:rPr>
        <w:t>在波导色散场景中，Malinowski等人（2014年）针对FMCW雷达在波导中进行液位测量时遭遇的色散问题展开研究。波导的色散效应导致差频信号频谱主瓣展宽，目标距离的FFT峰值分辨率显著退化。该工作提出了迭代相位校正方案——构造与色散相位响应匹配的校正因子，将展宽的频谱峰恢复为理想的尖锐单峰，从而读取目标距离。然而，该方案的相位校正项本身需要目标真实距离</w:t>
      </w:r>
      <m:oMath>
        <m:r>
          <m:rPr/>
          <m:t>R</m:t>
        </m:r>
      </m:oMath>
      <w:r>
        <w:rPr>
          <w:rFonts w:hint="eastAsia"/>
        </w:rPr>
        <w:t>作为先验输入，而</w:t>
      </w:r>
      <m:oMath>
        <m:r>
          <m:rPr/>
          <m:t>R</m:t>
        </m:r>
      </m:oMath>
      <w:r>
        <w:rPr>
          <w:rFonts w:hint="eastAsia"/>
        </w:rPr>
        <w:t>恰恰是待测未知量，因此算法必须通过初估-修正的迭代循环逐步逼近真值，在介质色散关系复杂或多目标场景下收敛性难以保证。</w:t>
      </w:r>
    </w:p>
    <w:p w14:paraId="1480E1F7">
      <w:r>
        <w:rPr>
          <w:rFonts w:hint="eastAsia"/>
        </w:rPr>
        <w:t>在光纤色散场景中，刘国栋、甘雨等人（2016年）研究了超宽带激光调频连续波测距系统中的色散失配问题。光纤作为高度色散的传输介质，在大扫频带宽下使差频信号呈现显著的啁啾特性，传统FFT无法有效锁定目标频率。该工作采用匹配滤波器的思路，构造与色散物理模型精确匹配的反向啁啾参考函数对接收信号进行脉冲压缩，将色散导致的时域展宽信号重新”聚焦”为尖锐脉冲。为满足实时处理需求，算法以降采样换取计算效率，牺牲了部分频域分辨率信息。</w:t>
      </w:r>
    </w:p>
    <w:p w14:paraId="0B07B11F">
      <w:r>
        <w:rPr>
          <w:rFonts w:hint="eastAsia"/>
        </w:rPr>
        <w:t>Lampel等人（2022年）从信号预处理角度出发，在相位编码-调频连续波（PC-FMCW）雷达体制下提出了色散预失真技术：在发射前对LFMCW信号施加与预期色散效应互逆的相位调制，使信号经过色散介质后恢复为近似理想的线性调频波形。该方法的优势在于将补偿操作前移至发射端，接收端无需额外的后处理步骤；但其有效性依赖于色散介质参数的精确先验知识——在等离子体这样参数时变的场景中，发射前预知精确的色散模型存在根本性困难。</w:t>
      </w:r>
    </w:p>
    <w:p w14:paraId="582B7CD2">
      <w:r>
        <w:rPr>
          <w:rFonts w:hint="eastAsia"/>
        </w:rPr>
        <w:t>此外，刘波等人（2021年）在双干涉仪激光雷达系统中开发了针对色散失配的自校准与二次数字重采样方法，利用参考臂末端反射信号（不受色散影响）作为内部基准，对测量臂信号进行色散补偿；Vázquez等人（2023年）则在太赫兹FMCW系统中探索了反向滤波法——将色散介质建模为频域滤波器并构造其逆滤波器，在频域相乘实现色散效应的抵消。该方法在概念上简洁优雅，但正如作者所指出的，在实际工程中构建完美匹配真实介质色散特性的逆滤波器十分困难，尤其当色散介质参数存在不确定性时，逆滤波的补偿残差将直接转化为测距误差。</w:t>
      </w:r>
    </w:p>
    <w:p w14:paraId="34D97A84">
      <w:r>
        <w:rPr>
          <w:rFonts w:hint="eastAsia"/>
        </w:rPr>
        <w:t>综合上述前沿工作，现有研究的技术目标殊途同归，即消除色散的影响、恢复单峰差频、回归传统的单频差频—单点时延—单值密度的测量方式。然而，这一范式存在两个根本局限：其一，多数补偿方法依赖于色散参数的先验知识，而参数本身恰是诊断目标，构成循环依赖；其二，消除色散意味着丢弃信号中蕴含的丰富时延轨迹信息。色散效应导致差频信号频率随时间变化，这一变化轨迹编码了介质在不同频率处的群时延映射关系，通过时频分析可提取远多于单点测量的观测数据。</w:t>
      </w:r>
    </w:p>
    <w:p w14:paraId="3A860585">
      <w:r>
        <w:rPr>
          <w:rFonts w:hint="eastAsia"/>
        </w:rPr>
        <w:t>本研究正是基于上述洞察展开——色散补偿思路难以满足等离子体诊断需求，因此本文不再以恢复单峰差频为目标，而是直接从差频信号的时频演化中提取群时延轨迹特征，并据此开展参数反演。需要指出的是，这一路径并不意味着色散越强越有利；只有在传播损耗可接受且特征点仍具可检测信噪比的前提下，更显著的时延轨迹变化才能为参数反演提供更充分的物理约束。这也意味着，后续研究不仅需要解决轨迹特征提取问题，还需要结合参数可观测性分析与工程验证，建立完整的诊断链路。</w:t>
      </w:r>
    </w:p>
    <w:p w14:paraId="113507C3">
      <w:r>
        <w:pict>
          <v:rect id="_x0000_i1026" o:spt="1" style="height:1.5pt;width:0pt;" coordsize="21600,21600" o:hr="t" o:hrstd="t" o:hralign="center">
            <v:path/>
            <v:fill focussize="0,0"/>
            <v:stroke/>
            <v:imagedata o:title=""/>
            <o:lock v:ext="edit"/>
            <w10:wrap type="none"/>
            <w10:anchorlock/>
          </v:rect>
        </w:pict>
      </w:r>
    </w:p>
    <w:bookmarkEnd w:id="23"/>
    <w:bookmarkEnd w:id="25"/>
    <w:p w14:paraId="0C111058">
      <w:pPr>
        <w:pStyle w:val="3"/>
      </w:pPr>
      <w:bookmarkStart w:id="26" w:name="本文主要研究内容与章节安排"/>
      <w:r>
        <w:rPr>
          <w:rFonts w:hint="eastAsia"/>
        </w:rPr>
        <w:t>本文主要研究内容与章节安排</w:t>
      </w:r>
    </w:p>
    <w:p w14:paraId="15F4B76A">
      <w:r>
        <w:rPr>
          <w:rFonts w:hint="eastAsia"/>
        </w:rPr>
        <w:t>在上述研究背景与技术现状分析的基础上，第一章从高超声速飞行器等离子体鞘套引发的“黑障”问题出发，说明电子密度动态诊断的工程需求，并在梳理等离子体微波诊断技术与LFMCW在色散介质诊断中的研究现状基础上提出本文的研究思路。第二章建立等离子体电磁特性与LFMCW诊断机理的理论基础，给出Drude模型下的复介电常数、传播常数与差频测距关系，并介绍宽带超外差收发前端的基本架构，为后续分析提供统一的物理描述。</w:t>
      </w:r>
    </w:p>
    <w:p w14:paraId="76734815">
      <w:r>
        <w:rPr>
          <w:rFonts w:hint="eastAsia"/>
        </w:rPr>
        <w:t>在此基础上，第三章建立频率—群时延非线性映射模型，说明传统全频段FFT单峰方法在强色散条件下为何会因群时延的频率依赖性而失效，揭示差频信号由稳态单频向非稳态调频形式转化的物理机理，并给出基于局部线性化与FFT分辨率约束的工程判据及其局部适用边界。基于这一机理分析，第四章针对差频信号的时变非平稳特性，提出滑动窗口—MDL—ESPRIT—MCMC处理链路，结合群时延对碰撞频率仅具二阶微扰敏感性的物理特性，论证固定</w:t>
      </w:r>
      <m:oMath>
        <m:sSub>
          <m:sSubPr/>
          <m:e>
            <m:r>
              <m:rPr/>
              <m:t>ν</m:t>
            </m:r>
          </m:e>
          <m:sub>
            <m:r>
              <m:rPr/>
              <m:t>e</m:t>
            </m:r>
          </m:sub>
        </m:sSub>
      </m:oMath>
      <w:r>
        <w:rPr>
          <w:rFonts w:hint="eastAsia"/>
        </w:rPr>
        <w:t>、仅反演</w:t>
      </w:r>
      <m:oMath>
        <m:sSub>
          <m:sSubPr/>
          <m:e>
            <m:r>
              <m:rPr/>
              <m:t>n</m:t>
            </m:r>
          </m:e>
          <m:sub>
            <m:r>
              <m:rPr/>
              <m:t>e</m:t>
            </m:r>
          </m:sub>
        </m:sSub>
      </m:oMath>
      <w:r>
        <w:rPr>
          <w:rFonts w:hint="eastAsia"/>
        </w:rPr>
        <w:t>的降维策略。第五章完成3</w:t>
      </w:r>
      <w:r>
        <w:t xml:space="preserve"> </w:t>
      </w:r>
      <w:r>
        <w:rPr>
          <w:rFonts w:hint="eastAsia"/>
        </w:rPr>
        <w:t>GHz硬件扩带与时延分辨率标定，并以色散函数数学形式已知、真值可控的微波滤波器作为等效验证载体，检验时延轨迹特征提取链路的工程可行性以及其对后续参数反演的支撑作用。第六章对全文工作进行总结，归纳主要研究结论与创新点，分析现阶段研究的不足，并对后续工作作出展望。</w:t>
      </w:r>
    </w:p>
    <w:bookmarkEnd w:id="26"/>
    <w:p w14:paraId="76D8CF2F">
      <w:pPr>
        <w:pStyle w:val="3"/>
      </w:pPr>
      <w:bookmarkStart w:id="27" w:name="本文主要创新点"/>
      <w:r>
        <w:rPr>
          <w:rFonts w:hint="eastAsia"/>
        </w:rPr>
        <w:t>本文主要创新点</w:t>
      </w:r>
    </w:p>
    <w:p w14:paraId="02D9580E">
      <w:r>
        <w:rPr>
          <w:rFonts w:hint="eastAsia"/>
        </w:rPr>
        <w:t>本文的主要创新可概括为以下三个方面。一是建立了面向强色散等离子体诊断的LFMCW分析框架，从群时延轨迹出发建立频率与群时延之间的非线性映射关系，解释差频信号在强色散条件下的畸变机理，并给出传统全频段FFT单峰方法的局部工程适用判据。二是提出了面向强色散非平稳差频信号的特征提取与电子密度反演方法，基于群时延对碰撞频率弱敏感的物理特性，采用固定</w:t>
      </w:r>
      <m:oMath>
        <m:sSub>
          <m:sSubPr/>
          <m:e>
            <m:r>
              <m:rPr/>
              <m:t>ν</m:t>
            </m:r>
          </m:e>
          <m:sub>
            <m:r>
              <m:rPr/>
              <m:t>e</m:t>
            </m:r>
          </m:sub>
        </m:sSub>
      </m:oMath>
      <w:r>
        <w:rPr>
          <w:rFonts w:hint="eastAsia"/>
        </w:rPr>
        <w:t>、仅反演</w:t>
      </w:r>
      <m:oMath>
        <m:sSub>
          <m:sSubPr/>
          <m:e>
            <m:r>
              <m:rPr/>
              <m:t>n</m:t>
            </m:r>
          </m:e>
          <m:sub>
            <m:r>
              <m:rPr/>
              <m:t>e</m:t>
            </m:r>
          </m:sub>
        </m:sSub>
      </m:oMath>
      <w:r>
        <w:rPr>
          <w:rFonts w:hint="eastAsia"/>
        </w:rPr>
        <w:t>的降维策略，构建“滑动窗口—MDL信源数估计—TLS-ESPRIT特征提取—MCMC参数反演”的处理链路，实现频率—时延轨迹提取与参数反演。三是完成了宽带LFMCW诊断系统的搭建与等效验证，系统实现了3</w:t>
      </w:r>
      <w:r>
        <w:t xml:space="preserve"> </w:t>
      </w:r>
      <w:r>
        <w:rPr>
          <w:rFonts w:hint="eastAsia"/>
        </w:rPr>
        <w:t>GHz扫频带宽和3.33</w:t>
      </w:r>
      <w:r>
        <w:t xml:space="preserve"> </w:t>
      </w:r>
      <w:r>
        <w:rPr>
          <w:rFonts w:hint="eastAsia"/>
        </w:rPr>
        <w:t>ps时延分辨率，并利用色散等效介质验证了时延轨迹特征提取链路对参数计算的支撑能力。</w:t>
      </w:r>
    </w:p>
    <w:bookmarkEnd w:id="19"/>
    <w:bookmarkEnd w:id="27"/>
    <w:p w14:paraId="0B2E826A">
      <w:pPr>
        <w:pStyle w:val="2"/>
      </w:pPr>
      <w:bookmarkStart w:id="28" w:name="等离子体电磁特性与lfmcw诊断机理"/>
      <w:r>
        <w:rPr>
          <w:rFonts w:hint="eastAsia"/>
        </w:rPr>
        <w:t>等离子体电磁特性与LFMCW诊断机理</w:t>
      </w:r>
    </w:p>
    <w:p w14:paraId="7532BB9E">
      <w:pPr>
        <w:pStyle w:val="3"/>
      </w:pPr>
      <w:bookmarkStart w:id="29" w:name="引言"/>
      <w:r>
        <w:rPr>
          <w:rFonts w:hint="eastAsia"/>
        </w:rPr>
        <w:t>引言</w:t>
      </w:r>
    </w:p>
    <w:p w14:paraId="1BD90CEC">
      <w:r>
        <w:rPr>
          <w:rFonts w:hint="eastAsia"/>
        </w:rPr>
        <w:t>第一章从工程应用的角度指出，基于LFMCW的时延诊断方法能够从根本上规避传统微波干涉法在高电子密度环境下面临的相位整周模糊问题。为了深入理解这一诊断方法的物理基础，并为后续章节的色散传播机理分析与反演算法设计提供理论支撑，本章将系统建立等离子体电磁特性与LFMCW诊断原理的基础理论框架。</w:t>
      </w:r>
    </w:p>
    <w:p w14:paraId="2C26FF1A">
      <w:r>
        <w:rPr>
          <w:rFonts w:hint="eastAsia"/>
        </w:rPr>
        <w:t>本章首先从电磁波与等离子体相互作用的微观动力学出发，推导非磁化等离子体的复介电常数模型以及电磁波在其中的传播常数，阐明等离子体的频率选择性传播特征及其物理根源。随后建立LFMCW信号的数学模型与差频测距机制，并简要介绍实现该原理的宽带超外差硬件平台。在此基础上，本章进一步说明色散介质环境下差频信号偏离理想单频形式的物理原因，指出传统诊断方法在强色散条件下面临的基本局限，为后续章节的机理分析与方法设计提供问题背景。</w:t>
      </w:r>
    </w:p>
    <w:bookmarkEnd w:id="29"/>
    <w:p w14:paraId="683D8AA4">
      <w:pPr>
        <w:pStyle w:val="3"/>
      </w:pPr>
      <w:bookmarkStart w:id="30" w:name="等离子体与电磁波相互作用基础"/>
      <w:r>
        <w:rPr>
          <w:rFonts w:hint="eastAsia"/>
        </w:rPr>
        <w:t>等离子体与电磁波相互作用基础</w:t>
      </w:r>
    </w:p>
    <w:p w14:paraId="28C5F022">
      <w:pPr>
        <w:pStyle w:val="4"/>
      </w:pPr>
      <w:bookmarkStart w:id="31" w:name="等离子体介电特性与截止频率"/>
      <w:r>
        <w:rPr>
          <w:rFonts w:hint="eastAsia"/>
        </w:rPr>
        <w:t>等离子体介电特性与截止频率</w:t>
      </w:r>
    </w:p>
    <w:p w14:paraId="022CBEDD">
      <w:r>
        <w:rPr>
          <w:rFonts w:hint="eastAsia"/>
        </w:rPr>
        <w:t>从电磁学角度看，等离子体可等效为一种色散且有耗的特殊介质，其电磁响应由自由电子的集体运动所决定。建立等离子体的介电常数模型，是分析电磁波在其中传播特性的理论起点。</w:t>
      </w:r>
    </w:p>
    <w:p w14:paraId="6EF72423">
      <w:r>
        <w:rPr>
          <w:rFonts w:hint="eastAsia"/>
        </w:rPr>
        <w:t>刻画本文诊断问题的核心参数主要包括电子密度</w:t>
      </w:r>
      <m:oMath>
        <m:sSub>
          <m:sSubPr/>
          <m:e>
            <m:r>
              <m:rPr/>
              <m:t>n</m:t>
            </m:r>
          </m:e>
          <m:sub>
            <m:r>
              <m:rPr/>
              <m:t>e</m:t>
            </m:r>
          </m:sub>
        </m:sSub>
      </m:oMath>
      <w:r>
        <w:rPr>
          <w:rFonts w:hint="eastAsia"/>
        </w:rPr>
        <w:t>、等离子体特征角频率</w:t>
      </w:r>
      <m:oMath>
        <m:sSub>
          <m:sSubPr/>
          <m:e>
            <m:r>
              <m:rPr/>
              <m:t>ω</m:t>
            </m:r>
          </m:e>
          <m:sub>
            <m:r>
              <m:rPr/>
              <m:t>p</m:t>
            </m:r>
          </m:sub>
        </m:sSub>
      </m:oMath>
      <w:r>
        <w:rPr>
          <w:rFonts w:hint="eastAsia"/>
        </w:rPr>
        <w:t>及碰撞频率</w:t>
      </w:r>
      <m:oMath>
        <m:sSub>
          <m:sSubPr/>
          <m:e>
            <m:r>
              <m:rPr/>
              <m:t>ν</m:t>
            </m:r>
          </m:e>
          <m:sub>
            <m:r>
              <m:rPr/>
              <m:t>e</m:t>
            </m:r>
          </m:sub>
        </m:sSub>
      </m:oMath>
      <w:r>
        <w:rPr>
          <w:rFonts w:hint="eastAsia"/>
        </w:rPr>
        <w:t>。其中，</w:t>
      </w:r>
      <m:oMath>
        <m:sSub>
          <m:sSubPr/>
          <m:e>
            <m:r>
              <m:rPr/>
              <m:t>n</m:t>
            </m:r>
          </m:e>
          <m:sub>
            <m:r>
              <m:rPr/>
              <m:t>e</m:t>
            </m:r>
          </m:sub>
        </m:sSub>
      </m:oMath>
      <w:r>
        <w:rPr>
          <w:rFonts w:hint="eastAsia"/>
        </w:rPr>
        <w:t>决定电磁波与等离子体的耦合强度；</w:t>
      </w:r>
      <m:oMath>
        <m:sSub>
          <m:sSubPr/>
          <m:e>
            <m:r>
              <m:rPr/>
              <m:t>ω</m:t>
            </m:r>
          </m:e>
          <m:sub>
            <m:r>
              <m:rPr/>
              <m:t>p</m:t>
            </m:r>
          </m:sub>
        </m:sSub>
      </m:oMath>
      <w:r>
        <w:rPr>
          <w:rFonts w:hint="eastAsia"/>
        </w:rPr>
        <w:t>对应介质的特征频率并决定截止边界；</w:t>
      </w:r>
      <m:oMath>
        <m:sSub>
          <m:sSubPr/>
          <m:e>
            <m:r>
              <m:rPr/>
              <m:t>ν</m:t>
            </m:r>
          </m:e>
          <m:sub>
            <m:r>
              <m:rPr/>
              <m:t>e</m:t>
            </m:r>
          </m:sub>
        </m:sSub>
      </m:oMath>
      <w:r>
        <w:rPr>
          <w:rFonts w:hint="eastAsia"/>
        </w:rPr>
        <w:t>则描述电子碰撞引起的耗散效应。本文所依托的地面模拟实验平台可提供</w:t>
      </w:r>
      <m:oMath>
        <m:sSup>
          <m:sSupPr/>
          <m:e>
            <m:r>
              <m:rPr/>
              <m:t>10</m:t>
            </m:r>
          </m:e>
          <m:sup>
            <m:r>
              <m:rPr/>
              <m:t>15</m:t>
            </m:r>
          </m:sup>
        </m:sSup>
      </m:oMath>
      <w:r>
        <w:t>~</w:t>
      </w:r>
      <m:oMath>
        <m:r>
          <m:rPr/>
          <m:t>3</m:t>
        </m:r>
        <m:r>
          <m:rPr>
            <m:sty m:val="p"/>
          </m:rPr>
          <m:t>×</m:t>
        </m:r>
        <m:sSup>
          <m:sSupPr/>
          <m:e>
            <m:r>
              <m:rPr/>
              <m:t>10</m:t>
            </m:r>
          </m:e>
          <m:sup>
            <m:r>
              <m:rPr/>
              <m:t>19</m:t>
            </m:r>
          </m:sup>
        </m:sSup>
      </m:oMath>
      <w:r>
        <w:t xml:space="preserve"> m</w:t>
      </w:r>
      <m:oMath>
        <m:sSup>
          <m:sSupPr/>
          <m:e>
            <m:r>
              <m:rPr/>
              <m:t>​</m:t>
            </m:r>
          </m:e>
          <m:sup>
            <m:r>
              <m:rPr>
                <m:sty m:val="p"/>
              </m:rPr>
              <m:t>−</m:t>
            </m:r>
            <m:r>
              <m:rPr/>
              <m:t>3</m:t>
            </m:r>
          </m:sup>
        </m:sSup>
      </m:oMath>
      <w:r>
        <w:rPr>
          <w:rFonts w:hint="eastAsia"/>
        </w:rPr>
        <w:t>量级的电子密度范围，覆盖本文关注的典型诊断工况。等离子体特征角频率</w:t>
      </w:r>
      <m:oMath>
        <m:sSub>
          <m:sSubPr/>
          <m:e>
            <m:r>
              <m:rPr/>
              <m:t>ω</m:t>
            </m:r>
          </m:e>
          <m:sub>
            <m:r>
              <m:rPr/>
              <m:t>p</m:t>
            </m:r>
          </m:sub>
        </m:sSub>
      </m:oMath>
      <w:r>
        <w:rPr>
          <w:rFonts w:hint="eastAsia"/>
        </w:rPr>
        <w:t>（对应线性特征频率</w:t>
      </w:r>
      <m:oMath>
        <m:sSub>
          <m:sSubPr/>
          <m:e>
            <m:r>
              <m:rPr/>
              <m:t>f</m:t>
            </m:r>
          </m:e>
          <m:sub>
            <m:r>
              <m:rPr/>
              <m:t>p</m:t>
            </m:r>
          </m:sub>
        </m:sSub>
        <m:r>
          <m:rPr>
            <m:sty m:val="p"/>
          </m:rPr>
          <m:t>=</m:t>
        </m:r>
        <m:sSub>
          <m:sSubPr/>
          <m:e>
            <m:r>
              <m:rPr/>
              <m:t>ω</m:t>
            </m:r>
          </m:e>
          <m:sub>
            <m:r>
              <m:rPr/>
              <m:t>p</m:t>
            </m:r>
          </m:sub>
        </m:sSub>
        <m:r>
          <m:rPr>
            <m:sty m:val="p"/>
          </m:rPr>
          <m:t>/</m:t>
        </m:r>
        <m:r>
          <m:rPr/>
          <m:t>2π</m:t>
        </m:r>
      </m:oMath>
      <w:r>
        <w:rPr>
          <w:rFonts w:hint="eastAsia"/>
        </w:rPr>
        <w:t>）由电子的固有振荡决定，其表达式为：</w:t>
      </w:r>
    </w:p>
    <w:p w14:paraId="6DB6C346">
      <w:r>
        <w:t xml:space="preserve"> </w:t>
      </w:r>
    </w:p>
    <w:p w14:paraId="2496E8D1">
      <w:pPr>
        <w:pStyle w:val="44"/>
        <w:spacing w:before="0" w:after="0" w:line="400" w:lineRule="atLeast"/>
      </w:pPr>
      <w:r>
        <w:tab/>
      </w:r>
      <m:oMath>
        <m:sSub>
          <m:sSubPr/>
          <m:e>
            <m:r>
              <m:rPr/>
              <m:t>ω</m:t>
            </m:r>
          </m:e>
          <m:sub>
            <m:r>
              <m:rPr/>
              <m:t>p</m:t>
            </m:r>
          </m:sub>
        </m:sSub>
        <m:r>
          <m:rPr>
            <m:sty m:val="p"/>
          </m:rPr>
          <m:t>=</m:t>
        </m:r>
        <m:rad>
          <m:radPr>
            <m:degHide m:val="1"/>
          </m:radPr>
          <m:deg/>
          <m:e>
            <m:f>
              <m:fPr/>
              <m:num>
                <m:sSub>
                  <m:sSubPr/>
                  <m:e>
                    <m:r>
                      <m:rPr/>
                      <m:t>n</m:t>
                    </m:r>
                  </m:e>
                  <m:sub>
                    <m:r>
                      <m:rPr/>
                      <m:t>e</m:t>
                    </m:r>
                  </m:sub>
                </m:sSub>
                <m:sSup>
                  <m:sSupPr/>
                  <m:e>
                    <m:r>
                      <m:rPr/>
                      <m:t>e</m:t>
                    </m:r>
                  </m:e>
                  <m:sup>
                    <m:r>
                      <m:rPr/>
                      <m:t>2</m:t>
                    </m:r>
                  </m:sup>
                </m:sSup>
              </m:num>
              <m:den>
                <m:sSub>
                  <m:sSubPr/>
                  <m:e>
                    <m:r>
                      <m:rPr/>
                      <m:t>ε</m:t>
                    </m:r>
                  </m:e>
                  <m:sub>
                    <m:r>
                      <m:rPr/>
                      <m:t>0</m:t>
                    </m:r>
                  </m:sub>
                </m:sSub>
                <m:sSub>
                  <m:sSubPr/>
                  <m:e>
                    <m:r>
                      <m:rPr/>
                      <m:t>m</m:t>
                    </m:r>
                  </m:e>
                  <m:sub>
                    <m:r>
                      <m:rPr/>
                      <m:t>e</m:t>
                    </m:r>
                  </m:sub>
                </m:sSub>
              </m:den>
            </m:f>
          </m:e>
        </m:rad>
      </m:oMath>
      <w:r>
        <w:tab/>
      </w:r>
      <w:r>
        <w:t>(2</w:t>
      </w:r>
      <w:r>
        <w:noBreakHyphen/>
      </w:r>
      <w:r>
        <w:t>1)</w:t>
      </w:r>
    </w:p>
    <w:p w14:paraId="67CF2D9D">
      <w:r>
        <w:t xml:space="preserve"> </w:t>
      </w:r>
    </w:p>
    <w:p w14:paraId="48CEC301">
      <w:r>
        <w:rPr>
          <w:rFonts w:hint="eastAsia"/>
        </w:rPr>
        <w:t>式中</w:t>
      </w:r>
      <m:oMath>
        <m:r>
          <m:rPr/>
          <m:t>e</m:t>
        </m:r>
        <m:r>
          <m:rPr>
            <m:sty m:val="p"/>
          </m:rPr>
          <m:t>=</m:t>
        </m:r>
        <m:r>
          <m:rPr/>
          <m:t>1.602</m:t>
        </m:r>
        <m:r>
          <m:rPr>
            <m:sty m:val="p"/>
          </m:rPr>
          <m:t>×</m:t>
        </m:r>
        <m:sSup>
          <m:sSupPr/>
          <m:e>
            <m:r>
              <m:rPr/>
              <m:t>10</m:t>
            </m:r>
          </m:e>
          <m:sup>
            <m:r>
              <m:rPr>
                <m:sty m:val="p"/>
              </m:rPr>
              <m:t>−</m:t>
            </m:r>
            <m:r>
              <m:rPr/>
              <m:t>19</m:t>
            </m:r>
          </m:sup>
        </m:sSup>
      </m:oMath>
      <w:r>
        <w:t xml:space="preserve"> </w:t>
      </w:r>
      <w:r>
        <w:rPr>
          <w:rFonts w:hint="eastAsia"/>
        </w:rPr>
        <w:t>C为基本电荷量，</w:t>
      </w:r>
      <m:oMath>
        <m:sSub>
          <m:sSubPr/>
          <m:e>
            <m:r>
              <m:rPr/>
              <m:t>m</m:t>
            </m:r>
          </m:e>
          <m:sub>
            <m:r>
              <m:rPr/>
              <m:t>e</m:t>
            </m:r>
          </m:sub>
        </m:sSub>
        <m:r>
          <m:rPr>
            <m:sty m:val="p"/>
          </m:rPr>
          <m:t>=</m:t>
        </m:r>
        <m:r>
          <m:rPr/>
          <m:t>9.109</m:t>
        </m:r>
        <m:r>
          <m:rPr>
            <m:sty m:val="p"/>
          </m:rPr>
          <m:t>×</m:t>
        </m:r>
        <m:sSup>
          <m:sSupPr/>
          <m:e>
            <m:r>
              <m:rPr/>
              <m:t>10</m:t>
            </m:r>
          </m:e>
          <m:sup>
            <m:r>
              <m:rPr>
                <m:sty m:val="p"/>
              </m:rPr>
              <m:t>−</m:t>
            </m:r>
            <m:r>
              <m:rPr/>
              <m:t>31</m:t>
            </m:r>
          </m:sup>
        </m:sSup>
      </m:oMath>
      <w:r>
        <w:t xml:space="preserve"> </w:t>
      </w:r>
      <w:r>
        <w:rPr>
          <w:rFonts w:hint="eastAsia"/>
        </w:rPr>
        <w:t>kg为电子静止质量，</w:t>
      </w:r>
      <m:oMath>
        <m:sSub>
          <m:sSubPr/>
          <m:e>
            <m:r>
              <m:rPr/>
              <m:t>ε</m:t>
            </m:r>
          </m:e>
          <m:sub>
            <m:r>
              <m:rPr/>
              <m:t>0</m:t>
            </m:r>
          </m:sub>
        </m:sSub>
        <m:r>
          <m:rPr>
            <m:sty m:val="p"/>
          </m:rPr>
          <m:t>=</m:t>
        </m:r>
        <m:r>
          <m:rPr/>
          <m:t>8.854</m:t>
        </m:r>
        <m:r>
          <m:rPr>
            <m:sty m:val="p"/>
          </m:rPr>
          <m:t>×</m:t>
        </m:r>
        <m:sSup>
          <m:sSupPr/>
          <m:e>
            <m:r>
              <m:rPr/>
              <m:t>10</m:t>
            </m:r>
          </m:e>
          <m:sup>
            <m:r>
              <m:rPr>
                <m:sty m:val="p"/>
              </m:rPr>
              <m:t>−</m:t>
            </m:r>
            <m:r>
              <m:rPr/>
              <m:t>12</m:t>
            </m:r>
          </m:sup>
        </m:sSup>
      </m:oMath>
      <w:r>
        <w:t xml:space="preserve"> </w:t>
      </w:r>
      <w:r>
        <w:rPr>
          <w:rFonts w:hint="eastAsia"/>
        </w:rPr>
        <w:t>F/m为真空电容率。将各常数代入并换算为线性频率，即得特征频率的数值估算式：</w:t>
      </w:r>
    </w:p>
    <w:p w14:paraId="478D9326">
      <w:r>
        <w:t xml:space="preserve"> </w:t>
      </w:r>
    </w:p>
    <w:p w14:paraId="2D21F427">
      <w:pPr>
        <w:pStyle w:val="44"/>
        <w:spacing w:before="0" w:after="0" w:line="400" w:lineRule="atLeast"/>
      </w:pPr>
      <w:r>
        <w:tab/>
      </w:r>
      <m:oMath>
        <m:sSub>
          <m:sSubPr/>
          <m:e>
            <m:r>
              <m:rPr/>
              <m:t>f</m:t>
            </m:r>
          </m:e>
          <m:sub>
            <m:r>
              <m:rPr/>
              <m:t>p</m:t>
            </m:r>
          </m:sub>
        </m:sSub>
        <m:r>
          <m:rPr>
            <m:sty m:val="p"/>
          </m:rPr>
          <m:t>=</m:t>
        </m:r>
        <m:f>
          <m:fPr/>
          <m:num>
            <m:sSub>
              <m:sSubPr/>
              <m:e>
                <m:r>
                  <m:rPr/>
                  <m:t>ω</m:t>
                </m:r>
              </m:e>
              <m:sub>
                <m:r>
                  <m:rPr/>
                  <m:t>p</m:t>
                </m:r>
              </m:sub>
            </m:sSub>
          </m:num>
          <m:den>
            <m:r>
              <m:rPr/>
              <m:t>2π</m:t>
            </m:r>
          </m:den>
        </m:f>
        <m:r>
          <m:rPr>
            <m:sty m:val="p"/>
          </m:rPr>
          <m:t>≈</m:t>
        </m:r>
        <m:r>
          <m:rPr/>
          <m:t>8.98</m:t>
        </m:r>
        <m:rad>
          <m:radPr>
            <m:degHide m:val="1"/>
          </m:radPr>
          <m:deg/>
          <m:e>
            <m:sSub>
              <m:sSubPr/>
              <m:e>
                <m:r>
                  <m:rPr/>
                  <m:t>n</m:t>
                </m:r>
              </m:e>
              <m:sub>
                <m:r>
                  <m:rPr/>
                  <m:t>e</m:t>
                </m:r>
              </m:sub>
            </m:sSub>
          </m:e>
        </m:rad>
        <m:r>
          <m:rPr>
            <m:sty m:val="p"/>
          </m:rPr>
          <m:t>(</m:t>
        </m:r>
        <m:r>
          <m:rPr>
            <m:nor/>
            <m:sty m:val="p"/>
          </m:rPr>
          <m:t>Hz</m:t>
        </m:r>
        <m:r>
          <m:rPr>
            <m:sty m:val="p"/>
          </m:rPr>
          <m:t>)</m:t>
        </m:r>
      </m:oMath>
      <w:r>
        <w:tab/>
      </w:r>
      <w:r>
        <w:t>(2</w:t>
      </w:r>
      <w:r>
        <w:noBreakHyphen/>
      </w:r>
      <w:r>
        <w:t>2)</w:t>
      </w:r>
    </w:p>
    <w:p w14:paraId="70E05D04">
      <w:r>
        <w:t xml:space="preserve"> </w:t>
      </w:r>
    </w:p>
    <w:p w14:paraId="7150E1A9">
      <w:r>
        <w:rPr>
          <w:rFonts w:hint="eastAsia"/>
        </w:rPr>
        <w:t>式(2-2)表明，特征频率仅由电子密度唯一确定——这一单调递增的对应关系构成了通过测量频率相关的电磁量（如群时延）来反演电子密度的物理基础。从传播物理学的角度看，特征频率实质上扮演了截止频率的角色：当入射电磁波频率</w:t>
      </w:r>
      <m:oMath>
        <m:r>
          <m:rPr/>
          <m:t>f</m:t>
        </m:r>
      </m:oMath>
      <w:r>
        <w:rPr>
          <w:rFonts w:hint="eastAsia"/>
        </w:rPr>
        <w:t>高于</w:t>
      </w:r>
      <m:oMath>
        <m:sSub>
          <m:sSubPr/>
          <m:e>
            <m:r>
              <m:rPr/>
              <m:t>f</m:t>
            </m:r>
          </m:e>
          <m:sub>
            <m:r>
              <m:rPr/>
              <m:t>p</m:t>
            </m:r>
          </m:sub>
        </m:sSub>
      </m:oMath>
      <w:r>
        <w:rPr>
          <w:rFonts w:hint="eastAsia"/>
        </w:rPr>
        <w:t>时，电磁波能够穿透等离子体，虽然会经历群时延色散与幅度衰减；而当</w:t>
      </w:r>
      <m:oMath>
        <m:r>
          <m:rPr/>
          <m:t>f</m:t>
        </m:r>
      </m:oMath>
      <w:r>
        <w:rPr>
          <w:rFonts w:hint="eastAsia"/>
        </w:rPr>
        <w:t>低于</w:t>
      </w:r>
      <m:oMath>
        <m:sSub>
          <m:sSubPr/>
          <m:e>
            <m:r>
              <m:rPr/>
              <m:t>f</m:t>
            </m:r>
          </m:e>
          <m:sub>
            <m:r>
              <m:rPr/>
              <m:t>p</m:t>
            </m:r>
          </m:sub>
        </m:sSub>
      </m:oMath>
      <w:r>
        <w:rPr>
          <w:rFonts w:hint="eastAsia"/>
        </w:rPr>
        <w:t>时，电磁波将被完全反射或发生全内截止，无法在等离子体内部有效传播。</w:t>
      </w:r>
    </w:p>
    <w:p w14:paraId="256BB2B6">
      <w:r>
        <w:rPr>
          <w:rFonts w:hint="eastAsia"/>
        </w:rPr>
        <w:t>与上述两个频率参数并列的第三个核心参量为碰撞频率</w:t>
      </w:r>
      <m:oMath>
        <m:sSub>
          <m:sSubPr/>
          <m:e>
            <m:r>
              <m:rPr/>
              <m:t>ν</m:t>
            </m:r>
          </m:e>
          <m:sub>
            <m:r>
              <m:rPr/>
              <m:t>e</m:t>
            </m:r>
          </m:sub>
        </m:sSub>
      </m:oMath>
      <w:r>
        <w:rPr>
          <w:rFonts w:hint="eastAsia"/>
        </w:rPr>
        <w:t>（单位：Hz），它描述等离子体内部电子与中性粒子或离子之间碰撞事件的统计频次。碰撞过程导致电子有序运动动能向热运动能量的不可逆转化，在电磁学模型中体现为介质的欧姆损耗机制。碰撞频率的大小取决于等离子体的气体组分、温度和气压等宏观热力学条件，在本文所涉及的诊断场景中，其典型量级为</w:t>
      </w:r>
      <m:oMath>
        <m:sSup>
          <m:sSupPr/>
          <m:e>
            <m:r>
              <m:rPr/>
              <m:t>10</m:t>
            </m:r>
          </m:e>
          <m:sup>
            <m:r>
              <m:rPr/>
              <m:t>9</m:t>
            </m:r>
          </m:sup>
        </m:sSup>
      </m:oMath>
      <w:r>
        <w:t>~</w:t>
      </w:r>
      <m:oMath>
        <m:sSup>
          <m:sSupPr/>
          <m:e>
            <m:r>
              <m:rPr/>
              <m:t>10</m:t>
            </m:r>
          </m:e>
          <m:sup>
            <m:r>
              <m:rPr/>
              <m:t>10</m:t>
            </m:r>
          </m:sup>
        </m:sSup>
      </m:oMath>
      <w:r>
        <w:t xml:space="preserve"> Hz。</w:t>
      </w:r>
    </w:p>
    <w:p w14:paraId="7A8D17B1">
      <w:r>
        <w:rPr>
          <w:rFonts w:hint="eastAsia"/>
        </w:rPr>
        <w:t>在明确上述三个核心参数的基础上，等离子体的宏观介电特性可通过分析自由电子在外加时变电场作用下的受迫运动规律来获得。在非磁化、各向同性的冷等离子体近似条件下，单个电子在外加电场</w:t>
      </w:r>
      <m:oMath>
        <m:acc>
          <m:accPr>
            <m:chr m:val="⃗"/>
          </m:accPr>
          <m:e>
            <m:r>
              <m:rPr/>
              <m:t>E</m:t>
            </m:r>
          </m:e>
        </m:acc>
        <m:r>
          <m:rPr>
            <m:sty m:val="p"/>
          </m:rPr>
          <m:t>=</m:t>
        </m:r>
        <m:sSub>
          <m:sSubPr/>
          <m:e>
            <m:r>
              <m:rPr/>
              <m:t>E</m:t>
            </m:r>
          </m:e>
          <m:sub>
            <m:r>
              <m:rPr/>
              <m:t>0</m:t>
            </m:r>
          </m:sub>
        </m:sSub>
        <m:sSup>
          <m:sSupPr/>
          <m:e>
            <m:r>
              <m:rPr/>
              <m:t>e</m:t>
            </m:r>
          </m:e>
          <m:sup>
            <m:r>
              <m:rPr>
                <m:sty m:val="p"/>
              </m:rPr>
              <m:t>−</m:t>
            </m:r>
            <m:r>
              <m:rPr/>
              <m:t>jωt</m:t>
            </m:r>
          </m:sup>
        </m:sSup>
      </m:oMath>
      <w:r>
        <w:rPr>
          <w:rFonts w:hint="eastAsia"/>
        </w:rPr>
        <w:t>作用下的运动方程遵循经典朗之万方程：</w:t>
      </w:r>
    </w:p>
    <w:p w14:paraId="741C2D62">
      <w:r>
        <w:t xml:space="preserve"> </w:t>
      </w:r>
    </w:p>
    <w:p w14:paraId="68F9AE1F">
      <w:pPr>
        <w:pStyle w:val="44"/>
        <w:spacing w:before="0" w:after="0" w:line="400" w:lineRule="atLeast"/>
      </w:pPr>
      <w:r>
        <w:tab/>
      </w:r>
      <m:oMath>
        <m:sSub>
          <m:sSubPr/>
          <m:e>
            <m:r>
              <m:rPr/>
              <m:t>m</m:t>
            </m:r>
          </m:e>
          <m:sub>
            <m:r>
              <m:rPr/>
              <m:t>e</m:t>
            </m:r>
          </m:sub>
        </m:sSub>
        <m:f>
          <m:fPr/>
          <m:num>
            <m:sSup>
              <m:sSupPr/>
              <m:e>
                <m:r>
                  <m:rPr/>
                  <m:t>d</m:t>
                </m:r>
              </m:e>
              <m:sup>
                <m:r>
                  <m:rPr/>
                  <m:t>2</m:t>
                </m:r>
              </m:sup>
            </m:sSup>
            <m:sSub>
              <m:sSubPr/>
              <m:e>
                <m:acc>
                  <m:accPr>
                    <m:chr m:val="⃗"/>
                  </m:accPr>
                  <m:e>
                    <m:r>
                      <m:rPr/>
                      <m:t>X</m:t>
                    </m:r>
                  </m:e>
                </m:acc>
              </m:e>
              <m:sub>
                <m:r>
                  <m:rPr/>
                  <m:t>e</m:t>
                </m:r>
              </m:sub>
            </m:sSub>
          </m:num>
          <m:den>
            <m:r>
              <m:rPr/>
              <m:t>d</m:t>
            </m:r>
            <m:sSup>
              <m:sSupPr/>
              <m:e>
                <m:r>
                  <m:rPr/>
                  <m:t>t</m:t>
                </m:r>
              </m:e>
              <m:sup>
                <m:r>
                  <m:rPr/>
                  <m:t>2</m:t>
                </m:r>
              </m:sup>
            </m:sSup>
          </m:den>
        </m:f>
        <m:r>
          <m:rPr>
            <m:sty m:val="p"/>
          </m:rPr>
          <m:t>=−</m:t>
        </m:r>
        <m:sSub>
          <m:sSubPr/>
          <m:e>
            <m:r>
              <m:rPr/>
              <m:t>m</m:t>
            </m:r>
          </m:e>
          <m:sub>
            <m:r>
              <m:rPr/>
              <m:t>e</m:t>
            </m:r>
          </m:sub>
        </m:sSub>
        <m:sSub>
          <m:sSubPr/>
          <m:e>
            <m:r>
              <m:rPr/>
              <m:t>ν</m:t>
            </m:r>
          </m:e>
          <m:sub>
            <m:r>
              <m:rPr/>
              <m:t>e</m:t>
            </m:r>
          </m:sub>
        </m:sSub>
        <m:f>
          <m:fPr/>
          <m:num>
            <m:r>
              <m:rPr/>
              <m:t>d</m:t>
            </m:r>
            <m:sSub>
              <m:sSubPr/>
              <m:e>
                <m:acc>
                  <m:accPr>
                    <m:chr m:val="⃗"/>
                  </m:accPr>
                  <m:e>
                    <m:r>
                      <m:rPr/>
                      <m:t>X</m:t>
                    </m:r>
                  </m:e>
                </m:acc>
              </m:e>
              <m:sub>
                <m:r>
                  <m:rPr/>
                  <m:t>e</m:t>
                </m:r>
              </m:sub>
            </m:sSub>
          </m:num>
          <m:den>
            <m:r>
              <m:rPr/>
              <m:t>dt</m:t>
            </m:r>
          </m:den>
        </m:f>
        <m:r>
          <m:rPr>
            <m:sty m:val="p"/>
          </m:rPr>
          <m:t>−</m:t>
        </m:r>
        <m:r>
          <m:rPr/>
          <m:t>e</m:t>
        </m:r>
        <m:acc>
          <m:accPr>
            <m:chr m:val="⃗"/>
          </m:accPr>
          <m:e>
            <m:r>
              <m:rPr/>
              <m:t>E</m:t>
            </m:r>
          </m:e>
        </m:acc>
      </m:oMath>
      <w:r>
        <w:tab/>
      </w:r>
      <w:r>
        <w:t>(2</w:t>
      </w:r>
      <w:r>
        <w:noBreakHyphen/>
      </w:r>
      <w:r>
        <w:t>3)</w:t>
      </w:r>
    </w:p>
    <w:p w14:paraId="50C6F636">
      <w:r>
        <w:t xml:space="preserve"> </w:t>
      </w:r>
    </w:p>
    <w:p w14:paraId="5674BE62">
      <w:r>
        <w:rPr>
          <w:rFonts w:hint="eastAsia"/>
        </w:rPr>
        <w:t>式中，</w:t>
      </w:r>
      <m:oMath>
        <m:sSub>
          <m:sSubPr/>
          <m:e>
            <m:acc>
              <m:accPr>
                <m:chr m:val="⃗"/>
              </m:accPr>
              <m:e>
                <m:r>
                  <m:rPr/>
                  <m:t>X</m:t>
                </m:r>
              </m:e>
            </m:acc>
          </m:e>
          <m:sub>
            <m:r>
              <m:rPr/>
              <m:t>e</m:t>
            </m:r>
          </m:sub>
        </m:sSub>
      </m:oMath>
      <w:r>
        <w:rPr>
          <w:rFonts w:hint="eastAsia"/>
        </w:rPr>
        <w:t>为电子偏离平衡位置的位移，方程右端第一项表征碰撞引起的阻尼力，第二项为外电场的驱动力。假设位移和电场均具有</w:t>
      </w:r>
      <m:oMath>
        <m:sSup>
          <m:sSupPr/>
          <m:e>
            <m:r>
              <m:rPr/>
              <m:t>e</m:t>
            </m:r>
          </m:e>
          <m:sup>
            <m:r>
              <m:rPr>
                <m:sty m:val="p"/>
              </m:rPr>
              <m:t>−</m:t>
            </m:r>
            <m:r>
              <m:rPr/>
              <m:t>jωt</m:t>
            </m:r>
          </m:sup>
        </m:sSup>
      </m:oMath>
      <w:r>
        <w:rPr>
          <w:rFonts w:hint="eastAsia"/>
        </w:rPr>
        <w:t>的时谐性，可从稳态解中获得电子偏离平衡位置的距离：</w:t>
      </w:r>
    </w:p>
    <w:p w14:paraId="68441C6A">
      <w:r>
        <w:t xml:space="preserve"> </w:t>
      </w:r>
    </w:p>
    <w:p w14:paraId="5B7D6339">
      <w:pPr>
        <w:pStyle w:val="44"/>
        <w:spacing w:before="0" w:after="0" w:line="400" w:lineRule="atLeast"/>
      </w:pPr>
      <w:r>
        <w:tab/>
      </w:r>
      <m:oMath>
        <m:sSub>
          <m:sSubPr/>
          <m:e>
            <m:r>
              <m:rPr/>
              <m:t>X</m:t>
            </m:r>
          </m:e>
          <m:sub>
            <m:r>
              <m:rPr/>
              <m:t>e</m:t>
            </m:r>
          </m:sub>
        </m:sSub>
        <m:r>
          <m:rPr>
            <m:sty m:val="p"/>
          </m:rPr>
          <m:t>=</m:t>
        </m:r>
        <m:f>
          <m:fPr/>
          <m:num>
            <m:r>
              <m:rPr/>
              <m:t>eE</m:t>
            </m:r>
          </m:num>
          <m:den>
            <m:sSub>
              <m:sSubPr/>
              <m:e>
                <m:r>
                  <m:rPr/>
                  <m:t>m</m:t>
                </m:r>
              </m:e>
              <m:sub>
                <m:r>
                  <m:rPr/>
                  <m:t>e</m:t>
                </m:r>
              </m:sub>
            </m:sSub>
            <m:r>
              <m:rPr/>
              <m:t>ω</m:t>
            </m:r>
            <m:r>
              <m:rPr>
                <m:sty m:val="p"/>
              </m:rPr>
              <m:t>(</m:t>
            </m:r>
            <m:r>
              <m:rPr/>
              <m:t>ω</m:t>
            </m:r>
            <m:r>
              <m:rPr>
                <m:sty m:val="p"/>
              </m:rPr>
              <m:t>+</m:t>
            </m:r>
            <m:r>
              <m:rPr/>
              <m:t>j</m:t>
            </m:r>
            <m:sSub>
              <m:sSubPr/>
              <m:e>
                <m:r>
                  <m:rPr/>
                  <m:t>ν</m:t>
                </m:r>
              </m:e>
              <m:sub>
                <m:r>
                  <m:rPr/>
                  <m:t>e</m:t>
                </m:r>
              </m:sub>
            </m:sSub>
            <m:r>
              <m:rPr>
                <m:sty m:val="p"/>
              </m:rPr>
              <m:t>)</m:t>
            </m:r>
          </m:den>
        </m:f>
      </m:oMath>
      <w:r>
        <w:tab/>
      </w:r>
      <w:r>
        <w:t>(2</w:t>
      </w:r>
      <w:r>
        <w:noBreakHyphen/>
      </w:r>
      <w:r>
        <w:t>4)</w:t>
      </w:r>
    </w:p>
    <w:p w14:paraId="53B0B44A">
      <w:r>
        <w:t xml:space="preserve"> </w:t>
      </w:r>
    </w:p>
    <w:p w14:paraId="3DAEA6AB">
      <w:r>
        <w:rPr>
          <w:rFonts w:hint="eastAsia"/>
        </w:rPr>
        <w:t>由此可得等离子体的极化强度</w:t>
      </w:r>
      <m:oMath>
        <m:r>
          <m:rPr/>
          <m:t>P</m:t>
        </m:r>
        <m:r>
          <m:rPr>
            <m:sty m:val="p"/>
          </m:rPr>
          <m:t>=−</m:t>
        </m:r>
        <m:sSub>
          <m:sSubPr/>
          <m:e>
            <m:r>
              <m:rPr/>
              <m:t>n</m:t>
            </m:r>
          </m:e>
          <m:sub>
            <m:r>
              <m:rPr/>
              <m:t>e</m:t>
            </m:r>
          </m:sub>
        </m:sSub>
        <m:r>
          <m:rPr/>
          <m:t>e</m:t>
        </m:r>
        <m:sSub>
          <m:sSubPr/>
          <m:e>
            <m:r>
              <m:rPr/>
              <m:t>X</m:t>
            </m:r>
          </m:e>
          <m:sub>
            <m:r>
              <m:rPr/>
              <m:t>e</m:t>
            </m:r>
          </m:sub>
        </m:sSub>
        <m:r>
          <m:rPr>
            <m:sty m:val="p"/>
          </m:rPr>
          <m:t>=</m:t>
        </m:r>
        <m:sSub>
          <m:sSubPr/>
          <m:e>
            <m:r>
              <m:rPr/>
              <m:t>ε</m:t>
            </m:r>
          </m:e>
          <m:sub>
            <m:r>
              <m:rPr/>
              <m:t>0</m:t>
            </m:r>
          </m:sub>
        </m:sSub>
        <m:sSub>
          <m:sSubPr/>
          <m:e>
            <m:r>
              <m:rPr/>
              <m:t>χ</m:t>
            </m:r>
          </m:e>
          <m:sub>
            <m:r>
              <m:rPr/>
              <m:t>e</m:t>
            </m:r>
          </m:sub>
        </m:sSub>
        <m:r>
          <m:rPr/>
          <m:t>E</m:t>
        </m:r>
      </m:oMath>
      <w:r>
        <w:rPr>
          <w:rFonts w:hint="eastAsia"/>
        </w:rPr>
        <w:t>，进而获得极化率</w:t>
      </w:r>
      <m:oMath>
        <m:sSub>
          <m:sSubPr/>
          <m:e>
            <m:r>
              <m:rPr/>
              <m:t>χ</m:t>
            </m:r>
          </m:e>
          <m:sub>
            <m:r>
              <m:rPr/>
              <m:t>e</m:t>
            </m:r>
          </m:sub>
        </m:sSub>
      </m:oMath>
      <w:r>
        <w:rPr>
          <w:rFonts w:hint="eastAsia"/>
        </w:rPr>
        <w:t>的频率依赖关系。利用</w:t>
      </w:r>
      <m:oMath>
        <m:r>
          <m:rPr/>
          <m:t>ε</m:t>
        </m:r>
        <m:r>
          <m:rPr>
            <m:sty m:val="p"/>
          </m:rPr>
          <m:t>=</m:t>
        </m:r>
        <m:sSub>
          <m:sSubPr/>
          <m:e>
            <m:r>
              <m:rPr/>
              <m:t>ε</m:t>
            </m:r>
          </m:e>
          <m:sub>
            <m:r>
              <m:rPr/>
              <m:t>0</m:t>
            </m:r>
          </m:sub>
        </m:sSub>
        <m:r>
          <m:rPr>
            <m:sty m:val="p"/>
          </m:rPr>
          <m:t>(</m:t>
        </m:r>
        <m:r>
          <m:rPr/>
          <m:t>1</m:t>
        </m:r>
        <m:r>
          <m:rPr>
            <m:sty m:val="p"/>
          </m:rPr>
          <m:t>+</m:t>
        </m:r>
        <m:sSub>
          <m:sSubPr/>
          <m:e>
            <m:r>
              <m:rPr/>
              <m:t>χ</m:t>
            </m:r>
          </m:e>
          <m:sub>
            <m:r>
              <m:rPr/>
              <m:t>e</m:t>
            </m:r>
          </m:sub>
        </m:sSub>
        <m:r>
          <m:rPr>
            <m:sty m:val="p"/>
          </m:rPr>
          <m:t>)</m:t>
        </m:r>
      </m:oMath>
      <w:r>
        <w:rPr>
          <w:rFonts w:hint="eastAsia"/>
        </w:rPr>
        <w:t>的本构关系，最终得到等离子体的复相对介电常数——即Drude自由电子气模型的标准形式：</w:t>
      </w:r>
    </w:p>
    <w:p w14:paraId="21424A61">
      <w:r>
        <w:t xml:space="preserve"> </w:t>
      </w:r>
    </w:p>
    <w:p w14:paraId="47629DB1">
      <w:pPr>
        <w:pStyle w:val="44"/>
        <w:spacing w:before="0" w:after="0" w:line="400" w:lineRule="atLeast"/>
      </w:pPr>
      <w:r>
        <w:tab/>
      </w:r>
      <m:oMath>
        <m:sSub>
          <m:sSubPr/>
          <m:e>
            <m:acc>
              <m:accPr>
                <m:chr m:val="̃"/>
              </m:accPr>
              <m:e>
                <m:r>
                  <m:rPr/>
                  <m:t>ε</m:t>
                </m:r>
              </m:e>
            </m:acc>
          </m:e>
          <m:sub>
            <m:r>
              <m:rPr/>
              <m:t>r</m:t>
            </m:r>
          </m:sub>
        </m:sSub>
        <m:r>
          <m:rPr>
            <m:sty m:val="p"/>
          </m:rPr>
          <m:t>(</m:t>
        </m:r>
        <m:r>
          <m:rPr/>
          <m:t>ω</m:t>
        </m:r>
        <m:r>
          <m:rPr>
            <m:sty m:val="p"/>
          </m:rPr>
          <m:t>)=</m:t>
        </m:r>
        <m:d>
          <m:dPr>
            <m:sepChr m:val=""/>
          </m:dPr>
          <m:e>
            <m:r>
              <m:rPr/>
              <m:t>1</m:t>
            </m:r>
            <m:r>
              <m:rPr>
                <m:sty m:val="p"/>
              </m:rPr>
              <m:t>−</m:t>
            </m:r>
            <m:f>
              <m:fPr/>
              <m:num>
                <m:sSubSup>
                  <m:sSubSupPr/>
                  <m:e>
                    <m:r>
                      <m:rPr/>
                      <m:t>ω</m:t>
                    </m:r>
                  </m:e>
                  <m:sub>
                    <m:r>
                      <m:rPr/>
                      <m:t>p</m:t>
                    </m:r>
                  </m:sub>
                  <m:sup>
                    <m:r>
                      <m:rPr/>
                      <m:t>2</m:t>
                    </m:r>
                  </m:sup>
                </m:sSubSup>
              </m:num>
              <m:den>
                <m:sSup>
                  <m:sSupPr/>
                  <m:e>
                    <m:r>
                      <m:rPr/>
                      <m:t>ω</m:t>
                    </m:r>
                  </m:e>
                  <m:sup>
                    <m:r>
                      <m:rPr/>
                      <m:t>2</m:t>
                    </m:r>
                  </m:sup>
                </m:sSup>
                <m:r>
                  <m:rPr>
                    <m:sty m:val="p"/>
                  </m:rPr>
                  <m:t>+</m:t>
                </m:r>
                <m:sSubSup>
                  <m:sSubSupPr/>
                  <m:e>
                    <m:r>
                      <m:rPr/>
                      <m:t>ν</m:t>
                    </m:r>
                  </m:e>
                  <m:sub>
                    <m:r>
                      <m:rPr/>
                      <m:t>e</m:t>
                    </m:r>
                  </m:sub>
                  <m:sup>
                    <m:r>
                      <m:rPr/>
                      <m:t>2</m:t>
                    </m:r>
                  </m:sup>
                </m:sSubSup>
              </m:den>
            </m:f>
          </m:e>
        </m:d>
        <m:r>
          <m:rPr>
            <m:sty m:val="p"/>
          </m:rPr>
          <m:t>−</m:t>
        </m:r>
        <m:r>
          <m:rPr/>
          <m:t>j</m:t>
        </m:r>
        <m:d>
          <m:dPr>
            <m:sepChr m:val=""/>
          </m:dPr>
          <m:e>
            <m:f>
              <m:fPr/>
              <m:num>
                <m:sSub>
                  <m:sSubPr/>
                  <m:e>
                    <m:r>
                      <m:rPr/>
                      <m:t>ν</m:t>
                    </m:r>
                  </m:e>
                  <m:sub>
                    <m:r>
                      <m:rPr/>
                      <m:t>e</m:t>
                    </m:r>
                  </m:sub>
                </m:sSub>
              </m:num>
              <m:den>
                <m:r>
                  <m:rPr/>
                  <m:t>ω</m:t>
                </m:r>
              </m:den>
            </m:f>
            <m:r>
              <m:rPr>
                <m:sty m:val="p"/>
              </m:rPr>
              <m:t>⋅</m:t>
            </m:r>
            <m:f>
              <m:fPr/>
              <m:num>
                <m:sSubSup>
                  <m:sSubSupPr/>
                  <m:e>
                    <m:r>
                      <m:rPr/>
                      <m:t>ω</m:t>
                    </m:r>
                  </m:e>
                  <m:sub>
                    <m:r>
                      <m:rPr/>
                      <m:t>p</m:t>
                    </m:r>
                  </m:sub>
                  <m:sup>
                    <m:r>
                      <m:rPr/>
                      <m:t>2</m:t>
                    </m:r>
                  </m:sup>
                </m:sSubSup>
              </m:num>
              <m:den>
                <m:sSup>
                  <m:sSupPr/>
                  <m:e>
                    <m:r>
                      <m:rPr/>
                      <m:t>ω</m:t>
                    </m:r>
                  </m:e>
                  <m:sup>
                    <m:r>
                      <m:rPr/>
                      <m:t>2</m:t>
                    </m:r>
                  </m:sup>
                </m:sSup>
                <m:r>
                  <m:rPr>
                    <m:sty m:val="p"/>
                  </m:rPr>
                  <m:t>+</m:t>
                </m:r>
                <m:sSubSup>
                  <m:sSubSupPr/>
                  <m:e>
                    <m:r>
                      <m:rPr/>
                      <m:t>ν</m:t>
                    </m:r>
                  </m:e>
                  <m:sub>
                    <m:r>
                      <m:rPr/>
                      <m:t>e</m:t>
                    </m:r>
                  </m:sub>
                  <m:sup>
                    <m:r>
                      <m:rPr/>
                      <m:t>2</m:t>
                    </m:r>
                  </m:sup>
                </m:sSubSup>
              </m:den>
            </m:f>
          </m:e>
        </m:d>
      </m:oMath>
      <w:r>
        <w:tab/>
      </w:r>
      <w:r>
        <w:t>(2</w:t>
      </w:r>
      <w:r>
        <w:noBreakHyphen/>
      </w:r>
      <w:r>
        <w:t>5)</w:t>
      </w:r>
    </w:p>
    <w:p w14:paraId="70DBA19D">
      <w:r>
        <w:t xml:space="preserve"> </w:t>
      </w:r>
    </w:p>
    <w:p w14:paraId="3070371E">
      <w:r>
        <w:rPr>
          <w:rFonts w:hint="eastAsia"/>
        </w:rPr>
        <w:t>式(2-5)即为Drude自由电子气模型的标准表达。该复介电常数的实部</w:t>
      </w:r>
      <m:oMath>
        <m:sSub>
          <m:sSubPr/>
          <m:e>
            <m:r>
              <m:rPr/>
              <m:t>ε</m:t>
            </m:r>
          </m:e>
          <m:sub>
            <m:sSup>
              <m:sSupPr/>
              <m:e>
                <m:r>
                  <m:rPr/>
                  <m:t>r</m:t>
                </m:r>
              </m:e>
              <m:sup>
                <m:r>
                  <m:rPr>
                    <m:sty m:val="p"/>
                  </m:rPr>
                  <m:t>′</m:t>
                </m:r>
              </m:sup>
            </m:sSup>
          </m:sub>
        </m:sSub>
        <m:r>
          <m:rPr>
            <m:sty m:val="p"/>
          </m:rPr>
          <m:t>=</m:t>
        </m:r>
        <m:r>
          <m:rPr/>
          <m:t>1</m:t>
        </m:r>
        <m:r>
          <m:rPr>
            <m:sty m:val="p"/>
          </m:rPr>
          <m:t>−</m:t>
        </m:r>
        <m:sSubSup>
          <m:sSubSupPr/>
          <m:e>
            <m:r>
              <m:rPr/>
              <m:t>ω</m:t>
            </m:r>
          </m:e>
          <m:sub>
            <m:r>
              <m:rPr/>
              <m:t>p</m:t>
            </m:r>
          </m:sub>
          <m:sup>
            <m:r>
              <m:rPr/>
              <m:t>2</m:t>
            </m:r>
          </m:sup>
        </m:sSubSup>
        <m:r>
          <m:rPr>
            <m:sty m:val="p"/>
          </m:rPr>
          <m:t>/(</m:t>
        </m:r>
        <m:sSup>
          <m:sSupPr/>
          <m:e>
            <m:r>
              <m:rPr/>
              <m:t>ω</m:t>
            </m:r>
          </m:e>
          <m:sup>
            <m:r>
              <m:rPr/>
              <m:t>2</m:t>
            </m:r>
          </m:sup>
        </m:sSup>
        <m:r>
          <m:rPr>
            <m:sty m:val="p"/>
          </m:rPr>
          <m:t>+</m:t>
        </m:r>
        <m:sSubSup>
          <m:sSubSupPr/>
          <m:e>
            <m:r>
              <m:rPr/>
              <m:t>ν</m:t>
            </m:r>
          </m:e>
          <m:sub>
            <m:r>
              <m:rPr/>
              <m:t>e</m:t>
            </m:r>
          </m:sub>
          <m:sup>
            <m:r>
              <m:rPr/>
              <m:t>2</m:t>
            </m:r>
          </m:sup>
        </m:sSubSup>
        <m:r>
          <m:rPr>
            <m:sty m:val="p"/>
          </m:rPr>
          <m:t>)</m:t>
        </m:r>
      </m:oMath>
      <w:r>
        <w:rPr>
          <w:rFonts w:hint="eastAsia"/>
        </w:rPr>
        <w:t>主导着介质的色散行为，其数值大小直接决定了电磁波在等离子体中的相速度偏离真空光速的程度；虚部</w:t>
      </w:r>
      <m:oMath>
        <m:sSub>
          <m:sSubPr/>
          <m:e>
            <m:r>
              <m:rPr/>
              <m:t>ε</m:t>
            </m:r>
          </m:e>
          <m:sub>
            <m:sSup>
              <m:sSupPr/>
              <m:e>
                <m:r>
                  <m:rPr/>
                  <m:t>r</m:t>
                </m:r>
              </m:e>
              <m:sup>
                <m:r>
                  <m:rPr>
                    <m:sty m:val="p"/>
                  </m:rPr>
                  <m:t>″</m:t>
                </m:r>
              </m:sup>
            </m:sSup>
          </m:sub>
        </m:sSub>
        <m:r>
          <m:rPr>
            <m:sty m:val="p"/>
          </m:rPr>
          <m:t>=</m:t>
        </m:r>
        <m:sSub>
          <m:sSubPr/>
          <m:e>
            <m:r>
              <m:rPr/>
              <m:t>ν</m:t>
            </m:r>
          </m:e>
          <m:sub>
            <m:r>
              <m:rPr/>
              <m:t>e</m:t>
            </m:r>
          </m:sub>
        </m:sSub>
        <m:sSubSup>
          <m:sSubSupPr/>
          <m:e>
            <m:r>
              <m:rPr/>
              <m:t>ω</m:t>
            </m:r>
          </m:e>
          <m:sub>
            <m:r>
              <m:rPr/>
              <m:t>p</m:t>
            </m:r>
          </m:sub>
          <m:sup>
            <m:r>
              <m:rPr/>
              <m:t>2</m:t>
            </m:r>
          </m:sup>
        </m:sSubSup>
        <m:r>
          <m:rPr>
            <m:sty m:val="p"/>
          </m:rPr>
          <m:t>/[</m:t>
        </m:r>
        <m:r>
          <m:rPr/>
          <m:t>ω</m:t>
        </m:r>
        <m:r>
          <m:rPr>
            <m:sty m:val="p"/>
          </m:rPr>
          <m:t>(</m:t>
        </m:r>
        <m:sSup>
          <m:sSupPr/>
          <m:e>
            <m:r>
              <m:rPr/>
              <m:t>ω</m:t>
            </m:r>
          </m:e>
          <m:sup>
            <m:r>
              <m:rPr/>
              <m:t>2</m:t>
            </m:r>
          </m:sup>
        </m:sSup>
        <m:r>
          <m:rPr>
            <m:sty m:val="p"/>
          </m:rPr>
          <m:t>+</m:t>
        </m:r>
        <m:sSubSup>
          <m:sSubSupPr/>
          <m:e>
            <m:r>
              <m:rPr/>
              <m:t>ν</m:t>
            </m:r>
          </m:e>
          <m:sub>
            <m:r>
              <m:rPr/>
              <m:t>e</m:t>
            </m:r>
          </m:sub>
          <m:sup>
            <m:r>
              <m:rPr/>
              <m:t>2</m:t>
            </m:r>
          </m:sup>
        </m:sSubSup>
        <m:r>
          <m:rPr>
            <m:sty m:val="p"/>
          </m:rPr>
          <m:t>)]</m:t>
        </m:r>
      </m:oMath>
      <w:r>
        <w:rPr>
          <w:rFonts w:hint="eastAsia"/>
        </w:rPr>
        <w:t>则量化了碰撞吸收造成的欧姆衰减强度。当碰撞效应可以略去（</w:t>
      </w:r>
      <m:oMath>
        <m:sSub>
          <m:sSubPr/>
          <m:e>
            <m:r>
              <m:rPr/>
              <m:t>ν</m:t>
            </m:r>
          </m:e>
          <m:sub>
            <m:r>
              <m:rPr/>
              <m:t>e</m:t>
            </m:r>
          </m:sub>
        </m:sSub>
        <m:r>
          <m:rPr>
            <m:sty m:val="p"/>
          </m:rPr>
          <m:t>→</m:t>
        </m:r>
        <m:r>
          <m:rPr/>
          <m:t>0</m:t>
        </m:r>
      </m:oMath>
      <w:r>
        <w:rPr>
          <w:rFonts w:hint="eastAsia"/>
        </w:rPr>
        <w:t>）时，虚部趋于零，复介电常数简化为实数形式</w:t>
      </w:r>
      <m:oMath>
        <m:sSub>
          <m:sSubPr/>
          <m:e>
            <m:r>
              <m:rPr/>
              <m:t>ε</m:t>
            </m:r>
          </m:e>
          <m:sub>
            <m:r>
              <m:rPr/>
              <m:t>r</m:t>
            </m:r>
          </m:sub>
        </m:sSub>
        <m:r>
          <m:rPr>
            <m:sty m:val="p"/>
          </m:rPr>
          <m:t>=</m:t>
        </m:r>
        <m:r>
          <m:rPr/>
          <m:t>1</m:t>
        </m:r>
        <m:r>
          <m:rPr>
            <m:sty m:val="p"/>
          </m:rPr>
          <m:t>−(</m:t>
        </m:r>
        <m:sSub>
          <m:sSubPr/>
          <m:e>
            <m:r>
              <m:rPr/>
              <m:t>ω</m:t>
            </m:r>
          </m:e>
          <m:sub>
            <m:r>
              <m:rPr/>
              <m:t>p</m:t>
            </m:r>
          </m:sub>
        </m:sSub>
        <m:r>
          <m:rPr>
            <m:sty m:val="p"/>
          </m:rPr>
          <m:t>/</m:t>
        </m:r>
        <m:r>
          <m:rPr/>
          <m:t>ω</m:t>
        </m:r>
        <m:sSup>
          <m:sSupPr/>
          <m:e>
            <m:r>
              <m:rPr>
                <m:sty m:val="p"/>
              </m:rPr>
              <m:t>)</m:t>
            </m:r>
          </m:e>
          <m:sup>
            <m:r>
              <m:rPr/>
              <m:t>2</m:t>
            </m:r>
          </m:sup>
        </m:sSup>
      </m:oMath>
      <w:r>
        <w:rPr>
          <w:rFonts w:hint="eastAsia"/>
        </w:rPr>
        <w:t>，等离子体退化为无耗色散介质模型。</w:t>
      </w:r>
    </w:p>
    <w:p w14:paraId="7F9D43AD">
      <w:r>
        <w:rPr>
          <w:rFonts w:hint="eastAsia"/>
        </w:rPr>
        <w:t>从式(2-5)实部的符号特征可进一步揭示截止频率的物理意义。当</w:t>
      </w:r>
      <m:oMath>
        <m:r>
          <m:rPr/>
          <m:t>ω</m:t>
        </m:r>
        <m:r>
          <m:rPr>
            <m:sty m:val="p"/>
          </m:rPr>
          <m:t>&gt;</m:t>
        </m:r>
        <m:sSub>
          <m:sSubPr/>
          <m:e>
            <m:r>
              <m:rPr/>
              <m:t>ω</m:t>
            </m:r>
          </m:e>
          <m:sub>
            <m:r>
              <m:rPr/>
              <m:t>p</m:t>
            </m:r>
          </m:sub>
        </m:sSub>
      </m:oMath>
      <w:r>
        <w:rPr>
          <w:rFonts w:hint="eastAsia"/>
        </w:rPr>
        <w:t>（且碰撞频率的影响可忽略）时，</w:t>
      </w:r>
      <m:oMath>
        <m:sSub>
          <m:sSubPr/>
          <m:e>
            <m:r>
              <m:rPr/>
              <m:t>ε</m:t>
            </m:r>
          </m:e>
          <m:sub>
            <m:sSup>
              <m:sSupPr/>
              <m:e>
                <m:r>
                  <m:rPr/>
                  <m:t>r</m:t>
                </m:r>
              </m:e>
              <m:sup>
                <m:r>
                  <m:rPr>
                    <m:sty m:val="p"/>
                  </m:rPr>
                  <m:t>′</m:t>
                </m:r>
              </m:sup>
            </m:sSup>
          </m:sub>
        </m:sSub>
        <m:r>
          <m:rPr>
            <m:sty m:val="p"/>
          </m:rPr>
          <m:t>&gt;</m:t>
        </m:r>
        <m:r>
          <m:rPr/>
          <m:t>0</m:t>
        </m:r>
      </m:oMath>
      <w:r>
        <w:rPr>
          <w:rFonts w:hint="eastAsia"/>
        </w:rPr>
        <w:t>，等离子体支持电磁波的传播；当</w:t>
      </w:r>
      <m:oMath>
        <m:r>
          <m:rPr/>
          <m:t>ω</m:t>
        </m:r>
        <m:r>
          <m:rPr>
            <m:sty m:val="p"/>
          </m:rPr>
          <m:t>&lt;</m:t>
        </m:r>
        <m:sSub>
          <m:sSubPr/>
          <m:e>
            <m:r>
              <m:rPr/>
              <m:t>ω</m:t>
            </m:r>
          </m:e>
          <m:sub>
            <m:r>
              <m:rPr/>
              <m:t>p</m:t>
            </m:r>
          </m:sub>
        </m:sSub>
      </m:oMath>
      <w:r>
        <w:rPr>
          <w:rFonts w:hint="eastAsia"/>
        </w:rPr>
        <w:t>时，</w:t>
      </w:r>
      <m:oMath>
        <m:sSub>
          <m:sSubPr/>
          <m:e>
            <m:r>
              <m:rPr/>
              <m:t>ε</m:t>
            </m:r>
          </m:e>
          <m:sub>
            <m:sSup>
              <m:sSupPr/>
              <m:e>
                <m:r>
                  <m:rPr/>
                  <m:t>r</m:t>
                </m:r>
              </m:e>
              <m:sup>
                <m:r>
                  <m:rPr>
                    <m:sty m:val="p"/>
                  </m:rPr>
                  <m:t>′</m:t>
                </m:r>
              </m:sup>
            </m:sSup>
          </m:sub>
        </m:sSub>
        <m:r>
          <m:rPr>
            <m:sty m:val="p"/>
          </m:rPr>
          <m:t>&lt;</m:t>
        </m:r>
        <m:r>
          <m:rPr/>
          <m:t>0</m:t>
        </m:r>
      </m:oMath>
      <w:r>
        <w:rPr>
          <w:rFonts w:hint="eastAsia"/>
        </w:rPr>
        <w:t>，电磁波在等离子体中变为消逝模态（Evanescent</w:t>
      </w:r>
      <w:r>
        <w:t xml:space="preserve"> </w:t>
      </w:r>
      <w:r>
        <w:rPr>
          <w:rFonts w:hint="eastAsia"/>
        </w:rPr>
        <w:t>Mode），信号幅度随传播距离呈指数衰减。因此，特征频率</w:t>
      </w:r>
      <m:oMath>
        <m:sSub>
          <m:sSubPr/>
          <m:e>
            <m:r>
              <m:rPr/>
              <m:t>f</m:t>
            </m:r>
          </m:e>
          <m:sub>
            <m:r>
              <m:rPr/>
              <m:t>p</m:t>
            </m:r>
          </m:sub>
        </m:sSub>
      </m:oMath>
      <w:r>
        <w:rPr>
          <w:rFonts w:hint="eastAsia"/>
        </w:rPr>
        <w:t>即为等离子体的截止频率，标定了电磁波能否有效穿透等离子体的频率边界。在微波透射诊断的工程实践中，截止频率的数值直接决定了诊断信号工作频段的选择——诊断频率必须显著高于截止频率，以保证足够的穿透能力和信号信噪比。以本文实验装置产生的最高电子密度</w:t>
      </w:r>
      <m:oMath>
        <m:sSub>
          <m:sSubPr/>
          <m:e>
            <m:r>
              <m:rPr/>
              <m:t>n</m:t>
            </m:r>
          </m:e>
          <m:sub>
            <m:r>
              <m:rPr/>
              <m:t>e</m:t>
            </m:r>
          </m:sub>
        </m:sSub>
        <m:r>
          <m:rPr>
            <m:sty m:val="p"/>
          </m:rPr>
          <m:t>=</m:t>
        </m:r>
        <m:sSup>
          <m:sSupPr/>
          <m:e>
            <m:r>
              <m:rPr/>
              <m:t>10</m:t>
            </m:r>
          </m:e>
          <m:sup>
            <m:r>
              <m:rPr/>
              <m:t>19</m:t>
            </m:r>
          </m:sup>
        </m:sSup>
      </m:oMath>
      <w:r>
        <w:t xml:space="preserve"> m</w:t>
      </w:r>
      <m:oMath>
        <m:sSup>
          <m:sSupPr/>
          <m:e>
            <m:r>
              <m:rPr/>
              <m:t>​</m:t>
            </m:r>
          </m:e>
          <m:sup>
            <m:r>
              <m:rPr>
                <m:sty m:val="p"/>
              </m:rPr>
              <m:t>−</m:t>
            </m:r>
            <m:r>
              <m:rPr/>
              <m:t>3</m:t>
            </m:r>
          </m:sup>
        </m:sSup>
      </m:oMath>
      <w:r>
        <w:rPr>
          <w:rFonts w:hint="eastAsia"/>
        </w:rPr>
        <w:t>为例，由式(2-2)计算可得对应的截止频率</w:t>
      </w:r>
      <m:oMath>
        <m:sSub>
          <m:sSubPr/>
          <m:e>
            <m:r>
              <m:rPr/>
              <m:t>f</m:t>
            </m:r>
          </m:e>
          <m:sub>
            <m:r>
              <m:rPr/>
              <m:t>p</m:t>
            </m:r>
          </m:sub>
        </m:sSub>
        <m:r>
          <m:rPr>
            <m:sty m:val="p"/>
          </m:rPr>
          <m:t>≈</m:t>
        </m:r>
        <m:r>
          <m:rPr/>
          <m:t>28.4</m:t>
        </m:r>
      </m:oMath>
      <w:r>
        <w:t xml:space="preserve"> </w:t>
      </w:r>
      <w:r>
        <w:rPr>
          <w:rFonts w:hint="eastAsia"/>
        </w:rPr>
        <w:t>GHz，因此诊断系统的工作频段须选择在30</w:t>
      </w:r>
      <w:r>
        <w:t xml:space="preserve"> </w:t>
      </w:r>
      <w:r>
        <w:rPr>
          <w:rFonts w:hint="eastAsia"/>
        </w:rPr>
        <w:t>GHz以上的Ka波段，方能确保电磁波在全电子密度诊断范围内均可有效穿透等离子体。</w:t>
      </w:r>
    </w:p>
    <w:bookmarkEnd w:id="31"/>
    <w:p w14:paraId="670ABF07">
      <w:pPr>
        <w:pStyle w:val="4"/>
      </w:pPr>
      <w:bookmarkStart w:id="32" w:name="电磁波在非磁化等离子体中的传播常数"/>
      <w:r>
        <w:rPr>
          <w:rFonts w:hint="eastAsia"/>
        </w:rPr>
        <w:t>电磁波在非磁化等离子体中的传播常数</w:t>
      </w:r>
    </w:p>
    <w:p w14:paraId="4E3A1651">
      <w:r>
        <w:rPr>
          <w:rFonts w:hint="eastAsia"/>
        </w:rPr>
        <w:t>上一节建立了等离子体的Drude复介电常数模型。为了定量描述电磁波穿过等离子体时经历的相位变化与幅度衰减，本节将从麦克斯韦方程组出发，推导电磁波在非磁化均匀等离子体中的传播常数。</w:t>
      </w:r>
    </w:p>
    <w:p w14:paraId="4E16569D">
      <w:r>
        <w:rPr>
          <w:rFonts w:hint="eastAsia"/>
        </w:rPr>
        <w:t>考虑沿</w:t>
      </w:r>
      <m:oMath>
        <m:r>
          <m:rPr/>
          <m:t>z</m:t>
        </m:r>
      </m:oMath>
      <w:r>
        <w:rPr>
          <w:rFonts w:hint="eastAsia"/>
        </w:rPr>
        <w:t>轴方向传播的时谐平面波</w:t>
      </w:r>
      <m:oMath>
        <m:acc>
          <m:accPr>
            <m:chr m:val="⃗"/>
          </m:accPr>
          <m:e>
            <m:r>
              <m:rPr/>
              <m:t>E</m:t>
            </m:r>
          </m:e>
        </m:acc>
        <m:r>
          <m:rPr>
            <m:sty m:val="p"/>
          </m:rPr>
          <m:t>=</m:t>
        </m:r>
        <m:sSub>
          <m:sSubPr/>
          <m:e>
            <m:r>
              <m:rPr/>
              <m:t>E</m:t>
            </m:r>
          </m:e>
          <m:sub>
            <m:r>
              <m:rPr/>
              <m:t>0</m:t>
            </m:r>
          </m:sub>
        </m:sSub>
        <m:sSup>
          <m:sSupPr/>
          <m:e>
            <m:r>
              <m:rPr/>
              <m:t>e</m:t>
            </m:r>
          </m:e>
          <m:sup>
            <m:r>
              <m:rPr/>
              <m:t>j</m:t>
            </m:r>
            <m:r>
              <m:rPr>
                <m:sty m:val="p"/>
              </m:rPr>
              <m:t>(</m:t>
            </m:r>
            <m:r>
              <m:rPr/>
              <m:t>ωt</m:t>
            </m:r>
            <m:r>
              <m:rPr>
                <m:sty m:val="p"/>
              </m:rPr>
              <m:t>−</m:t>
            </m:r>
            <m:r>
              <m:rPr/>
              <m:t>kz</m:t>
            </m:r>
            <m:r>
              <m:rPr>
                <m:sty m:val="p"/>
              </m:rPr>
              <m:t>)</m:t>
            </m:r>
          </m:sup>
        </m:sSup>
      </m:oMath>
      <w:r>
        <w:rPr>
          <w:rFonts w:hint="eastAsia"/>
        </w:rPr>
        <w:t>，在等离子体的本构关系</w:t>
      </w:r>
      <m:oMath>
        <m:acc>
          <m:accPr>
            <m:chr m:val="⃗"/>
          </m:accPr>
          <m:e>
            <m:r>
              <m:rPr/>
              <m:t>D</m:t>
            </m:r>
          </m:e>
        </m:acc>
        <m:r>
          <m:rPr>
            <m:sty m:val="p"/>
          </m:rPr>
          <m:t>=</m:t>
        </m:r>
        <m:r>
          <m:rPr/>
          <m:t>ε</m:t>
        </m:r>
        <m:acc>
          <m:accPr>
            <m:chr m:val="⃗"/>
          </m:accPr>
          <m:e>
            <m:r>
              <m:rPr/>
              <m:t>E</m:t>
            </m:r>
          </m:e>
        </m:acc>
      </m:oMath>
      <w:r>
        <w:rPr>
          <w:rFonts w:hint="eastAsia"/>
        </w:rPr>
        <w:t>与</w:t>
      </w:r>
      <m:oMath>
        <m:acc>
          <m:accPr>
            <m:chr m:val="⃗"/>
          </m:accPr>
          <m:e>
            <m:r>
              <m:rPr/>
              <m:t>B</m:t>
            </m:r>
          </m:e>
        </m:acc>
        <m:r>
          <m:rPr>
            <m:sty m:val="p"/>
          </m:rPr>
          <m:t>=</m:t>
        </m:r>
        <m:sSub>
          <m:sSubPr/>
          <m:e>
            <m:r>
              <m:rPr/>
              <m:t>μ</m:t>
            </m:r>
          </m:e>
          <m:sub>
            <m:r>
              <m:rPr/>
              <m:t>0</m:t>
            </m:r>
          </m:sub>
        </m:sSub>
        <m:acc>
          <m:accPr>
            <m:chr m:val="⃗"/>
          </m:accPr>
          <m:e>
            <m:r>
              <m:rPr/>
              <m:t>H</m:t>
            </m:r>
          </m:e>
        </m:acc>
      </m:oMath>
      <w:r>
        <w:rPr>
          <w:rFonts w:hint="eastAsia"/>
        </w:rPr>
        <w:t>（非磁化条件下磁导率取真空值</w:t>
      </w:r>
      <m:oMath>
        <m:sSub>
          <m:sSubPr/>
          <m:e>
            <m:r>
              <m:rPr/>
              <m:t>μ</m:t>
            </m:r>
          </m:e>
          <m:sub>
            <m:r>
              <m:rPr/>
              <m:t>0</m:t>
            </m:r>
          </m:sub>
        </m:sSub>
      </m:oMath>
      <w:r>
        <w:rPr>
          <w:rFonts w:hint="eastAsia"/>
        </w:rPr>
        <w:t>）下，由麦克斯韦旋度方程消去磁场分量，可导出关于电场的齐次亥姆霍兹方程：</w:t>
      </w:r>
    </w:p>
    <w:p w14:paraId="0A1591D2">
      <w:r>
        <w:t xml:space="preserve"> </w:t>
      </w:r>
    </w:p>
    <w:p w14:paraId="08EA0E84">
      <w:pPr>
        <w:pStyle w:val="44"/>
        <w:spacing w:before="0" w:after="0" w:line="400" w:lineRule="atLeast"/>
      </w:pPr>
      <w:r>
        <w:tab/>
      </w:r>
      <m:oMath>
        <m:sSup>
          <m:sSupPr/>
          <m:e>
            <m:r>
              <m:rPr>
                <m:sty m:val="p"/>
              </m:rPr>
              <m:t>∇</m:t>
            </m:r>
          </m:e>
          <m:sup>
            <m:r>
              <m:rPr/>
              <m:t>2</m:t>
            </m:r>
          </m:sup>
        </m:sSup>
        <m:acc>
          <m:accPr>
            <m:chr m:val="⃗"/>
          </m:accPr>
          <m:e>
            <m:r>
              <m:rPr/>
              <m:t>E</m:t>
            </m:r>
          </m:e>
        </m:acc>
        <m:r>
          <m:rPr>
            <m:sty m:val="p"/>
          </m:rPr>
          <m:t>+</m:t>
        </m:r>
        <m:sSup>
          <m:sSupPr/>
          <m:e>
            <m:r>
              <m:rPr/>
              <m:t>ω</m:t>
            </m:r>
          </m:e>
          <m:sup>
            <m:r>
              <m:rPr/>
              <m:t>2</m:t>
            </m:r>
          </m:sup>
        </m:sSup>
        <m:sSub>
          <m:sSubPr/>
          <m:e>
            <m:r>
              <m:rPr/>
              <m:t>μ</m:t>
            </m:r>
          </m:e>
          <m:sub>
            <m:r>
              <m:rPr/>
              <m:t>0</m:t>
            </m:r>
          </m:sub>
        </m:sSub>
        <m:r>
          <m:rPr/>
          <m:t>ε</m:t>
        </m:r>
        <m:acc>
          <m:accPr>
            <m:chr m:val="⃗"/>
          </m:accPr>
          <m:e>
            <m:r>
              <m:rPr/>
              <m:t>E</m:t>
            </m:r>
          </m:e>
        </m:acc>
        <m:r>
          <m:rPr>
            <m:sty m:val="p"/>
          </m:rPr>
          <m:t>=</m:t>
        </m:r>
        <m:r>
          <m:rPr/>
          <m:t>0</m:t>
        </m:r>
      </m:oMath>
      <w:r>
        <w:tab/>
      </w:r>
      <w:r>
        <w:t>(2</w:t>
      </w:r>
      <w:r>
        <w:noBreakHyphen/>
      </w:r>
      <w:r>
        <w:t>6)</w:t>
      </w:r>
    </w:p>
    <w:p w14:paraId="153E620D">
      <w:r>
        <w:t xml:space="preserve"> </w:t>
      </w:r>
    </w:p>
    <w:p w14:paraId="7857E15D">
      <w:r>
        <w:rPr>
          <w:rFonts w:hint="eastAsia"/>
        </w:rPr>
        <w:t>将上述平面波试探解回代式(2-6)，即可获得波矢</w:t>
      </w:r>
      <m:oMath>
        <m:r>
          <m:rPr/>
          <m:t>k</m:t>
        </m:r>
      </m:oMath>
      <w:r>
        <w:rPr>
          <w:rFonts w:hint="eastAsia"/>
        </w:rPr>
        <w:t>所满足的色散关系：</w:t>
      </w:r>
    </w:p>
    <w:p w14:paraId="26F3A47A">
      <w:r>
        <w:t xml:space="preserve"> </w:t>
      </w:r>
    </w:p>
    <w:p w14:paraId="6FDC6C47">
      <w:pPr>
        <w:pStyle w:val="44"/>
        <w:spacing w:before="0" w:after="0" w:line="400" w:lineRule="atLeast"/>
      </w:pPr>
      <w:r>
        <w:tab/>
      </w:r>
      <m:oMath>
        <m:r>
          <m:rPr/>
          <m:t>k</m:t>
        </m:r>
        <m:r>
          <m:rPr>
            <m:sty m:val="p"/>
          </m:rPr>
          <m:t>=</m:t>
        </m:r>
        <m:r>
          <m:rPr/>
          <m:t>ω</m:t>
        </m:r>
        <m:rad>
          <m:radPr>
            <m:degHide m:val="1"/>
          </m:radPr>
          <m:deg/>
          <m:e>
            <m:sSub>
              <m:sSubPr/>
              <m:e>
                <m:r>
                  <m:rPr/>
                  <m:t>μ</m:t>
                </m:r>
              </m:e>
              <m:sub>
                <m:r>
                  <m:rPr/>
                  <m:t>0</m:t>
                </m:r>
              </m:sub>
            </m:sSub>
            <m:r>
              <m:rPr/>
              <m:t>ε</m:t>
            </m:r>
          </m:e>
        </m:rad>
        <m:r>
          <m:rPr>
            <m:sty m:val="p"/>
          </m:rPr>
          <m:t>=</m:t>
        </m:r>
        <m:f>
          <m:fPr/>
          <m:num>
            <m:r>
              <m:rPr/>
              <m:t>ω</m:t>
            </m:r>
          </m:num>
          <m:den>
            <m:r>
              <m:rPr/>
              <m:t>c</m:t>
            </m:r>
          </m:den>
        </m:f>
        <m:rad>
          <m:radPr>
            <m:degHide m:val="1"/>
          </m:radPr>
          <m:deg/>
          <m:e>
            <m:sSub>
              <m:sSubPr/>
              <m:e>
                <m:acc>
                  <m:accPr>
                    <m:chr m:val="̃"/>
                  </m:accPr>
                  <m:e>
                    <m:r>
                      <m:rPr/>
                      <m:t>ε</m:t>
                    </m:r>
                  </m:e>
                </m:acc>
              </m:e>
              <m:sub>
                <m:r>
                  <m:rPr/>
                  <m:t>r</m:t>
                </m:r>
              </m:sub>
            </m:sSub>
            <m:r>
              <m:rPr>
                <m:sty m:val="p"/>
              </m:rPr>
              <m:t>(</m:t>
            </m:r>
            <m:r>
              <m:rPr/>
              <m:t>ω</m:t>
            </m:r>
            <m:r>
              <m:rPr>
                <m:sty m:val="p"/>
              </m:rPr>
              <m:t>)</m:t>
            </m:r>
          </m:e>
        </m:rad>
      </m:oMath>
      <w:r>
        <w:tab/>
      </w:r>
      <w:r>
        <w:t>(2</w:t>
      </w:r>
      <w:r>
        <w:noBreakHyphen/>
      </w:r>
      <w:r>
        <w:t>7)</w:t>
      </w:r>
    </w:p>
    <w:p w14:paraId="32E10C39">
      <w:r>
        <w:t xml:space="preserve"> </w:t>
      </w:r>
    </w:p>
    <w:p w14:paraId="70A9D380">
      <w:r>
        <w:rPr>
          <w:rFonts w:hint="eastAsia"/>
        </w:rPr>
        <w:t>鉴于Drude介电常数本身为复值量，波矢</w:t>
      </w:r>
      <m:oMath>
        <m:r>
          <m:rPr/>
          <m:t>k</m:t>
        </m:r>
      </m:oMath>
      <w:r>
        <w:rPr>
          <w:rFonts w:hint="eastAsia"/>
        </w:rPr>
        <w:t>亦呈复数形式，习惯上将其分解为</w:t>
      </w:r>
      <m:oMath>
        <m:r>
          <m:rPr/>
          <m:t>k</m:t>
        </m:r>
        <m:r>
          <m:rPr>
            <m:sty m:val="p"/>
          </m:rPr>
          <m:t>=</m:t>
        </m:r>
        <m:r>
          <m:rPr/>
          <m:t>β</m:t>
        </m:r>
        <m:r>
          <m:rPr>
            <m:sty m:val="p"/>
          </m:rPr>
          <m:t>−</m:t>
        </m:r>
        <m:r>
          <m:rPr/>
          <m:t>jα</m:t>
        </m:r>
      </m:oMath>
      <w:r>
        <w:rPr>
          <w:rFonts w:hint="eastAsia"/>
        </w:rPr>
        <w:t>。其中实部</w:t>
      </w:r>
      <m:oMath>
        <m:r>
          <m:rPr/>
          <m:t>β</m:t>
        </m:r>
      </m:oMath>
      <w:r>
        <w:rPr>
          <w:rFonts w:hint="eastAsia"/>
        </w:rPr>
        <w:t>为相位常数，控制波前的空间周期性；虚部</w:t>
      </w:r>
      <m:oMath>
        <m:r>
          <m:rPr/>
          <m:t>α</m:t>
        </m:r>
      </m:oMath>
      <w:r>
        <w:rPr>
          <w:rFonts w:hint="eastAsia"/>
        </w:rPr>
        <w:t>为衰减常数，表征信号振幅沿传播方向的指数递减速率。将式(2-5)的复介电常数显式展开并完成复数开方运算，可分别得到</w:t>
      </w:r>
      <m:oMath>
        <m:r>
          <m:rPr/>
          <m:t>α</m:t>
        </m:r>
      </m:oMath>
      <w:r>
        <w:rPr>
          <w:rFonts w:hint="eastAsia"/>
        </w:rPr>
        <w:t>和</w:t>
      </w:r>
      <m:oMath>
        <m:r>
          <m:rPr/>
          <m:t>β</m:t>
        </m:r>
      </m:oMath>
      <w:r>
        <w:rPr>
          <w:rFonts w:hint="eastAsia"/>
        </w:rPr>
        <w:t>的解析形式：</w:t>
      </w:r>
    </w:p>
    <w:p w14:paraId="75766633">
      <w:r>
        <w:t xml:space="preserve"> </w:t>
      </w:r>
    </w:p>
    <w:p w14:paraId="27D67206">
      <w:pPr>
        <w:pStyle w:val="44"/>
        <w:spacing w:before="0" w:after="0" w:line="400" w:lineRule="atLeast"/>
      </w:pPr>
      <w:r>
        <w:tab/>
      </w:r>
      <m:oMath>
        <m:r>
          <m:rPr/>
          <m:t>α</m:t>
        </m:r>
        <m:r>
          <m:rPr>
            <m:sty m:val="p"/>
          </m:rPr>
          <m:t>=</m:t>
        </m:r>
        <m:f>
          <m:fPr/>
          <m:num>
            <m:r>
              <m:rPr/>
              <m:t>ω</m:t>
            </m:r>
          </m:num>
          <m:den>
            <m:rad>
              <m:radPr>
                <m:degHide m:val="1"/>
              </m:radPr>
              <m:deg/>
              <m:e>
                <m:r>
                  <m:rPr/>
                  <m:t>2</m:t>
                </m:r>
              </m:e>
            </m:rad>
            <m:r>
              <m:rPr/>
              <m:t>c</m:t>
            </m:r>
          </m:den>
        </m:f>
        <m:rad>
          <m:radPr>
            <m:degHide m:val="1"/>
          </m:radPr>
          <m:deg/>
          <m:e>
            <m:f>
              <m:fPr/>
              <m:num>
                <m:sSubSup>
                  <m:sSubSupPr/>
                  <m:e>
                    <m:r>
                      <m:rPr/>
                      <m:t>ω</m:t>
                    </m:r>
                  </m:e>
                  <m:sub>
                    <m:r>
                      <m:rPr/>
                      <m:t>p</m:t>
                    </m:r>
                  </m:sub>
                  <m:sup>
                    <m:r>
                      <m:rPr/>
                      <m:t>2</m:t>
                    </m:r>
                  </m:sup>
                </m:sSubSup>
              </m:num>
              <m:den>
                <m:sSup>
                  <m:sSupPr/>
                  <m:e>
                    <m:r>
                      <m:rPr/>
                      <m:t>ω</m:t>
                    </m:r>
                  </m:e>
                  <m:sup>
                    <m:r>
                      <m:rPr/>
                      <m:t>2</m:t>
                    </m:r>
                  </m:sup>
                </m:sSup>
                <m:r>
                  <m:rPr>
                    <m:sty m:val="p"/>
                  </m:rPr>
                  <m:t>+</m:t>
                </m:r>
                <m:sSubSup>
                  <m:sSubSupPr/>
                  <m:e>
                    <m:r>
                      <m:rPr/>
                      <m:t>ν</m:t>
                    </m:r>
                  </m:e>
                  <m:sub>
                    <m:r>
                      <m:rPr/>
                      <m:t>e</m:t>
                    </m:r>
                  </m:sub>
                  <m:sup>
                    <m:r>
                      <m:rPr/>
                      <m:t>2</m:t>
                    </m:r>
                  </m:sup>
                </m:sSubSup>
              </m:den>
            </m:f>
            <m:r>
              <m:rPr>
                <m:sty m:val="p"/>
              </m:rPr>
              <m:t>−</m:t>
            </m:r>
            <m:r>
              <m:rPr/>
              <m:t>1</m:t>
            </m:r>
            <m:r>
              <m:rPr>
                <m:sty m:val="p"/>
              </m:rPr>
              <m:t>+</m:t>
            </m:r>
            <m:rad>
              <m:radPr>
                <m:degHide m:val="1"/>
              </m:radPr>
              <m:deg/>
              <m:e>
                <m:sSup>
                  <m:sSupPr/>
                  <m:e>
                    <m:d>
                      <m:dPr>
                        <m:sepChr m:val=""/>
                      </m:dPr>
                      <m:e>
                        <m:r>
                          <m:rPr/>
                          <m:t>1</m:t>
                        </m:r>
                        <m:r>
                          <m:rPr>
                            <m:sty m:val="p"/>
                          </m:rPr>
                          <m:t>−</m:t>
                        </m:r>
                        <m:f>
                          <m:fPr/>
                          <m:num>
                            <m:sSubSup>
                              <m:sSubSupPr/>
                              <m:e>
                                <m:r>
                                  <m:rPr/>
                                  <m:t>ω</m:t>
                                </m:r>
                              </m:e>
                              <m:sub>
                                <m:r>
                                  <m:rPr/>
                                  <m:t>p</m:t>
                                </m:r>
                              </m:sub>
                              <m:sup>
                                <m:r>
                                  <m:rPr/>
                                  <m:t>2</m:t>
                                </m:r>
                              </m:sup>
                            </m:sSubSup>
                          </m:num>
                          <m:den>
                            <m:sSup>
                              <m:sSupPr/>
                              <m:e>
                                <m:r>
                                  <m:rPr/>
                                  <m:t>ω</m:t>
                                </m:r>
                              </m:e>
                              <m:sup>
                                <m:r>
                                  <m:rPr/>
                                  <m:t>2</m:t>
                                </m:r>
                              </m:sup>
                            </m:sSup>
                            <m:r>
                              <m:rPr>
                                <m:sty m:val="p"/>
                              </m:rPr>
                              <m:t>+</m:t>
                            </m:r>
                            <m:sSubSup>
                              <m:sSubSupPr/>
                              <m:e>
                                <m:r>
                                  <m:rPr/>
                                  <m:t>ν</m:t>
                                </m:r>
                              </m:e>
                              <m:sub>
                                <m:r>
                                  <m:rPr/>
                                  <m:t>e</m:t>
                                </m:r>
                              </m:sub>
                              <m:sup>
                                <m:r>
                                  <m:rPr/>
                                  <m:t>2</m:t>
                                </m:r>
                              </m:sup>
                            </m:sSubSup>
                          </m:den>
                        </m:f>
                      </m:e>
                    </m:d>
                  </m:e>
                  <m:sup>
                    <m:r>
                      <m:rPr/>
                      <m:t>2</m:t>
                    </m:r>
                  </m:sup>
                </m:sSup>
                <m:r>
                  <m:rPr>
                    <m:sty m:val="p"/>
                  </m:rPr>
                  <m:t>+</m:t>
                </m:r>
                <m:sSup>
                  <m:sSupPr/>
                  <m:e>
                    <m:d>
                      <m:dPr>
                        <m:sepChr m:val=""/>
                      </m:dPr>
                      <m:e>
                        <m:f>
                          <m:fPr/>
                          <m:num>
                            <m:sSub>
                              <m:sSubPr/>
                              <m:e>
                                <m:r>
                                  <m:rPr/>
                                  <m:t>ν</m:t>
                                </m:r>
                              </m:e>
                              <m:sub>
                                <m:r>
                                  <m:rPr/>
                                  <m:t>e</m:t>
                                </m:r>
                              </m:sub>
                            </m:sSub>
                          </m:num>
                          <m:den>
                            <m:r>
                              <m:rPr/>
                              <m:t>ω</m:t>
                            </m:r>
                          </m:den>
                        </m:f>
                        <m:f>
                          <m:fPr/>
                          <m:num>
                            <m:sSubSup>
                              <m:sSubSupPr/>
                              <m:e>
                                <m:r>
                                  <m:rPr/>
                                  <m:t>ω</m:t>
                                </m:r>
                              </m:e>
                              <m:sub>
                                <m:r>
                                  <m:rPr/>
                                  <m:t>p</m:t>
                                </m:r>
                              </m:sub>
                              <m:sup>
                                <m:r>
                                  <m:rPr/>
                                  <m:t>2</m:t>
                                </m:r>
                              </m:sup>
                            </m:sSubSup>
                          </m:num>
                          <m:den>
                            <m:sSup>
                              <m:sSupPr/>
                              <m:e>
                                <m:r>
                                  <m:rPr/>
                                  <m:t>ω</m:t>
                                </m:r>
                              </m:e>
                              <m:sup>
                                <m:r>
                                  <m:rPr/>
                                  <m:t>2</m:t>
                                </m:r>
                              </m:sup>
                            </m:sSup>
                            <m:r>
                              <m:rPr>
                                <m:sty m:val="p"/>
                              </m:rPr>
                              <m:t>+</m:t>
                            </m:r>
                            <m:sSubSup>
                              <m:sSubSupPr/>
                              <m:e>
                                <m:r>
                                  <m:rPr/>
                                  <m:t>ν</m:t>
                                </m:r>
                              </m:e>
                              <m:sub>
                                <m:r>
                                  <m:rPr/>
                                  <m:t>e</m:t>
                                </m:r>
                              </m:sub>
                              <m:sup>
                                <m:r>
                                  <m:rPr/>
                                  <m:t>2</m:t>
                                </m:r>
                              </m:sup>
                            </m:sSubSup>
                          </m:den>
                        </m:f>
                      </m:e>
                    </m:d>
                  </m:e>
                  <m:sup>
                    <m:r>
                      <m:rPr/>
                      <m:t>2</m:t>
                    </m:r>
                  </m:sup>
                </m:sSup>
              </m:e>
            </m:rad>
          </m:e>
        </m:rad>
      </m:oMath>
      <w:r>
        <w:tab/>
      </w:r>
      <w:r>
        <w:t>(2</w:t>
      </w:r>
      <w:r>
        <w:noBreakHyphen/>
      </w:r>
      <w:r>
        <w:t>8)</w:t>
      </w:r>
    </w:p>
    <w:p w14:paraId="7B7C572E">
      <w:r>
        <w:t xml:space="preserve"> </w:t>
      </w:r>
    </w:p>
    <w:p w14:paraId="042FB7F1">
      <w:r>
        <w:t xml:space="preserve"> </w:t>
      </w:r>
    </w:p>
    <w:p w14:paraId="2D6DE097">
      <w:pPr>
        <w:pStyle w:val="44"/>
        <w:spacing w:before="0" w:after="0" w:line="400" w:lineRule="atLeast"/>
      </w:pPr>
      <w:r>
        <w:tab/>
      </w:r>
      <m:oMath>
        <m:r>
          <m:rPr/>
          <m:t>β</m:t>
        </m:r>
        <m:r>
          <m:rPr>
            <m:sty m:val="p"/>
          </m:rPr>
          <m:t>=</m:t>
        </m:r>
        <m:f>
          <m:fPr/>
          <m:num>
            <m:r>
              <m:rPr/>
              <m:t>ω</m:t>
            </m:r>
          </m:num>
          <m:den>
            <m:rad>
              <m:radPr>
                <m:degHide m:val="1"/>
              </m:radPr>
              <m:deg/>
              <m:e>
                <m:r>
                  <m:rPr/>
                  <m:t>2</m:t>
                </m:r>
              </m:e>
            </m:rad>
            <m:r>
              <m:rPr/>
              <m:t>c</m:t>
            </m:r>
          </m:den>
        </m:f>
        <m:rad>
          <m:radPr>
            <m:degHide m:val="1"/>
          </m:radPr>
          <m:deg/>
          <m:e>
            <m:r>
              <m:rPr/>
              <m:t>1</m:t>
            </m:r>
            <m:r>
              <m:rPr>
                <m:sty m:val="p"/>
              </m:rPr>
              <m:t>−</m:t>
            </m:r>
            <m:f>
              <m:fPr/>
              <m:num>
                <m:sSubSup>
                  <m:sSubSupPr/>
                  <m:e>
                    <m:r>
                      <m:rPr/>
                      <m:t>ω</m:t>
                    </m:r>
                  </m:e>
                  <m:sub>
                    <m:r>
                      <m:rPr/>
                      <m:t>p</m:t>
                    </m:r>
                  </m:sub>
                  <m:sup>
                    <m:r>
                      <m:rPr/>
                      <m:t>2</m:t>
                    </m:r>
                  </m:sup>
                </m:sSubSup>
              </m:num>
              <m:den>
                <m:sSup>
                  <m:sSupPr/>
                  <m:e>
                    <m:r>
                      <m:rPr/>
                      <m:t>ω</m:t>
                    </m:r>
                  </m:e>
                  <m:sup>
                    <m:r>
                      <m:rPr/>
                      <m:t>2</m:t>
                    </m:r>
                  </m:sup>
                </m:sSup>
                <m:r>
                  <m:rPr>
                    <m:sty m:val="p"/>
                  </m:rPr>
                  <m:t>+</m:t>
                </m:r>
                <m:sSubSup>
                  <m:sSubSupPr/>
                  <m:e>
                    <m:r>
                      <m:rPr/>
                      <m:t>ν</m:t>
                    </m:r>
                  </m:e>
                  <m:sub>
                    <m:r>
                      <m:rPr/>
                      <m:t>e</m:t>
                    </m:r>
                  </m:sub>
                  <m:sup>
                    <m:r>
                      <m:rPr/>
                      <m:t>2</m:t>
                    </m:r>
                  </m:sup>
                </m:sSubSup>
              </m:den>
            </m:f>
            <m:r>
              <m:rPr>
                <m:sty m:val="p"/>
              </m:rPr>
              <m:t>+</m:t>
            </m:r>
            <m:rad>
              <m:radPr>
                <m:degHide m:val="1"/>
              </m:radPr>
              <m:deg/>
              <m:e>
                <m:sSup>
                  <m:sSupPr/>
                  <m:e>
                    <m:d>
                      <m:dPr>
                        <m:sepChr m:val=""/>
                      </m:dPr>
                      <m:e>
                        <m:r>
                          <m:rPr/>
                          <m:t>1</m:t>
                        </m:r>
                        <m:r>
                          <m:rPr>
                            <m:sty m:val="p"/>
                          </m:rPr>
                          <m:t>−</m:t>
                        </m:r>
                        <m:f>
                          <m:fPr/>
                          <m:num>
                            <m:sSubSup>
                              <m:sSubSupPr/>
                              <m:e>
                                <m:r>
                                  <m:rPr/>
                                  <m:t>ω</m:t>
                                </m:r>
                              </m:e>
                              <m:sub>
                                <m:r>
                                  <m:rPr/>
                                  <m:t>p</m:t>
                                </m:r>
                              </m:sub>
                              <m:sup>
                                <m:r>
                                  <m:rPr/>
                                  <m:t>2</m:t>
                                </m:r>
                              </m:sup>
                            </m:sSubSup>
                          </m:num>
                          <m:den>
                            <m:sSup>
                              <m:sSupPr/>
                              <m:e>
                                <m:r>
                                  <m:rPr/>
                                  <m:t>ω</m:t>
                                </m:r>
                              </m:e>
                              <m:sup>
                                <m:r>
                                  <m:rPr/>
                                  <m:t>2</m:t>
                                </m:r>
                              </m:sup>
                            </m:sSup>
                            <m:r>
                              <m:rPr>
                                <m:sty m:val="p"/>
                              </m:rPr>
                              <m:t>+</m:t>
                            </m:r>
                            <m:sSubSup>
                              <m:sSubSupPr/>
                              <m:e>
                                <m:r>
                                  <m:rPr/>
                                  <m:t>ν</m:t>
                                </m:r>
                              </m:e>
                              <m:sub>
                                <m:r>
                                  <m:rPr/>
                                  <m:t>e</m:t>
                                </m:r>
                              </m:sub>
                              <m:sup>
                                <m:r>
                                  <m:rPr/>
                                  <m:t>2</m:t>
                                </m:r>
                              </m:sup>
                            </m:sSubSup>
                          </m:den>
                        </m:f>
                      </m:e>
                    </m:d>
                  </m:e>
                  <m:sup>
                    <m:r>
                      <m:rPr/>
                      <m:t>2</m:t>
                    </m:r>
                  </m:sup>
                </m:sSup>
                <m:r>
                  <m:rPr>
                    <m:sty m:val="p"/>
                  </m:rPr>
                  <m:t>+</m:t>
                </m:r>
                <m:sSup>
                  <m:sSupPr/>
                  <m:e>
                    <m:d>
                      <m:dPr>
                        <m:sepChr m:val=""/>
                      </m:dPr>
                      <m:e>
                        <m:f>
                          <m:fPr/>
                          <m:num>
                            <m:sSub>
                              <m:sSubPr/>
                              <m:e>
                                <m:r>
                                  <m:rPr/>
                                  <m:t>ν</m:t>
                                </m:r>
                              </m:e>
                              <m:sub>
                                <m:r>
                                  <m:rPr/>
                                  <m:t>e</m:t>
                                </m:r>
                              </m:sub>
                            </m:sSub>
                          </m:num>
                          <m:den>
                            <m:r>
                              <m:rPr/>
                              <m:t>ω</m:t>
                            </m:r>
                          </m:den>
                        </m:f>
                        <m:f>
                          <m:fPr/>
                          <m:num>
                            <m:sSubSup>
                              <m:sSubSupPr/>
                              <m:e>
                                <m:r>
                                  <m:rPr/>
                                  <m:t>ω</m:t>
                                </m:r>
                              </m:e>
                              <m:sub>
                                <m:r>
                                  <m:rPr/>
                                  <m:t>p</m:t>
                                </m:r>
                              </m:sub>
                              <m:sup>
                                <m:r>
                                  <m:rPr/>
                                  <m:t>2</m:t>
                                </m:r>
                              </m:sup>
                            </m:sSubSup>
                          </m:num>
                          <m:den>
                            <m:sSup>
                              <m:sSupPr/>
                              <m:e>
                                <m:r>
                                  <m:rPr/>
                                  <m:t>ω</m:t>
                                </m:r>
                              </m:e>
                              <m:sup>
                                <m:r>
                                  <m:rPr/>
                                  <m:t>2</m:t>
                                </m:r>
                              </m:sup>
                            </m:sSup>
                            <m:r>
                              <m:rPr>
                                <m:sty m:val="p"/>
                              </m:rPr>
                              <m:t>+</m:t>
                            </m:r>
                            <m:sSubSup>
                              <m:sSubSupPr/>
                              <m:e>
                                <m:r>
                                  <m:rPr/>
                                  <m:t>ν</m:t>
                                </m:r>
                              </m:e>
                              <m:sub>
                                <m:r>
                                  <m:rPr/>
                                  <m:t>e</m:t>
                                </m:r>
                              </m:sub>
                              <m:sup>
                                <m:r>
                                  <m:rPr/>
                                  <m:t>2</m:t>
                                </m:r>
                              </m:sup>
                            </m:sSubSup>
                          </m:den>
                        </m:f>
                      </m:e>
                    </m:d>
                  </m:e>
                  <m:sup>
                    <m:r>
                      <m:rPr/>
                      <m:t>2</m:t>
                    </m:r>
                  </m:sup>
                </m:sSup>
              </m:e>
            </m:rad>
          </m:e>
        </m:rad>
      </m:oMath>
      <w:r>
        <w:tab/>
      </w:r>
      <w:r>
        <w:t>(2</w:t>
      </w:r>
      <w:r>
        <w:noBreakHyphen/>
      </w:r>
      <w:r>
        <w:t>9)</w:t>
      </w:r>
    </w:p>
    <w:p w14:paraId="46D69D41">
      <w:r>
        <w:t xml:space="preserve"> </w:t>
      </w:r>
    </w:p>
    <w:p w14:paraId="13E8F590">
      <w:r>
        <w:rPr>
          <w:rFonts w:hint="eastAsia"/>
        </w:rPr>
        <w:t>式(2-8)与式(2-9)构成了描述电磁波在非磁化等离子体中传播的完整解析框架。在物理效应层面，</w:t>
      </w:r>
      <m:oMath>
        <m:r>
          <m:rPr/>
          <m:t>α</m:t>
        </m:r>
      </m:oMath>
      <w:r>
        <w:rPr>
          <w:rFonts w:hint="eastAsia"/>
        </w:rPr>
        <w:t>控制着信号场幅度按</w:t>
      </w:r>
      <m:oMath>
        <m:r>
          <m:rPr>
            <m:sty m:val="p"/>
          </m:rPr>
          <m:t>exp(−</m:t>
        </m:r>
        <m:r>
          <m:rPr/>
          <m:t>αd</m:t>
        </m:r>
        <m:r>
          <m:rPr>
            <m:sty m:val="p"/>
          </m:rPr>
          <m:t>)</m:t>
        </m:r>
      </m:oMath>
      <w:r>
        <w:rPr>
          <w:rFonts w:hint="eastAsia"/>
        </w:rPr>
        <w:t>沿传播路径指数衰减；若以输出/输入功率比的分贝值表示，则穿过厚度</w:t>
      </w:r>
      <m:oMath>
        <m:r>
          <m:rPr/>
          <m:t>d</m:t>
        </m:r>
      </m:oMath>
      <w:r>
        <w:rPr>
          <w:rFonts w:hint="eastAsia"/>
        </w:rPr>
        <w:t>的等离子体层后有</w:t>
      </w:r>
      <m:oMath>
        <m:r>
          <m:rPr/>
          <m:t>10</m:t>
        </m:r>
        <m:sSub>
          <m:sSubPr/>
          <m:e>
            <m:r>
              <m:rPr>
                <m:sty m:val="p"/>
              </m:rPr>
              <m:t>log</m:t>
            </m:r>
          </m:e>
          <m:sub>
            <m:r>
              <m:rPr/>
              <m:t>10</m:t>
            </m:r>
          </m:sub>
        </m:sSub>
        <m:r>
          <m:rPr>
            <m:sty m:val="p"/>
          </m:rPr>
          <m:t>(</m:t>
        </m:r>
        <m:sSub>
          <m:sSubPr/>
          <m:e>
            <m:r>
              <m:rPr/>
              <m:t>P</m:t>
            </m:r>
          </m:e>
          <m:sub>
            <m:r>
              <m:rPr>
                <m:sty m:val="p"/>
              </m:rPr>
              <m:t>out</m:t>
            </m:r>
          </m:sub>
        </m:sSub>
        <m:r>
          <m:rPr>
            <m:sty m:val="p"/>
          </m:rPr>
          <m:t>/</m:t>
        </m:r>
        <m:sSub>
          <m:sSubPr/>
          <m:e>
            <m:r>
              <m:rPr/>
              <m:t>P</m:t>
            </m:r>
          </m:e>
          <m:sub>
            <m:r>
              <m:rPr>
                <m:sty m:val="p"/>
              </m:rPr>
              <m:t>in</m:t>
            </m:r>
          </m:sub>
        </m:sSub>
        <m:r>
          <m:rPr>
            <m:sty m:val="p"/>
          </m:rPr>
          <m:t>)≈−</m:t>
        </m:r>
        <m:r>
          <m:rPr/>
          <m:t>8.69αd</m:t>
        </m:r>
      </m:oMath>
      <w:r>
        <w:t>。</w:t>
      </w:r>
      <m:oMath>
        <m:r>
          <m:rPr/>
          <m:t>β</m:t>
        </m:r>
      </m:oMath>
      <w:r>
        <w:rPr>
          <w:rFonts w:hint="eastAsia"/>
        </w:rPr>
        <w:t>则决定介质内的相速度</w:t>
      </w:r>
      <m:oMath>
        <m:sSub>
          <m:sSubPr/>
          <m:e>
            <m:r>
              <m:rPr/>
              <m:t>v</m:t>
            </m:r>
          </m:e>
          <m:sub>
            <m:r>
              <m:rPr/>
              <m:t>p</m:t>
            </m:r>
          </m:sub>
        </m:sSub>
        <m:r>
          <m:rPr>
            <m:sty m:val="p"/>
          </m:rPr>
          <m:t>=</m:t>
        </m:r>
        <m:r>
          <m:rPr/>
          <m:t>ω</m:t>
        </m:r>
        <m:r>
          <m:rPr>
            <m:sty m:val="p"/>
          </m:rPr>
          <m:t>/</m:t>
        </m:r>
        <m:r>
          <m:rPr/>
          <m:t>β</m:t>
        </m:r>
      </m:oMath>
      <w:r>
        <w:rPr>
          <w:rFonts w:hint="eastAsia"/>
        </w:rPr>
        <w:t>和导波波长</w:t>
      </w:r>
      <m:oMath>
        <m:sSub>
          <m:sSubPr/>
          <m:e>
            <m:r>
              <m:rPr/>
              <m:t>λ</m:t>
            </m:r>
          </m:e>
          <m:sub>
            <m:r>
              <m:rPr/>
              <m:t>g</m:t>
            </m:r>
          </m:sub>
        </m:sSub>
        <m:r>
          <m:rPr>
            <m:sty m:val="p"/>
          </m:rPr>
          <m:t>=</m:t>
        </m:r>
        <m:r>
          <m:rPr/>
          <m:t>2π</m:t>
        </m:r>
        <m:r>
          <m:rPr>
            <m:sty m:val="p"/>
          </m:rPr>
          <m:t>/</m:t>
        </m:r>
        <m:r>
          <m:rPr/>
          <m:t>β</m:t>
        </m:r>
      </m:oMath>
      <w:r>
        <w:t>。</w:t>
      </w:r>
    </w:p>
    <w:p w14:paraId="6168016A">
      <w:r>
        <w:rPr>
          <w:rFonts w:hint="eastAsia"/>
        </w:rPr>
        <w:t>在本文所面向的Ka波段诊断应用中，探测电磁波的工作频率（</w:t>
      </w:r>
      <m:oMath>
        <m:r>
          <m:rPr/>
          <m:t>f</m:t>
        </m:r>
        <m:r>
          <m:rPr>
            <m:sty m:val="p"/>
          </m:rPr>
          <m:t>∼</m:t>
        </m:r>
        <m:r>
          <m:rPr/>
          <m:t>35</m:t>
        </m:r>
      </m:oMath>
      <w:r>
        <w:t xml:space="preserve"> </w:t>
      </w:r>
      <w:r>
        <w:rPr>
          <w:rFonts w:hint="eastAsia"/>
        </w:rPr>
        <w:t>GHz）数量级上远超等离子体碰撞频率（</w:t>
      </w:r>
      <m:oMath>
        <m:sSub>
          <m:sSubPr/>
          <m:e>
            <m:r>
              <m:rPr/>
              <m:t>ν</m:t>
            </m:r>
          </m:e>
          <m:sub>
            <m:r>
              <m:rPr/>
              <m:t>e</m:t>
            </m:r>
          </m:sub>
        </m:sSub>
      </m:oMath>
      <w:r>
        <w:rPr>
          <w:rFonts w:hint="eastAsia"/>
        </w:rPr>
        <w:t>典型值为1~10</w:t>
      </w:r>
      <w:r>
        <w:t xml:space="preserve"> </w:t>
      </w:r>
      <w:r>
        <w:rPr>
          <w:rFonts w:hint="eastAsia"/>
        </w:rPr>
        <w:t>GHz），即满足</w:t>
      </w:r>
      <m:oMath>
        <m:r>
          <m:rPr/>
          <m:t>ω</m:t>
        </m:r>
        <m:r>
          <m:rPr>
            <m:sty m:val="p"/>
          </m:rPr>
          <m:t>≫</m:t>
        </m:r>
        <m:sSub>
          <m:sSubPr/>
          <m:e>
            <m:r>
              <m:rPr/>
              <m:t>ν</m:t>
            </m:r>
          </m:e>
          <m:sub>
            <m:r>
              <m:rPr/>
              <m:t>e</m:t>
            </m:r>
          </m:sub>
        </m:sSub>
      </m:oMath>
      <w:r>
        <w:rPr>
          <w:rFonts w:hint="eastAsia"/>
        </w:rPr>
        <w:t>。据此可将式(2-9)内的碰撞关联项视为高阶小量予以略去，相位常数随之退化为仅含</w:t>
      </w:r>
      <m:oMath>
        <m:sSub>
          <m:sSubPr/>
          <m:e>
            <m:r>
              <m:rPr/>
              <m:t>ω</m:t>
            </m:r>
          </m:e>
          <m:sub>
            <m:r>
              <m:rPr/>
              <m:t>p</m:t>
            </m:r>
          </m:sub>
        </m:sSub>
      </m:oMath>
      <w:r>
        <w:rPr>
          <w:rFonts w:hint="eastAsia"/>
        </w:rPr>
        <w:t>和</w:t>
      </w:r>
      <m:oMath>
        <m:r>
          <m:rPr/>
          <m:t>ω</m:t>
        </m:r>
      </m:oMath>
      <w:r>
        <w:rPr>
          <w:rFonts w:hint="eastAsia"/>
        </w:rPr>
        <w:t>的简洁形式：</w:t>
      </w:r>
    </w:p>
    <w:p w14:paraId="3CBD94B8">
      <w:r>
        <w:t xml:space="preserve"> </w:t>
      </w:r>
    </w:p>
    <w:p w14:paraId="0608967D">
      <w:pPr>
        <w:pStyle w:val="44"/>
        <w:spacing w:before="0" w:after="0" w:line="400" w:lineRule="atLeast"/>
      </w:pPr>
      <w:r>
        <w:tab/>
      </w:r>
      <m:oMath>
        <m:r>
          <m:rPr/>
          <m:t>β</m:t>
        </m:r>
        <m:r>
          <m:rPr>
            <m:sty m:val="p"/>
          </m:rPr>
          <m:t>(</m:t>
        </m:r>
        <m:r>
          <m:rPr/>
          <m:t>ω</m:t>
        </m:r>
        <m:r>
          <m:rPr>
            <m:sty m:val="p"/>
          </m:rPr>
          <m:t>)≈</m:t>
        </m:r>
        <m:f>
          <m:fPr/>
          <m:num>
            <m:r>
              <m:rPr/>
              <m:t>ω</m:t>
            </m:r>
          </m:num>
          <m:den>
            <m:r>
              <m:rPr/>
              <m:t>c</m:t>
            </m:r>
          </m:den>
        </m:f>
        <m:rad>
          <m:radPr>
            <m:degHide m:val="1"/>
          </m:radPr>
          <m:deg/>
          <m:e>
            <m:r>
              <m:rPr/>
              <m:t>1</m:t>
            </m:r>
            <m:r>
              <m:rPr>
                <m:sty m:val="p"/>
              </m:rPr>
              <m:t>−</m:t>
            </m:r>
            <m:f>
              <m:fPr/>
              <m:num>
                <m:sSubSup>
                  <m:sSubSupPr/>
                  <m:e>
                    <m:r>
                      <m:rPr/>
                      <m:t>ω</m:t>
                    </m:r>
                  </m:e>
                  <m:sub>
                    <m:r>
                      <m:rPr/>
                      <m:t>p</m:t>
                    </m:r>
                  </m:sub>
                  <m:sup>
                    <m:r>
                      <m:rPr/>
                      <m:t>2</m:t>
                    </m:r>
                  </m:sup>
                </m:sSubSup>
              </m:num>
              <m:den>
                <m:sSup>
                  <m:sSupPr/>
                  <m:e>
                    <m:r>
                      <m:rPr/>
                      <m:t>ω</m:t>
                    </m:r>
                  </m:e>
                  <m:sup>
                    <m:r>
                      <m:rPr/>
                      <m:t>2</m:t>
                    </m:r>
                  </m:sup>
                </m:sSup>
              </m:den>
            </m:f>
          </m:e>
        </m:rad>
      </m:oMath>
      <w:r>
        <w:tab/>
      </w:r>
      <w:r>
        <w:t>(2</w:t>
      </w:r>
      <w:r>
        <w:noBreakHyphen/>
      </w:r>
      <w:r>
        <w:t>10)</w:t>
      </w:r>
    </w:p>
    <w:p w14:paraId="3286DB62">
      <w:r>
        <w:t xml:space="preserve"> </w:t>
      </w:r>
    </w:p>
    <w:p w14:paraId="25987C94">
      <w:r>
        <w:rPr>
          <w:rFonts w:hint="eastAsia"/>
        </w:rPr>
        <w:t>该近似形式具有清晰的物理图像：相位常数正比于</w:t>
      </w:r>
      <m:oMath>
        <m:rad>
          <m:radPr>
            <m:degHide m:val="1"/>
          </m:radPr>
          <m:deg/>
          <m:e>
            <m:r>
              <m:rPr/>
              <m:t>1</m:t>
            </m:r>
            <m:r>
              <m:rPr>
                <m:sty m:val="p"/>
              </m:rPr>
              <m:t>−(</m:t>
            </m:r>
            <m:sSub>
              <m:sSubPr/>
              <m:e>
                <m:r>
                  <m:rPr/>
                  <m:t>ω</m:t>
                </m:r>
              </m:e>
              <m:sub>
                <m:r>
                  <m:rPr/>
                  <m:t>p</m:t>
                </m:r>
              </m:sub>
            </m:sSub>
            <m:r>
              <m:rPr>
                <m:sty m:val="p"/>
              </m:rPr>
              <m:t>/</m:t>
            </m:r>
            <m:r>
              <m:rPr/>
              <m:t>ω</m:t>
            </m:r>
            <m:sSup>
              <m:sSupPr/>
              <m:e>
                <m:r>
                  <m:rPr>
                    <m:sty m:val="p"/>
                  </m:rPr>
                  <m:t>)</m:t>
                </m:r>
              </m:e>
              <m:sup>
                <m:r>
                  <m:rPr/>
                  <m:t>2</m:t>
                </m:r>
              </m:sup>
            </m:sSup>
          </m:e>
        </m:rad>
      </m:oMath>
      <w:r>
        <w:rPr>
          <w:rFonts w:hint="eastAsia"/>
        </w:rPr>
        <w:t>，当探测频率远高于截止频率时，</w:t>
      </w:r>
      <m:oMath>
        <m:r>
          <m:rPr/>
          <m:t>β</m:t>
        </m:r>
        <m:r>
          <m:rPr>
            <m:sty m:val="p"/>
          </m:rPr>
          <m:t>→</m:t>
        </m:r>
        <m:r>
          <m:rPr/>
          <m:t>ω</m:t>
        </m:r>
        <m:r>
          <m:rPr>
            <m:sty m:val="p"/>
          </m:rPr>
          <m:t>/</m:t>
        </m:r>
        <m:r>
          <m:rPr/>
          <m:t>c</m:t>
        </m:r>
      </m:oMath>
      <w:r>
        <w:rPr>
          <w:rFonts w:hint="eastAsia"/>
        </w:rPr>
        <w:t>，等离子体的色散效应可忽略，电磁波近似以光速传播；当探测频率逼近截止频率时，</w:t>
      </w:r>
      <m:oMath>
        <m:r>
          <m:rPr/>
          <m:t>β</m:t>
        </m:r>
        <m:r>
          <m:rPr>
            <m:sty m:val="p"/>
          </m:rPr>
          <m:t>→</m:t>
        </m:r>
        <m:r>
          <m:rPr/>
          <m:t>0</m:t>
        </m:r>
      </m:oMath>
      <w:r>
        <w:rPr>
          <w:rFonts w:hint="eastAsia"/>
        </w:rPr>
        <w:t>，电磁波的相速度趋于无穷大，群速度趋于零，信号能量被强烈迟滞在介质内部。这种频率依赖的传播速度变化，正是等离子体色散效应的本质体现，也是LFMCW宽带信号在强色散区产生差频频谱散焦的物理根源。</w:t>
      </w:r>
    </w:p>
    <w:p w14:paraId="18407237">
      <w:r>
        <w:rPr>
          <w:rFonts w:hint="eastAsia"/>
        </w:rPr>
        <w:t>利用式(2-10)给出的近似相位常数，可进一步评估电磁波穿越等离子体所引起的附加相移。以同等路径长度</w:t>
      </w:r>
      <m:oMath>
        <m:r>
          <m:rPr/>
          <m:t>d</m:t>
        </m:r>
      </m:oMath>
      <w:r>
        <w:rPr>
          <w:rFonts w:hint="eastAsia"/>
        </w:rPr>
        <w:t>的真空传播（相位常数</w:t>
      </w:r>
      <m:oMath>
        <m:sSub>
          <m:sSubPr/>
          <m:e>
            <m:r>
              <m:rPr/>
              <m:t>β</m:t>
            </m:r>
          </m:e>
          <m:sub>
            <m:r>
              <m:rPr/>
              <m:t>0</m:t>
            </m:r>
          </m:sub>
        </m:sSub>
        <m:r>
          <m:rPr>
            <m:sty m:val="p"/>
          </m:rPr>
          <m:t>=</m:t>
        </m:r>
        <m:r>
          <m:rPr/>
          <m:t>ω</m:t>
        </m:r>
        <m:r>
          <m:rPr>
            <m:sty m:val="p"/>
          </m:rPr>
          <m:t>/</m:t>
        </m:r>
        <m:r>
          <m:rPr/>
          <m:t>c</m:t>
        </m:r>
      </m:oMath>
      <w:r>
        <w:rPr>
          <w:rFonts w:hint="eastAsia"/>
        </w:rPr>
        <w:t>）为基准，等离子体层引入的相移增量为：</w:t>
      </w:r>
    </w:p>
    <w:p w14:paraId="27389234">
      <w:r>
        <w:t xml:space="preserve"> </w:t>
      </w:r>
    </w:p>
    <w:p w14:paraId="2CEFF6E3">
      <w:pPr>
        <w:pStyle w:val="44"/>
        <w:spacing w:before="0" w:after="0" w:line="400" w:lineRule="atLeast"/>
      </w:pPr>
      <w:r>
        <w:tab/>
      </w:r>
      <m:oMath>
        <m:r>
          <m:rPr>
            <m:sty m:val="p"/>
          </m:rPr>
          <m:t>Δ</m:t>
        </m:r>
        <m:r>
          <m:rPr/>
          <m:t>φ</m:t>
        </m:r>
        <m:r>
          <m:rPr>
            <m:sty m:val="p"/>
          </m:rPr>
          <m:t>=(</m:t>
        </m:r>
        <m:r>
          <m:rPr/>
          <m:t>β</m:t>
        </m:r>
        <m:r>
          <m:rPr>
            <m:sty m:val="p"/>
          </m:rPr>
          <m:t>−</m:t>
        </m:r>
        <m:sSub>
          <m:sSubPr/>
          <m:e>
            <m:r>
              <m:rPr/>
              <m:t>β</m:t>
            </m:r>
          </m:e>
          <m:sub>
            <m:r>
              <m:rPr/>
              <m:t>0</m:t>
            </m:r>
          </m:sub>
        </m:sSub>
        <m:r>
          <m:rPr>
            <m:sty m:val="p"/>
          </m:rPr>
          <m:t>)</m:t>
        </m:r>
        <m:r>
          <m:rPr/>
          <m:t>d</m:t>
        </m:r>
        <m:r>
          <m:rPr>
            <m:sty m:val="p"/>
          </m:rPr>
          <m:t>=</m:t>
        </m:r>
        <m:d>
          <m:dPr>
            <m:sepChr m:val=""/>
          </m:dPr>
          <m:e>
            <m:r>
              <m:rPr/>
              <m:t>β</m:t>
            </m:r>
            <m:r>
              <m:rPr>
                <m:sty m:val="p"/>
              </m:rPr>
              <m:t>−</m:t>
            </m:r>
            <m:f>
              <m:fPr/>
              <m:num>
                <m:r>
                  <m:rPr/>
                  <m:t>ω</m:t>
                </m:r>
              </m:num>
              <m:den>
                <m:r>
                  <m:rPr/>
                  <m:t>c</m:t>
                </m:r>
              </m:den>
            </m:f>
          </m:e>
        </m:d>
        <m:r>
          <m:rPr/>
          <m:t>d</m:t>
        </m:r>
      </m:oMath>
      <w:r>
        <w:tab/>
      </w:r>
      <w:r>
        <w:t>(2</w:t>
      </w:r>
      <w:r>
        <w:noBreakHyphen/>
      </w:r>
      <w:r>
        <w:t>11)</w:t>
      </w:r>
    </w:p>
    <w:p w14:paraId="3C88FF20">
      <w:r>
        <w:t xml:space="preserve"> </w:t>
      </w:r>
    </w:p>
    <w:p w14:paraId="528AB978">
      <w:r>
        <w:rPr>
          <w:rFonts w:hint="eastAsia"/>
        </w:rPr>
        <w:t>一个值得注意的物理特征是：在截止频率以上的透射区域内，等离子体中电磁波的相速度超过真空光速（</w:t>
      </w:r>
      <m:oMath>
        <m:r>
          <m:rPr/>
          <m:t>β</m:t>
        </m:r>
        <m:r>
          <m:rPr>
            <m:sty m:val="p"/>
          </m:rPr>
          <m:t>&lt;</m:t>
        </m:r>
        <m:sSub>
          <m:sSubPr/>
          <m:e>
            <m:r>
              <m:rPr/>
              <m:t>β</m:t>
            </m:r>
          </m:e>
          <m:sub>
            <m:r>
              <m:rPr/>
              <m:t>0</m:t>
            </m:r>
          </m:sub>
        </m:sSub>
      </m:oMath>
      <w:r>
        <w:rPr>
          <w:rFonts w:hint="eastAsia"/>
        </w:rPr>
        <w:t>），因而</w:t>
      </w:r>
      <m:oMath>
        <m:r>
          <m:rPr>
            <m:sty m:val="p"/>
          </m:rPr>
          <m:t>Δ</m:t>
        </m:r>
        <m:r>
          <m:rPr/>
          <m:t>φ</m:t>
        </m:r>
      </m:oMath>
      <w:r>
        <w:rPr>
          <w:rFonts w:hint="eastAsia"/>
        </w:rPr>
        <w:t>始终取负值——电磁波在穿越等离子体后经历的是相位超前而非滞后。这与大多数介质材料（如</w:t>
      </w:r>
      <m:oMath>
        <m:sSub>
          <m:sSubPr/>
          <m:e>
            <m:r>
              <m:rPr/>
              <m:t>ε</m:t>
            </m:r>
          </m:e>
          <m:sub>
            <m:r>
              <m:rPr/>
              <m:t>r</m:t>
            </m:r>
          </m:sub>
        </m:sSub>
        <m:r>
          <m:rPr>
            <m:sty m:val="p"/>
          </m:rPr>
          <m:t>&gt;</m:t>
        </m:r>
        <m:r>
          <m:rPr/>
          <m:t>1</m:t>
        </m:r>
      </m:oMath>
      <w:r>
        <w:rPr>
          <w:rFonts w:hint="eastAsia"/>
        </w:rPr>
        <w:t>的环氧树脂或聚四氟乙烯）所引起的相位滞后截然相反，是等离子体作为欠密介质（</w:t>
      </w:r>
      <m:oMath>
        <m:sSub>
          <m:sSubPr/>
          <m:e>
            <m:r>
              <m:rPr/>
              <m:t>ε</m:t>
            </m:r>
          </m:e>
          <m:sub>
            <m:r>
              <m:rPr/>
              <m:t>r</m:t>
            </m:r>
          </m:sub>
        </m:sSub>
        <m:r>
          <m:rPr>
            <m:sty m:val="p"/>
          </m:rPr>
          <m:t>&lt;</m:t>
        </m:r>
        <m:r>
          <m:rPr/>
          <m:t>1</m:t>
        </m:r>
      </m:oMath>
      <w:r>
        <w:rPr>
          <w:rFonts w:hint="eastAsia"/>
        </w:rPr>
        <w:t>）的典型电磁学标志。</w:t>
      </w:r>
    </w:p>
    <w:p w14:paraId="1174372E">
      <w:r>
        <w:rPr>
          <w:rFonts w:hint="eastAsia"/>
        </w:rPr>
        <w:t>附加相移的本质来源是传播时延的差异。定义等离子体引起的相对传播时延</w:t>
      </w:r>
      <m:oMath>
        <m:r>
          <m:rPr/>
          <m:t>τ</m:t>
        </m:r>
      </m:oMath>
      <w:r>
        <w:rPr>
          <w:rFonts w:hint="eastAsia"/>
        </w:rPr>
        <w:t>为电磁波在等离子体中的群传播时间与在真空中的群传播时间之差：</w:t>
      </w:r>
    </w:p>
    <w:p w14:paraId="764B87F6">
      <w:r>
        <w:t xml:space="preserve"> </w:t>
      </w:r>
    </w:p>
    <w:p w14:paraId="5512E4CF">
      <w:pPr>
        <w:pStyle w:val="44"/>
        <w:spacing w:before="0" w:after="0" w:line="400" w:lineRule="atLeast"/>
      </w:pPr>
      <w:r>
        <w:tab/>
      </w:r>
      <m:oMath>
        <m:r>
          <m:rPr/>
          <m:t>τ</m:t>
        </m:r>
        <m:r>
          <m:rPr>
            <m:sty m:val="p"/>
          </m:rPr>
          <m:t>=</m:t>
        </m:r>
        <m:f>
          <m:fPr/>
          <m:num>
            <m:r>
              <m:rPr/>
              <m:t>d</m:t>
            </m:r>
          </m:num>
          <m:den>
            <m:sSub>
              <m:sSubPr/>
              <m:e>
                <m:r>
                  <m:rPr/>
                  <m:t>v</m:t>
                </m:r>
              </m:e>
              <m:sub>
                <m:r>
                  <m:rPr/>
                  <m:t>g</m:t>
                </m:r>
              </m:sub>
            </m:sSub>
          </m:den>
        </m:f>
        <m:r>
          <m:rPr>
            <m:sty m:val="p"/>
          </m:rPr>
          <m:t>−</m:t>
        </m:r>
        <m:f>
          <m:fPr/>
          <m:num>
            <m:r>
              <m:rPr/>
              <m:t>d</m:t>
            </m:r>
          </m:num>
          <m:den>
            <m:r>
              <m:rPr/>
              <m:t>c</m:t>
            </m:r>
          </m:den>
        </m:f>
      </m:oMath>
      <w:r>
        <w:tab/>
      </w:r>
      <w:r>
        <w:t>(2</w:t>
      </w:r>
      <w:r>
        <w:noBreakHyphen/>
      </w:r>
      <w:r>
        <w:t>12)</w:t>
      </w:r>
    </w:p>
    <w:p w14:paraId="5F495E00">
      <w:r>
        <w:t xml:space="preserve"> </w:t>
      </w:r>
    </w:p>
    <w:p w14:paraId="168D6464">
      <w:r>
        <w:rPr>
          <w:rFonts w:hint="eastAsia"/>
        </w:rPr>
        <w:t>其中</w:t>
      </w:r>
      <m:oMath>
        <m:sSub>
          <m:sSubPr/>
          <m:e>
            <m:r>
              <m:rPr/>
              <m:t>v</m:t>
            </m:r>
          </m:e>
          <m:sub>
            <m:r>
              <m:rPr/>
              <m:t>g</m:t>
            </m:r>
          </m:sub>
        </m:sSub>
      </m:oMath>
      <w:r>
        <w:rPr>
          <w:rFonts w:hint="eastAsia"/>
        </w:rPr>
        <w:t>为等离子体中的群速度。在高频弱碰撞近似下，群速度</w:t>
      </w:r>
      <m:oMath>
        <m:sSub>
          <m:sSubPr/>
          <m:e>
            <m:r>
              <m:rPr/>
              <m:t>v</m:t>
            </m:r>
          </m:e>
          <m:sub>
            <m:r>
              <m:rPr/>
              <m:t>g</m:t>
            </m:r>
          </m:sub>
        </m:sSub>
        <m:r>
          <m:rPr>
            <m:sty m:val="p"/>
          </m:rPr>
          <m:t>=</m:t>
        </m:r>
        <m:r>
          <m:rPr/>
          <m:t>c</m:t>
        </m:r>
        <m:rad>
          <m:radPr>
            <m:degHide m:val="1"/>
          </m:radPr>
          <m:deg/>
          <m:e>
            <m:r>
              <m:rPr/>
              <m:t>1</m:t>
            </m:r>
            <m:r>
              <m:rPr>
                <m:sty m:val="p"/>
              </m:rPr>
              <m:t>−(</m:t>
            </m:r>
            <m:sSub>
              <m:sSubPr/>
              <m:e>
                <m:r>
                  <m:rPr/>
                  <m:t>ω</m:t>
                </m:r>
              </m:e>
              <m:sub>
                <m:r>
                  <m:rPr/>
                  <m:t>p</m:t>
                </m:r>
              </m:sub>
            </m:sSub>
            <m:r>
              <m:rPr>
                <m:sty m:val="p"/>
              </m:rPr>
              <m:t>/</m:t>
            </m:r>
            <m:r>
              <m:rPr/>
              <m:t>ω</m:t>
            </m:r>
            <m:sSup>
              <m:sSupPr/>
              <m:e>
                <m:r>
                  <m:rPr>
                    <m:sty m:val="p"/>
                  </m:rPr>
                  <m:t>)</m:t>
                </m:r>
              </m:e>
              <m:sup>
                <m:r>
                  <m:rPr/>
                  <m:t>2</m:t>
                </m:r>
              </m:sup>
            </m:sSup>
          </m:e>
        </m:rad>
      </m:oMath>
      <w:r>
        <w:rPr>
          <w:rFonts w:hint="eastAsia"/>
        </w:rPr>
        <w:t>恒小于光速（等离子体呈正常群速度色散），因此</w:t>
      </w:r>
      <m:oMath>
        <m:r>
          <m:rPr/>
          <m:t>τ</m:t>
        </m:r>
        <m:r>
          <m:rPr>
            <m:sty m:val="p"/>
          </m:rPr>
          <m:t>&gt;</m:t>
        </m:r>
        <m:r>
          <m:rPr/>
          <m:t>0</m:t>
        </m:r>
      </m:oMath>
      <w:r>
        <w:rPr>
          <w:rFonts w:hint="eastAsia"/>
        </w:rPr>
        <w:t>，即信号在等离子体中的传播时间长于在真空中的传播时间。图2-1以归一化形式直观展示了群速度</w:t>
      </w:r>
      <m:oMath>
        <m:sSub>
          <m:sSubPr/>
          <m:e>
            <m:r>
              <m:rPr/>
              <m:t>v</m:t>
            </m:r>
          </m:e>
          <m:sub>
            <m:r>
              <m:rPr/>
              <m:t>g</m:t>
            </m:r>
          </m:sub>
        </m:sSub>
        <m:r>
          <m:rPr>
            <m:sty m:val="p"/>
          </m:rPr>
          <m:t>/</m:t>
        </m:r>
        <m:r>
          <m:rPr/>
          <m:t>c</m:t>
        </m:r>
        <m:r>
          <m:rPr>
            <m:sty m:val="p"/>
          </m:rPr>
          <m:t>=</m:t>
        </m:r>
        <m:rad>
          <m:radPr>
            <m:degHide m:val="1"/>
          </m:radPr>
          <m:deg/>
          <m:e>
            <m:r>
              <m:rPr/>
              <m:t>1</m:t>
            </m:r>
            <m:r>
              <m:rPr>
                <m:sty m:val="p"/>
              </m:rPr>
              <m:t>−(</m:t>
            </m:r>
            <m:sSub>
              <m:sSubPr/>
              <m:e>
                <m:r>
                  <m:rPr/>
                  <m:t>f</m:t>
                </m:r>
              </m:e>
              <m:sub>
                <m:r>
                  <m:rPr/>
                  <m:t>p</m:t>
                </m:r>
              </m:sub>
            </m:sSub>
            <m:r>
              <m:rPr>
                <m:sty m:val="p"/>
              </m:rPr>
              <m:t>/</m:t>
            </m:r>
            <m:r>
              <m:rPr/>
              <m:t>f</m:t>
            </m:r>
            <m:sSup>
              <m:sSupPr/>
              <m:e>
                <m:r>
                  <m:rPr>
                    <m:sty m:val="p"/>
                  </m:rPr>
                  <m:t>)</m:t>
                </m:r>
              </m:e>
              <m:sup>
                <m:r>
                  <m:rPr/>
                  <m:t>2</m:t>
                </m:r>
              </m:sup>
            </m:sSup>
          </m:e>
        </m:rad>
      </m:oMath>
      <w:r>
        <w:rPr>
          <w:rFonts w:hint="eastAsia"/>
        </w:rPr>
        <w:t>随归一化探测频率</w:t>
      </w:r>
      <m:oMath>
        <m:r>
          <m:rPr/>
          <m:t>f</m:t>
        </m:r>
        <m:r>
          <m:rPr>
            <m:sty m:val="p"/>
          </m:rPr>
          <m:t>/</m:t>
        </m:r>
        <m:sSub>
          <m:sSubPr/>
          <m:e>
            <m:r>
              <m:rPr/>
              <m:t>f</m:t>
            </m:r>
          </m:e>
          <m:sub>
            <m:r>
              <m:rPr/>
              <m:t>p</m:t>
            </m:r>
          </m:sub>
        </m:sSub>
      </m:oMath>
      <w:r>
        <w:rPr>
          <w:rFonts w:hint="eastAsia"/>
        </w:rPr>
        <w:t>的变化规律：当</w:t>
      </w:r>
      <m:oMath>
        <m:r>
          <m:rPr/>
          <m:t>f</m:t>
        </m:r>
        <m:r>
          <m:rPr>
            <m:sty m:val="p"/>
          </m:rPr>
          <m:t>/</m:t>
        </m:r>
        <m:sSub>
          <m:sSubPr/>
          <m:e>
            <m:r>
              <m:rPr/>
              <m:t>f</m:t>
            </m:r>
          </m:e>
          <m:sub>
            <m:r>
              <m:rPr/>
              <m:t>p</m:t>
            </m:r>
          </m:sub>
        </m:sSub>
      </m:oMath>
      <w:r>
        <w:rPr>
          <w:rFonts w:hint="eastAsia"/>
        </w:rPr>
        <w:t>趋向1时群速度急剧降至零，揭示了截止区附近极强的色散特征；随着探测频率远离截止频率，群速度逐渐趋近光速，色散效应迅速减弱。</w:t>
      </w:r>
    </w:p>
    <w:p w14:paraId="50B293EE">
      <w:r>
        <w:rPr>
          <w:rFonts w:hint="eastAsia"/>
        </w:rPr>
        <w:t>在</w:t>
      </w:r>
      <m:oMath>
        <m:r>
          <m:rPr/>
          <m:t>ω</m:t>
        </m:r>
        <m:r>
          <m:rPr>
            <m:sty m:val="p"/>
          </m:rPr>
          <m:t>≫</m:t>
        </m:r>
        <m:sSub>
          <m:sSubPr/>
          <m:e>
            <m:r>
              <m:rPr/>
              <m:t>ω</m:t>
            </m:r>
          </m:e>
          <m:sub>
            <m:r>
              <m:rPr/>
              <m:t>p</m:t>
            </m:r>
          </m:sub>
        </m:sSub>
      </m:oMath>
      <w:r>
        <w:rPr>
          <w:rFonts w:hint="eastAsia"/>
        </w:rPr>
        <w:t>的弱色散极限下，联立式(2-1)与式(2-12)并展开至一阶近似，群时延可被简化为与电子密度成线性关系的表达式，等价地，电子密度可由测得的群时延直接估算：</w:t>
      </w:r>
    </w:p>
    <w:p w14:paraId="48422C5F">
      <w:r>
        <w:t xml:space="preserve"> </w:t>
      </w:r>
    </w:p>
    <w:p w14:paraId="3F413A85">
      <w:pPr>
        <w:pStyle w:val="44"/>
        <w:spacing w:before="0" w:after="0" w:line="400" w:lineRule="atLeast"/>
      </w:pPr>
      <w:r>
        <w:tab/>
      </w:r>
      <m:oMath>
        <m:sSub>
          <m:sSubPr/>
          <m:e>
            <m:r>
              <m:rPr/>
              <m:t>n</m:t>
            </m:r>
          </m:e>
          <m:sub>
            <m:r>
              <m:rPr/>
              <m:t>e</m:t>
            </m:r>
          </m:sub>
        </m:sSub>
        <m:r>
          <m:rPr>
            <m:sty m:val="p"/>
          </m:rPr>
          <m:t>≈</m:t>
        </m:r>
        <m:f>
          <m:fPr/>
          <m:num>
            <m:r>
              <m:rPr/>
              <m:t>8</m:t>
            </m:r>
            <m:sSup>
              <m:sSupPr/>
              <m:e>
                <m:r>
                  <m:rPr/>
                  <m:t>π</m:t>
                </m:r>
              </m:e>
              <m:sup>
                <m:r>
                  <m:rPr/>
                  <m:t>2</m:t>
                </m:r>
              </m:sup>
            </m:sSup>
            <m:sSub>
              <m:sSubPr/>
              <m:e>
                <m:r>
                  <m:rPr/>
                  <m:t>ε</m:t>
                </m:r>
              </m:e>
              <m:sub>
                <m:r>
                  <m:rPr/>
                  <m:t>0</m:t>
                </m:r>
              </m:sub>
            </m:sSub>
            <m:sSub>
              <m:sSubPr/>
              <m:e>
                <m:r>
                  <m:rPr/>
                  <m:t>m</m:t>
                </m:r>
              </m:e>
              <m:sub>
                <m:r>
                  <m:rPr/>
                  <m:t>e</m:t>
                </m:r>
              </m:sub>
            </m:sSub>
            <m:r>
              <m:rPr/>
              <m:t>c</m:t>
            </m:r>
          </m:num>
          <m:den>
            <m:sSup>
              <m:sSupPr/>
              <m:e>
                <m:r>
                  <m:rPr/>
                  <m:t>e</m:t>
                </m:r>
              </m:e>
              <m:sup>
                <m:r>
                  <m:rPr/>
                  <m:t>2</m:t>
                </m:r>
              </m:sup>
            </m:sSup>
          </m:den>
        </m:f>
        <m:r>
          <m:rPr>
            <m:sty m:val="p"/>
          </m:rPr>
          <m:t>⋅</m:t>
        </m:r>
        <m:f>
          <m:fPr/>
          <m:num>
            <m:sSup>
              <m:sSupPr/>
              <m:e>
                <m:r>
                  <m:rPr/>
                  <m:t>f</m:t>
                </m:r>
              </m:e>
              <m:sup>
                <m:r>
                  <m:rPr/>
                  <m:t>2</m:t>
                </m:r>
              </m:sup>
            </m:sSup>
          </m:num>
          <m:den>
            <m:r>
              <m:rPr/>
              <m:t>d</m:t>
            </m:r>
          </m:den>
        </m:f>
        <m:r>
          <m:rPr>
            <m:sty m:val="p"/>
          </m:rPr>
          <m:t>⋅</m:t>
        </m:r>
        <m:r>
          <m:rPr/>
          <m:t>τ</m:t>
        </m:r>
      </m:oMath>
      <w:r>
        <w:tab/>
      </w:r>
      <w:r>
        <w:t>(2</w:t>
      </w:r>
      <w:r>
        <w:noBreakHyphen/>
      </w:r>
      <w:r>
        <w:t>13)</w:t>
      </w:r>
    </w:p>
    <w:p w14:paraId="11EBF5C8">
      <w:r>
        <w:t xml:space="preserve"> </w:t>
      </w:r>
    </w:p>
    <w:p w14:paraId="75ECB5A8">
      <w:r>
        <w:rPr>
          <w:rFonts w:hint="eastAsia"/>
        </w:rPr>
        <w:t>式(2-13)的物理含义十分直观：在弱色散极限下，群时延与电子密度呈简单的线性正比关系，只需获得电磁波穿越等离子体后产生的时延增量，即可沿传播路径对平均电子密度做出定量估算。正是这一线性映射关系奠定了LFMCW时延诊断法的理论基石——它将对电磁特征量的测量从相位域转移至时延域，从根本上绕开了相位测量固有的</w:t>
      </w:r>
      <m:oMath>
        <m:r>
          <m:rPr/>
          <m:t>2π</m:t>
        </m:r>
      </m:oMath>
      <w:r>
        <w:rPr>
          <w:rFonts w:hint="eastAsia"/>
        </w:rPr>
        <w:t>整周模糊问题。</w:t>
      </w:r>
    </w:p>
    <w:p w14:paraId="3517C3A8">
      <w:r>
        <w:rPr>
          <w:rFonts w:hint="eastAsia"/>
        </w:rPr>
        <w:t>然而，需要特别指出的是，式(2-13)仅在弱色散近似（</w:t>
      </w:r>
      <m:oMath>
        <m:r>
          <m:rPr/>
          <m:t>f</m:t>
        </m:r>
        <m:r>
          <m:rPr>
            <m:sty m:val="p"/>
          </m:rPr>
          <m:t>≫</m:t>
        </m:r>
        <m:sSub>
          <m:sSubPr/>
          <m:e>
            <m:r>
              <m:rPr/>
              <m:t>f</m:t>
            </m:r>
          </m:e>
          <m:sub>
            <m:r>
              <m:rPr/>
              <m:t>p</m:t>
            </m:r>
          </m:sub>
        </m:sSub>
      </m:oMath>
      <w:r>
        <w:rPr>
          <w:rFonts w:hint="eastAsia"/>
        </w:rPr>
        <w:t>）下成立。当等离子体电子密度较高、截止频率逼近诊断频段时，群时延</w:t>
      </w:r>
      <m:oMath>
        <m:r>
          <m:rPr/>
          <m:t>τ</m:t>
        </m:r>
      </m:oMath>
      <w:r>
        <w:rPr>
          <w:rFonts w:hint="eastAsia"/>
        </w:rPr>
        <w:t>不再是频率的常数，而是频率的强非线性函数。此时，LFMCW宽带信号不同频率分量经历的时延差异不可忽略，差频信号将偏离理想的单频正弦波形态。这一色散效应对诊断精度的影响将在后续</w:t>
      </w:r>
      <w:r>
        <w:t xml:space="preserve"> 2.5 </w:t>
      </w:r>
      <w:r>
        <w:rPr>
          <w:rFonts w:hint="eastAsia"/>
        </w:rPr>
        <w:t>节和第三章中进一步讨论。</w:t>
      </w:r>
    </w:p>
    <w:p w14:paraId="6B94663D">
      <w:r>
        <w:pict>
          <v:rect id="_x0000_i1027" o:spt="1" style="height:1.5pt;width:0pt;" coordsize="21600,21600" o:hr="t" o:hrstd="t" o:hralign="center">
            <v:path/>
            <v:fill focussize="0,0"/>
            <v:stroke/>
            <v:imagedata o:title=""/>
            <o:lock v:ext="edit"/>
            <w10:wrap type="none"/>
            <w10:anchorlock/>
          </v:rect>
        </w:pict>
      </w:r>
    </w:p>
    <w:bookmarkEnd w:id="30"/>
    <w:bookmarkEnd w:id="32"/>
    <w:p w14:paraId="636FF1F3">
      <w:pPr>
        <w:pStyle w:val="3"/>
      </w:pPr>
      <w:bookmarkStart w:id="33" w:name="lfmcw信号模型与差频测距机制"/>
      <w:r>
        <w:rPr>
          <w:rFonts w:hint="eastAsia"/>
        </w:rPr>
        <w:t>LFMCW信号模型与差频测距机制</w:t>
      </w:r>
    </w:p>
    <w:p w14:paraId="0E8C6105">
      <w:r>
        <w:rPr>
          <w:rFonts w:hint="eastAsia"/>
        </w:rPr>
        <w:t>上一节建立了等离子体电子密度与电磁波传播时延之间的物理关联，表明通过测量时延变化可实现电子密度的参数反演。然而，微波传播时延通常处于纳秒乃至皮秒量级，直接在时域中精确测量如此微小的时间差异在硬件实现上面临极大困难。线性调频连续波（LFMCW）体制提供了一种将时延信息转化为可精确测量的频率偏移量的高效机制。</w:t>
      </w:r>
    </w:p>
    <w:p w14:paraId="7D44AF91">
      <w:r>
        <w:rPr>
          <w:rFonts w:hint="eastAsia"/>
        </w:rPr>
        <w:t>线性调频连续波是一种频率随时间线性变化的连续电磁波信号。本文诊断系统采用锯齿波形式的频率调制，在每个调制周期</w:t>
      </w:r>
      <m:oMath>
        <m:sSub>
          <m:sSubPr/>
          <m:e>
            <m:r>
              <m:rPr/>
              <m:t>T</m:t>
            </m:r>
          </m:e>
          <m:sub>
            <m:r>
              <m:rPr/>
              <m:t>m</m:t>
            </m:r>
          </m:sub>
        </m:sSub>
      </m:oMath>
      <w:r>
        <w:rPr>
          <w:rFonts w:hint="eastAsia"/>
        </w:rPr>
        <w:t>内，发射信号的瞬时频率从起始频率</w:t>
      </w:r>
      <m:oMath>
        <m:sSub>
          <m:sSubPr/>
          <m:e>
            <m:r>
              <m:rPr/>
              <m:t>f</m:t>
            </m:r>
          </m:e>
          <m:sub>
            <m:r>
              <m:rPr/>
              <m:t>0</m:t>
            </m:r>
          </m:sub>
        </m:sSub>
      </m:oMath>
      <w:r>
        <w:rPr>
          <w:rFonts w:hint="eastAsia"/>
        </w:rPr>
        <w:t>以恒定速率</w:t>
      </w:r>
      <m:oMath>
        <m:r>
          <m:rPr/>
          <m:t>K</m:t>
        </m:r>
      </m:oMath>
      <w:r>
        <w:rPr>
          <w:rFonts w:hint="eastAsia"/>
        </w:rPr>
        <w:t>线性递增至终止频率</w:t>
      </w:r>
      <m:oMath>
        <m:sSub>
          <m:sSubPr/>
          <m:e>
            <m:r>
              <m:rPr/>
              <m:t>f</m:t>
            </m:r>
          </m:e>
          <m:sub>
            <m:r>
              <m:rPr/>
              <m:t>0</m:t>
            </m:r>
          </m:sub>
        </m:sSub>
        <m:r>
          <m:rPr>
            <m:sty m:val="p"/>
          </m:rPr>
          <m:t>+</m:t>
        </m:r>
        <m:r>
          <m:rPr/>
          <m:t>B</m:t>
        </m:r>
      </m:oMath>
      <w:r>
        <w:rPr>
          <w:rFonts w:hint="eastAsia"/>
        </w:rPr>
        <w:t>，其中</w:t>
      </w:r>
      <m:oMath>
        <m:r>
          <m:rPr/>
          <m:t>B</m:t>
        </m:r>
      </m:oMath>
      <w:r>
        <w:rPr>
          <w:rFonts w:hint="eastAsia"/>
        </w:rPr>
        <w:t>为扫频带宽，</w:t>
      </w:r>
      <m:oMath>
        <m:r>
          <m:rPr/>
          <m:t>K</m:t>
        </m:r>
        <m:r>
          <m:rPr>
            <m:sty m:val="p"/>
          </m:rPr>
          <m:t>=</m:t>
        </m:r>
        <m:r>
          <m:rPr/>
          <m:t>B</m:t>
        </m:r>
        <m:r>
          <m:rPr>
            <m:sty m:val="p"/>
          </m:rPr>
          <m:t>/</m:t>
        </m:r>
        <m:sSub>
          <m:sSubPr/>
          <m:e>
            <m:r>
              <m:rPr/>
              <m:t>T</m:t>
            </m:r>
          </m:e>
          <m:sub>
            <m:r>
              <m:rPr/>
              <m:t>m</m:t>
            </m:r>
          </m:sub>
        </m:sSub>
      </m:oMath>
      <w:r>
        <w:rPr>
          <w:rFonts w:hint="eastAsia"/>
        </w:rPr>
        <w:t>为调频斜率。发射信号的瞬时频率与时域表达式分别为：</w:t>
      </w:r>
    </w:p>
    <w:p w14:paraId="6AC0D441">
      <w:r>
        <w:t xml:space="preserve"> </w:t>
      </w:r>
    </w:p>
    <w:p w14:paraId="3BA8B51A">
      <w:pPr>
        <w:pStyle w:val="44"/>
        <w:spacing w:before="0" w:after="0" w:line="400" w:lineRule="atLeast"/>
      </w:pPr>
      <w:r>
        <w:tab/>
      </w:r>
      <m:oMath>
        <m:sSub>
          <m:sSubPr/>
          <m:e>
            <m:r>
              <m:rPr/>
              <m:t>f</m:t>
            </m:r>
          </m:e>
          <m:sub>
            <m:r>
              <m:rPr/>
              <m:t>T</m:t>
            </m:r>
          </m:sub>
        </m:sSub>
        <m:r>
          <m:rPr>
            <m:sty m:val="p"/>
          </m:rPr>
          <m:t>(</m:t>
        </m:r>
        <m:r>
          <m:rPr/>
          <m:t>t</m:t>
        </m:r>
        <m:r>
          <m:rPr>
            <m:sty m:val="p"/>
          </m:rPr>
          <m:t>)=</m:t>
        </m:r>
        <m:sSub>
          <m:sSubPr/>
          <m:e>
            <m:r>
              <m:rPr/>
              <m:t>f</m:t>
            </m:r>
          </m:e>
          <m:sub>
            <m:r>
              <m:rPr/>
              <m:t>0</m:t>
            </m:r>
          </m:sub>
        </m:sSub>
        <m:r>
          <m:rPr>
            <m:sty m:val="p"/>
          </m:rPr>
          <m:t>+</m:t>
        </m:r>
        <m:r>
          <m:rPr/>
          <m:t>Kt</m:t>
        </m:r>
        <m:r>
          <m:rPr>
            <m:sty m:val="p"/>
          </m:rPr>
          <m:t>,</m:t>
        </m:r>
        <m:r>
          <m:rPr/>
          <m:t>0</m:t>
        </m:r>
        <m:r>
          <m:rPr>
            <m:sty m:val="p"/>
          </m:rPr>
          <m:t>≤</m:t>
        </m:r>
        <m:r>
          <m:rPr/>
          <m:t>t</m:t>
        </m:r>
        <m:r>
          <m:rPr>
            <m:sty m:val="p"/>
          </m:rPr>
          <m:t>≤</m:t>
        </m:r>
        <m:sSub>
          <m:sSubPr/>
          <m:e>
            <m:r>
              <m:rPr/>
              <m:t>T</m:t>
            </m:r>
          </m:e>
          <m:sub>
            <m:r>
              <m:rPr/>
              <m:t>m</m:t>
            </m:r>
          </m:sub>
        </m:sSub>
      </m:oMath>
      <w:r>
        <w:tab/>
      </w:r>
      <w:r>
        <w:t>(2</w:t>
      </w:r>
      <w:r>
        <w:noBreakHyphen/>
      </w:r>
      <w:r>
        <w:t>14)</w:t>
      </w:r>
    </w:p>
    <w:p w14:paraId="221E0DB8">
      <w:r>
        <w:t xml:space="preserve"> </w:t>
      </w:r>
    </w:p>
    <w:p w14:paraId="0E4D5E95">
      <w:r>
        <w:t xml:space="preserve"> </w:t>
      </w:r>
    </w:p>
    <w:p w14:paraId="6EB17472">
      <w:pPr>
        <w:pStyle w:val="44"/>
        <w:spacing w:before="0" w:after="0" w:line="400" w:lineRule="atLeast"/>
      </w:pPr>
      <w:r>
        <w:tab/>
      </w:r>
      <m:oMath>
        <m:sSub>
          <m:sSubPr/>
          <m:e>
            <m:r>
              <m:rPr/>
              <m:t>s</m:t>
            </m:r>
          </m:e>
          <m:sub>
            <m:r>
              <m:rPr/>
              <m:t>T</m:t>
            </m:r>
          </m:sub>
        </m:sSub>
        <m:r>
          <m:rPr>
            <m:sty m:val="p"/>
          </m:rPr>
          <m:t>(</m:t>
        </m:r>
        <m:r>
          <m:rPr/>
          <m:t>t</m:t>
        </m:r>
        <m:r>
          <m:rPr>
            <m:sty m:val="p"/>
          </m:rPr>
          <m:t>)=</m:t>
        </m:r>
        <m:sSub>
          <m:sSubPr/>
          <m:e>
            <m:r>
              <m:rPr/>
              <m:t>A</m:t>
            </m:r>
          </m:e>
          <m:sub>
            <m:r>
              <m:rPr/>
              <m:t>0</m:t>
            </m:r>
          </m:sub>
        </m:sSub>
        <m:r>
          <m:rPr>
            <m:sty m:val="p"/>
          </m:rPr>
          <m:t>cos</m:t>
        </m:r>
        <m:d>
          <m:dPr>
            <m:sepChr m:val=""/>
          </m:dPr>
          <m:e>
            <m:r>
              <m:rPr/>
              <m:t>2π</m:t>
            </m:r>
            <m:sSub>
              <m:sSubPr/>
              <m:e>
                <m:r>
                  <m:rPr/>
                  <m:t>f</m:t>
                </m:r>
              </m:e>
              <m:sub>
                <m:r>
                  <m:rPr/>
                  <m:t>0</m:t>
                </m:r>
              </m:sub>
            </m:sSub>
            <m:r>
              <m:rPr/>
              <m:t>t</m:t>
            </m:r>
            <m:r>
              <m:rPr>
                <m:sty m:val="p"/>
              </m:rPr>
              <m:t>+</m:t>
            </m:r>
            <m:r>
              <m:rPr/>
              <m:t>πK</m:t>
            </m:r>
            <m:sSup>
              <m:sSupPr/>
              <m:e>
                <m:r>
                  <m:rPr/>
                  <m:t>t</m:t>
                </m:r>
              </m:e>
              <m:sup>
                <m:r>
                  <m:rPr/>
                  <m:t>2</m:t>
                </m:r>
              </m:sup>
            </m:sSup>
            <m:r>
              <m:rPr>
                <m:sty m:val="p"/>
              </m:rPr>
              <m:t>+</m:t>
            </m:r>
            <m:sSub>
              <m:sSubPr/>
              <m:e>
                <m:r>
                  <m:rPr/>
                  <m:t>θ</m:t>
                </m:r>
              </m:e>
              <m:sub>
                <m:r>
                  <m:rPr/>
                  <m:t>0</m:t>
                </m:r>
              </m:sub>
            </m:sSub>
          </m:e>
        </m:d>
        <m:r>
          <m:rPr>
            <m:sty m:val="p"/>
          </m:rPr>
          <m:t>,</m:t>
        </m:r>
        <m:r>
          <m:rPr/>
          <m:t>0</m:t>
        </m:r>
        <m:r>
          <m:rPr>
            <m:sty m:val="p"/>
          </m:rPr>
          <m:t>≤</m:t>
        </m:r>
        <m:r>
          <m:rPr/>
          <m:t>t</m:t>
        </m:r>
        <m:r>
          <m:rPr>
            <m:sty m:val="p"/>
          </m:rPr>
          <m:t>≤</m:t>
        </m:r>
        <m:sSub>
          <m:sSubPr/>
          <m:e>
            <m:r>
              <m:rPr/>
              <m:t>T</m:t>
            </m:r>
          </m:e>
          <m:sub>
            <m:r>
              <m:rPr/>
              <m:t>m</m:t>
            </m:r>
          </m:sub>
        </m:sSub>
      </m:oMath>
      <w:r>
        <w:tab/>
      </w:r>
      <w:r>
        <w:t>(2</w:t>
      </w:r>
      <w:r>
        <w:noBreakHyphen/>
      </w:r>
      <w:r>
        <w:t>15)</w:t>
      </w:r>
    </w:p>
    <w:p w14:paraId="22E5A5E7">
      <w:r>
        <w:t xml:space="preserve"> </w:t>
      </w:r>
    </w:p>
    <w:p w14:paraId="175E3AEA">
      <w:r>
        <w:rPr>
          <w:rFonts w:hint="eastAsia"/>
        </w:rPr>
        <w:t>式中</w:t>
      </w:r>
      <m:oMath>
        <m:sSub>
          <m:sSubPr/>
          <m:e>
            <m:r>
              <m:rPr/>
              <m:t>A</m:t>
            </m:r>
          </m:e>
          <m:sub>
            <m:r>
              <m:rPr/>
              <m:t>0</m:t>
            </m:r>
          </m:sub>
        </m:sSub>
      </m:oMath>
      <w:r>
        <w:rPr>
          <w:rFonts w:hint="eastAsia"/>
        </w:rPr>
        <w:t>为发射信号幅度，</w:t>
      </w:r>
      <m:oMath>
        <m:sSub>
          <m:sSubPr/>
          <m:e>
            <m:r>
              <m:rPr/>
              <m:t>θ</m:t>
            </m:r>
          </m:e>
          <m:sub>
            <m:r>
              <m:rPr/>
              <m:t>0</m:t>
            </m:r>
          </m:sub>
        </m:sSub>
      </m:oMath>
      <w:r>
        <w:rPr>
          <w:rFonts w:hint="eastAsia"/>
        </w:rPr>
        <w:t>为初始相位。信号的瞬时相位为</w:t>
      </w:r>
      <m:oMath>
        <m:sSub>
          <m:sSubPr/>
          <m:e>
            <m:r>
              <m:rPr>
                <m:sty m:val="p"/>
              </m:rPr>
              <m:t>Φ</m:t>
            </m:r>
          </m:e>
          <m:sub>
            <m:r>
              <m:rPr/>
              <m:t>T</m:t>
            </m:r>
          </m:sub>
        </m:sSub>
        <m:r>
          <m:rPr>
            <m:sty m:val="p"/>
          </m:rPr>
          <m:t>(</m:t>
        </m:r>
        <m:r>
          <m:rPr/>
          <m:t>t</m:t>
        </m:r>
        <m:r>
          <m:rPr>
            <m:sty m:val="p"/>
          </m:rPr>
          <m:t>)=</m:t>
        </m:r>
        <m:r>
          <m:rPr/>
          <m:t>2π</m:t>
        </m:r>
        <m:sSub>
          <m:sSubPr/>
          <m:e>
            <m:r>
              <m:rPr/>
              <m:t>f</m:t>
            </m:r>
          </m:e>
          <m:sub>
            <m:r>
              <m:rPr/>
              <m:t>0</m:t>
            </m:r>
          </m:sub>
        </m:sSub>
        <m:r>
          <m:rPr/>
          <m:t>t</m:t>
        </m:r>
        <m:r>
          <m:rPr>
            <m:sty m:val="p"/>
          </m:rPr>
          <m:t>+</m:t>
        </m:r>
        <m:r>
          <m:rPr/>
          <m:t>πK</m:t>
        </m:r>
        <m:sSup>
          <m:sSupPr/>
          <m:e>
            <m:r>
              <m:rPr/>
              <m:t>t</m:t>
            </m:r>
          </m:e>
          <m:sup>
            <m:r>
              <m:rPr/>
              <m:t>2</m:t>
            </m:r>
          </m:sup>
        </m:sSup>
        <m:r>
          <m:rPr>
            <m:sty m:val="p"/>
          </m:rPr>
          <m:t>+</m:t>
        </m:r>
        <m:sSub>
          <m:sSubPr/>
          <m:e>
            <m:r>
              <m:rPr/>
              <m:t>θ</m:t>
            </m:r>
          </m:e>
          <m:sub>
            <m:r>
              <m:rPr/>
              <m:t>0</m:t>
            </m:r>
          </m:sub>
        </m:sSub>
      </m:oMath>
      <w:r>
        <w:rPr>
          <w:rFonts w:hint="eastAsia"/>
        </w:rPr>
        <w:t>，对时间求导可验证瞬时频率确为式(2-14)所描述的线性函数。当发射信号经过一段非色散传播路径后，接收信号是发射信号的延时拷贝，其瞬时频率和时域信号分别为：</w:t>
      </w:r>
    </w:p>
    <w:p w14:paraId="77A33FB1">
      <w:r>
        <w:t xml:space="preserve"> </w:t>
      </w:r>
    </w:p>
    <w:p w14:paraId="710B65B2">
      <w:pPr>
        <w:pStyle w:val="44"/>
        <w:spacing w:before="0" w:after="0" w:line="400" w:lineRule="atLeast"/>
      </w:pPr>
      <w:r>
        <w:tab/>
      </w:r>
      <m:oMath>
        <m:sSub>
          <m:sSubPr/>
          <m:e>
            <m:r>
              <m:rPr/>
              <m:t>f</m:t>
            </m:r>
          </m:e>
          <m:sub>
            <m:r>
              <m:rPr/>
              <m:t>R</m:t>
            </m:r>
          </m:sub>
        </m:sSub>
        <m:r>
          <m:rPr>
            <m:sty m:val="p"/>
          </m:rPr>
          <m:t>(</m:t>
        </m:r>
        <m:r>
          <m:rPr/>
          <m:t>t</m:t>
        </m:r>
        <m:r>
          <m:rPr>
            <m:sty m:val="p"/>
          </m:rPr>
          <m:t>)=</m:t>
        </m:r>
        <m:sSub>
          <m:sSubPr/>
          <m:e>
            <m:r>
              <m:rPr/>
              <m:t>f</m:t>
            </m:r>
          </m:e>
          <m:sub>
            <m:r>
              <m:rPr/>
              <m:t>0</m:t>
            </m:r>
          </m:sub>
        </m:sSub>
        <m:r>
          <m:rPr>
            <m:sty m:val="p"/>
          </m:rPr>
          <m:t>+</m:t>
        </m:r>
        <m:r>
          <m:rPr/>
          <m:t>K</m:t>
        </m:r>
        <m:r>
          <m:rPr>
            <m:sty m:val="p"/>
          </m:rPr>
          <m:t>(</m:t>
        </m:r>
        <m:r>
          <m:rPr/>
          <m:t>t</m:t>
        </m:r>
        <m:r>
          <m:rPr>
            <m:sty m:val="p"/>
          </m:rPr>
          <m:t>−</m:t>
        </m:r>
        <m:r>
          <m:rPr/>
          <m:t>τ</m:t>
        </m:r>
        <m:r>
          <m:rPr>
            <m:sty m:val="p"/>
          </m:rPr>
          <m:t>),</m:t>
        </m:r>
        <m:r>
          <m:rPr/>
          <m:t>τ</m:t>
        </m:r>
        <m:r>
          <m:rPr>
            <m:sty m:val="p"/>
          </m:rPr>
          <m:t>≤</m:t>
        </m:r>
        <m:r>
          <m:rPr/>
          <m:t>t</m:t>
        </m:r>
        <m:r>
          <m:rPr>
            <m:sty m:val="p"/>
          </m:rPr>
          <m:t>≤</m:t>
        </m:r>
        <m:r>
          <m:rPr/>
          <m:t>τ</m:t>
        </m:r>
        <m:r>
          <m:rPr>
            <m:sty m:val="p"/>
          </m:rPr>
          <m:t>+</m:t>
        </m:r>
        <m:sSub>
          <m:sSubPr/>
          <m:e>
            <m:r>
              <m:rPr/>
              <m:t>T</m:t>
            </m:r>
          </m:e>
          <m:sub>
            <m:r>
              <m:rPr/>
              <m:t>m</m:t>
            </m:r>
          </m:sub>
        </m:sSub>
      </m:oMath>
      <w:r>
        <w:tab/>
      </w:r>
      <w:r>
        <w:t>(2</w:t>
      </w:r>
      <w:r>
        <w:noBreakHyphen/>
      </w:r>
      <w:r>
        <w:t>16)</w:t>
      </w:r>
    </w:p>
    <w:p w14:paraId="4C743B30">
      <w:r>
        <w:t xml:space="preserve"> </w:t>
      </w:r>
    </w:p>
    <w:p w14:paraId="187DBA27">
      <w:r>
        <w:t xml:space="preserve"> </w:t>
      </w:r>
    </w:p>
    <w:p w14:paraId="7863DF37">
      <w:pPr>
        <w:pStyle w:val="44"/>
        <w:spacing w:before="0" w:after="0" w:line="400" w:lineRule="atLeast"/>
      </w:pPr>
      <w:r>
        <w:tab/>
      </w:r>
      <m:oMath>
        <m:sSub>
          <m:sSubPr/>
          <m:e>
            <m:r>
              <m:rPr/>
              <m:t>s</m:t>
            </m:r>
          </m:e>
          <m:sub>
            <m:r>
              <m:rPr/>
              <m:t>R</m:t>
            </m:r>
          </m:sub>
        </m:sSub>
        <m:r>
          <m:rPr>
            <m:sty m:val="p"/>
          </m:rPr>
          <m:t>(</m:t>
        </m:r>
        <m:r>
          <m:rPr/>
          <m:t>t</m:t>
        </m:r>
        <m:r>
          <m:rPr>
            <m:sty m:val="p"/>
          </m:rPr>
          <m:t>)=</m:t>
        </m:r>
        <m:sSub>
          <m:sSubPr/>
          <m:e>
            <m:r>
              <m:rPr/>
              <m:t>A</m:t>
            </m:r>
          </m:e>
          <m:sub>
            <m:r>
              <m:rPr/>
              <m:t>1</m:t>
            </m:r>
          </m:sub>
        </m:sSub>
        <m:r>
          <m:rPr>
            <m:sty m:val="p"/>
          </m:rPr>
          <m:t>cos</m:t>
        </m:r>
        <m:d>
          <m:dPr>
            <m:begChr m:val="["/>
            <m:sepChr m:val=""/>
            <m:endChr m:val="]"/>
          </m:dPr>
          <m:e>
            <m:r>
              <m:rPr/>
              <m:t>2π</m:t>
            </m:r>
            <m:sSub>
              <m:sSubPr/>
              <m:e>
                <m:r>
                  <m:rPr/>
                  <m:t>f</m:t>
                </m:r>
              </m:e>
              <m:sub>
                <m:r>
                  <m:rPr/>
                  <m:t>0</m:t>
                </m:r>
              </m:sub>
            </m:sSub>
            <m:r>
              <m:rPr>
                <m:sty m:val="p"/>
              </m:rPr>
              <m:t>(</m:t>
            </m:r>
            <m:r>
              <m:rPr/>
              <m:t>t</m:t>
            </m:r>
            <m:r>
              <m:rPr>
                <m:sty m:val="p"/>
              </m:rPr>
              <m:t>−</m:t>
            </m:r>
            <m:r>
              <m:rPr/>
              <m:t>τ</m:t>
            </m:r>
            <m:r>
              <m:rPr>
                <m:sty m:val="p"/>
              </m:rPr>
              <m:t>)+</m:t>
            </m:r>
            <m:r>
              <m:rPr/>
              <m:t>πK</m:t>
            </m:r>
            <m:r>
              <m:rPr>
                <m:sty m:val="p"/>
              </m:rPr>
              <m:t>(</m:t>
            </m:r>
            <m:r>
              <m:rPr/>
              <m:t>t</m:t>
            </m:r>
            <m:r>
              <m:rPr>
                <m:sty m:val="p"/>
              </m:rPr>
              <m:t>−</m:t>
            </m:r>
            <m:r>
              <m:rPr/>
              <m:t>τ</m:t>
            </m:r>
            <m:sSup>
              <m:sSupPr/>
              <m:e>
                <m:r>
                  <m:rPr>
                    <m:sty m:val="p"/>
                  </m:rPr>
                  <m:t>)</m:t>
                </m:r>
              </m:e>
              <m:sup>
                <m:r>
                  <m:rPr/>
                  <m:t>2</m:t>
                </m:r>
              </m:sup>
            </m:sSup>
            <m:r>
              <m:rPr>
                <m:sty m:val="p"/>
              </m:rPr>
              <m:t>+</m:t>
            </m:r>
            <m:sSub>
              <m:sSubPr/>
              <m:e>
                <m:r>
                  <m:rPr/>
                  <m:t>θ</m:t>
                </m:r>
              </m:e>
              <m:sub>
                <m:r>
                  <m:rPr/>
                  <m:t>0</m:t>
                </m:r>
              </m:sub>
            </m:sSub>
          </m:e>
        </m:d>
      </m:oMath>
      <w:r>
        <w:tab/>
      </w:r>
      <w:r>
        <w:t>(2</w:t>
      </w:r>
      <w:r>
        <w:noBreakHyphen/>
      </w:r>
      <w:r>
        <w:t>17)</w:t>
      </w:r>
    </w:p>
    <w:p w14:paraId="1BE351DC">
      <w:r>
        <w:t xml:space="preserve"> </w:t>
      </w:r>
    </w:p>
    <w:p w14:paraId="2F09477A">
      <w:r>
        <w:rPr>
          <w:rFonts w:hint="eastAsia"/>
        </w:rPr>
        <w:t>式中</w:t>
      </w:r>
      <m:oMath>
        <m:r>
          <m:rPr/>
          <m:t>τ</m:t>
        </m:r>
      </m:oMath>
      <w:r>
        <w:rPr>
          <w:rFonts w:hint="eastAsia"/>
        </w:rPr>
        <w:t>为信号在传播路径上经历的群时延，</w:t>
      </w:r>
      <m:oMath>
        <m:sSub>
          <m:sSubPr/>
          <m:e>
            <m:r>
              <m:rPr/>
              <m:t>A</m:t>
            </m:r>
          </m:e>
          <m:sub>
            <m:r>
              <m:rPr/>
              <m:t>1</m:t>
            </m:r>
          </m:sub>
        </m:sSub>
      </m:oMath>
      <w:r>
        <w:rPr>
          <w:rFonts w:hint="eastAsia"/>
        </w:rPr>
        <w:t>为接收信号幅度（由于传播衰减</w:t>
      </w:r>
      <m:oMath>
        <m:sSub>
          <m:sSubPr/>
          <m:e>
            <m:r>
              <m:rPr/>
              <m:t>A</m:t>
            </m:r>
          </m:e>
          <m:sub>
            <m:r>
              <m:rPr/>
              <m:t>1</m:t>
            </m:r>
          </m:sub>
        </m:sSub>
        <m:r>
          <m:rPr>
            <m:sty m:val="p"/>
          </m:rPr>
          <m:t>&lt;</m:t>
        </m:r>
        <m:sSub>
          <m:sSubPr/>
          <m:e>
            <m:r>
              <m:rPr/>
              <m:t>A</m:t>
            </m:r>
          </m:e>
          <m:sub>
            <m:r>
              <m:rPr/>
              <m:t>0</m:t>
            </m:r>
          </m:sub>
        </m:sSub>
      </m:oMath>
      <w:r>
        <w:rPr>
          <w:rFonts w:hint="eastAsia"/>
        </w:rPr>
        <w:t>）。LFMCW系统的核心信号处理步骤是将接收信号与发射信号进行混频（De-chirp操作），混频器在时域上实现两信号的相乘运算，经低通滤波器滤除高频和频分量后，保留的差频信号即包含了传播时延信息。</w:t>
      </w:r>
    </w:p>
    <w:p w14:paraId="78E9DB33">
      <w:r>
        <w:rPr>
          <w:rFonts w:hint="eastAsia"/>
        </w:rPr>
        <w:t>在理想无色散传播环境中（如自由空间或空气），传播时延</w:t>
      </w:r>
      <m:oMath>
        <m:r>
          <m:rPr/>
          <m:t>τ</m:t>
        </m:r>
      </m:oMath>
      <w:r>
        <w:rPr>
          <w:rFonts w:hint="eastAsia"/>
        </w:rPr>
        <w:t>为常数，混频后差频信号在大部分扫频区间内可近似视为恒频信号，仅在扫频周期边界附近存在较短的过渡区。在实际诊断系统中，等离子体引起的传播时延远小于扫频周期（</w:t>
      </w:r>
      <m:oMath>
        <m:r>
          <m:rPr/>
          <m:t>τ</m:t>
        </m:r>
        <m:r>
          <m:rPr>
            <m:sty m:val="p"/>
          </m:rPr>
          <m:t>≪</m:t>
        </m:r>
        <m:sSub>
          <m:sSubPr/>
          <m:e>
            <m:r>
              <m:rPr/>
              <m:t>T</m:t>
            </m:r>
          </m:e>
          <m:sub>
            <m:r>
              <m:rPr/>
              <m:t>m</m:t>
            </m:r>
          </m:sub>
        </m:sSub>
      </m:oMath>
      <w:r>
        <w:rPr>
          <w:rFonts w:hint="eastAsia"/>
        </w:rPr>
        <w:t>），过渡区所占时间比例极小。因此差频信号可近似表示为恒定频率的稳态正弦波，如图2-2(a)、(b)所示，发射与接收信号的瞬时频率线保持严格平行，差频频率在整个扫频周期内恒定不变。差频频率与传播时延之间的基本映射关系为：</w:t>
      </w:r>
    </w:p>
    <w:p w14:paraId="342B2BAB">
      <w:r>
        <w:t xml:space="preserve"> </w:t>
      </w:r>
    </w:p>
    <w:p w14:paraId="5111073B">
      <w:pPr>
        <w:pStyle w:val="44"/>
        <w:spacing w:before="0" w:after="0" w:line="400" w:lineRule="atLeast"/>
      </w:pPr>
      <w:r>
        <w:tab/>
      </w:r>
      <m:oMath>
        <m:sSub>
          <m:sSubPr/>
          <m:e>
            <m:r>
              <m:rPr/>
              <m:t>f</m:t>
            </m:r>
          </m:e>
          <m:sub>
            <m:r>
              <m:rPr/>
              <m:t>D</m:t>
            </m:r>
          </m:sub>
        </m:sSub>
        <m:r>
          <m:rPr>
            <m:sty m:val="p"/>
          </m:rPr>
          <m:t>=</m:t>
        </m:r>
        <m:r>
          <m:rPr/>
          <m:t>Kτ</m:t>
        </m:r>
        <m:r>
          <m:rPr>
            <m:sty m:val="p"/>
          </m:rPr>
          <m:t>=</m:t>
        </m:r>
        <m:f>
          <m:fPr/>
          <m:num>
            <m:r>
              <m:rPr/>
              <m:t>B</m:t>
            </m:r>
          </m:num>
          <m:den>
            <m:sSub>
              <m:sSubPr/>
              <m:e>
                <m:r>
                  <m:rPr/>
                  <m:t>T</m:t>
                </m:r>
              </m:e>
              <m:sub>
                <m:r>
                  <m:rPr/>
                  <m:t>m</m:t>
                </m:r>
              </m:sub>
            </m:sSub>
          </m:den>
        </m:f>
        <m:r>
          <m:rPr/>
          <m:t>τ</m:t>
        </m:r>
      </m:oMath>
      <w:r>
        <w:tab/>
      </w:r>
      <w:r>
        <w:t>(2</w:t>
      </w:r>
      <w:r>
        <w:noBreakHyphen/>
      </w:r>
      <w:r>
        <w:t>18)</w:t>
      </w:r>
    </w:p>
    <w:p w14:paraId="7E449EEC">
      <w:r>
        <w:t xml:space="preserve"> </w:t>
      </w:r>
    </w:p>
    <w:p w14:paraId="518A28B5">
      <w:r>
        <w:rPr>
          <w:rFonts w:hint="eastAsia"/>
        </w:rPr>
        <w:t>式(2-18)是LFMCW测距的核心公式，揭示了该体制将时间域的微小延迟精确映射至频率域的基本机理：传播时延</w:t>
      </w:r>
      <m:oMath>
        <m:r>
          <m:rPr/>
          <m:t>τ</m:t>
        </m:r>
      </m:oMath>
      <w:r>
        <w:rPr>
          <w:rFonts w:hint="eastAsia"/>
        </w:rPr>
        <w:t>乘以调频斜率</w:t>
      </w:r>
      <m:oMath>
        <m:r>
          <m:rPr/>
          <m:t>K</m:t>
        </m:r>
      </m:oMath>
      <w:r>
        <w:rPr>
          <w:rFonts w:hint="eastAsia"/>
        </w:rPr>
        <w:t>即得差频信号频率</w:t>
      </w:r>
      <m:oMath>
        <m:sSub>
          <m:sSubPr/>
          <m:e>
            <m:r>
              <m:rPr/>
              <m:t>f</m:t>
            </m:r>
          </m:e>
          <m:sub>
            <m:r>
              <m:rPr/>
              <m:t>D</m:t>
            </m:r>
          </m:sub>
        </m:sSub>
      </m:oMath>
      <w:r>
        <w:rPr>
          <w:rFonts w:hint="eastAsia"/>
        </w:rPr>
        <w:t>，这一线性关系表明提高调频斜率</w:t>
      </w:r>
      <m:oMath>
        <m:r>
          <m:rPr/>
          <m:t>K</m:t>
        </m:r>
      </m:oMath>
      <w:r>
        <w:rPr>
          <w:rFonts w:hint="eastAsia"/>
        </w:rPr>
        <w:t>（即增大带宽</w:t>
      </w:r>
      <m:oMath>
        <m:r>
          <m:rPr/>
          <m:t>B</m:t>
        </m:r>
      </m:oMath>
      <w:r>
        <w:rPr>
          <w:rFonts w:hint="eastAsia"/>
        </w:rPr>
        <w:t>或缩短周期</w:t>
      </w:r>
      <m:oMath>
        <m:sSub>
          <m:sSubPr/>
          <m:e>
            <m:r>
              <m:rPr/>
              <m:t>T</m:t>
            </m:r>
          </m:e>
          <m:sub>
            <m:r>
              <m:rPr/>
              <m:t>m</m:t>
            </m:r>
          </m:sub>
        </m:sSub>
      </m:oMath>
      <w:r>
        <w:rPr>
          <w:rFonts w:hint="eastAsia"/>
        </w:rPr>
        <w:t>）可增强时延到频率的转换灵敏度。在等离子体诊断的差分测量模式中，分别采集有等离子体和无等离子体（空气基准）状态下的差频信号，两次测量的差频频率差值</w:t>
      </w:r>
      <m:oMath>
        <m:r>
          <m:rPr>
            <m:sty m:val="p"/>
          </m:rPr>
          <m:t>Δ</m:t>
        </m:r>
        <m:sSub>
          <m:sSubPr/>
          <m:e>
            <m:r>
              <m:rPr/>
              <m:t>f</m:t>
            </m:r>
          </m:e>
          <m:sub>
            <m:r>
              <m:rPr/>
              <m:t>D</m:t>
            </m:r>
          </m:sub>
        </m:sSub>
      </m:oMath>
      <w:r>
        <w:rPr>
          <w:rFonts w:hint="eastAsia"/>
        </w:rPr>
        <w:t>对应于等离子体引入的相对时延增量，联立式(2-13)和式(2-18)即可建立从差频频率变化量到电子密度的完整计算链路。</w:t>
      </w:r>
    </w:p>
    <w:p w14:paraId="5C10BAE4">
      <w:r>
        <w:rPr>
          <w:rFonts w:hint="eastAsia"/>
        </w:rPr>
        <w:t>从频率估计精度的角度看，对一段持续时间为</w:t>
      </w:r>
      <m:oMath>
        <m:sSub>
          <m:sSubPr/>
          <m:e>
            <m:r>
              <m:rPr/>
              <m:t>T</m:t>
            </m:r>
          </m:e>
          <m:sub>
            <m:r>
              <m:rPr/>
              <m:t>m</m:t>
            </m:r>
          </m:sub>
        </m:sSub>
      </m:oMath>
      <w:r>
        <w:rPr>
          <w:rFonts w:hint="eastAsia"/>
        </w:rPr>
        <w:t>的差频信号执行</w:t>
      </w:r>
      <m:oMath>
        <m:sSub>
          <m:sSubPr/>
          <m:e>
            <m:r>
              <m:rPr/>
              <m:t>N</m:t>
            </m:r>
          </m:e>
          <m:sub>
            <m:r>
              <m:rPr/>
              <m:t>FFT</m:t>
            </m:r>
          </m:sub>
        </m:sSub>
      </m:oMath>
      <w:r>
        <w:rPr>
          <w:rFonts w:hint="eastAsia"/>
        </w:rPr>
        <w:t>点DFT运算，频率分辨能力由扫频带宽唯一确定，对应的最小可分辨时延增量为：</w:t>
      </w:r>
    </w:p>
    <w:p w14:paraId="508454F3">
      <w:r>
        <w:t xml:space="preserve"> </w:t>
      </w:r>
    </w:p>
    <w:p w14:paraId="44DC3A19">
      <w:pPr>
        <w:pStyle w:val="44"/>
        <w:spacing w:before="0" w:after="0" w:line="400" w:lineRule="atLeast"/>
      </w:pPr>
      <w:r>
        <w:tab/>
      </w:r>
      <m:oMath>
        <m:r>
          <m:rPr>
            <m:sty m:val="p"/>
          </m:rPr>
          <m:t>Δ</m:t>
        </m:r>
        <m:r>
          <m:rPr/>
          <m:t>τ</m:t>
        </m:r>
        <m:r>
          <m:rPr>
            <m:sty m:val="p"/>
          </m:rPr>
          <m:t>=</m:t>
        </m:r>
        <m:f>
          <m:fPr/>
          <m:num>
            <m:r>
              <m:rPr/>
              <m:t>1</m:t>
            </m:r>
          </m:num>
          <m:den>
            <m:r>
              <m:rPr/>
              <m:t>B</m:t>
            </m:r>
          </m:den>
        </m:f>
      </m:oMath>
      <w:r>
        <w:tab/>
      </w:r>
      <w:r>
        <w:t>(2</w:t>
      </w:r>
      <w:r>
        <w:noBreakHyphen/>
      </w:r>
      <w:r>
        <w:t>19)</w:t>
      </w:r>
    </w:p>
    <w:p w14:paraId="498DE8CF">
      <w:r>
        <w:t xml:space="preserve"> </w:t>
      </w:r>
    </w:p>
    <w:p w14:paraId="022EA50E">
      <w:r>
        <w:rPr>
          <w:rFonts w:hint="eastAsia"/>
        </w:rPr>
        <w:t>式(2-19)表明，LFMCW系统的固有时延分辨率仅取决于扫频带宽</w:t>
      </w:r>
      <m:oMath>
        <m:r>
          <m:rPr/>
          <m:t>B</m:t>
        </m:r>
      </m:oMath>
      <w:r>
        <w:rPr>
          <w:rFonts w:hint="eastAsia"/>
        </w:rPr>
        <w:t>，与调频周期</w:t>
      </w:r>
      <m:oMath>
        <m:sSub>
          <m:sSubPr/>
          <m:e>
            <m:r>
              <m:rPr/>
              <m:t>T</m:t>
            </m:r>
          </m:e>
          <m:sub>
            <m:r>
              <m:rPr/>
              <m:t>m</m:t>
            </m:r>
          </m:sub>
        </m:sSub>
      </m:oMath>
      <w:r>
        <w:rPr>
          <w:rFonts w:hint="eastAsia"/>
        </w:rPr>
        <w:t>和FFT点数</w:t>
      </w:r>
      <m:oMath>
        <m:sSub>
          <m:sSubPr/>
          <m:e>
            <m:r>
              <m:rPr/>
              <m:t>N</m:t>
            </m:r>
          </m:e>
          <m:sub>
            <m:r>
              <m:rPr/>
              <m:t>FFT</m:t>
            </m:r>
          </m:sub>
        </m:sSub>
      </m:oMath>
      <w:r>
        <w:rPr>
          <w:rFonts w:hint="eastAsia"/>
        </w:rPr>
        <w:t>无关。在本系统默认的800</w:t>
      </w:r>
      <w:r>
        <w:t xml:space="preserve"> </w:t>
      </w:r>
      <w:r>
        <w:rPr>
          <w:rFonts w:hint="eastAsia"/>
        </w:rPr>
        <w:t>MHz基带扫频带宽配置下，固有分辨率为</w:t>
      </w:r>
      <m:oMath>
        <m:r>
          <m:rPr>
            <m:sty m:val="p"/>
          </m:rPr>
          <m:t>Δ</m:t>
        </m:r>
        <m:r>
          <m:rPr/>
          <m:t>τ</m:t>
        </m:r>
        <m:r>
          <m:rPr>
            <m:sty m:val="p"/>
          </m:rPr>
          <m:t>=</m:t>
        </m:r>
        <m:r>
          <m:rPr/>
          <m:t>1.25</m:t>
        </m:r>
      </m:oMath>
      <w:r>
        <w:t xml:space="preserve"> </w:t>
      </w:r>
      <w:r>
        <w:rPr>
          <w:rFonts w:hint="eastAsia"/>
        </w:rPr>
        <w:t>ns。然而，由于DFT将连续频谱离散化为等间距栅栏点，当差频信号的真实频率并非恰好落在某一栅栏点上时，其频谱能量将泄漏至相邻谱线，该栅栏效应（Picket</w:t>
      </w:r>
      <w:r>
        <w:t xml:space="preserve"> Fence </w:t>
      </w:r>
      <w:r>
        <w:rPr>
          <w:rFonts w:hint="eastAsia"/>
        </w:rPr>
        <w:t>Effect）限制了直接从FFT峰值读取频率值的精度。因此，仅依赖全频段FFT主峰读取难以满足强色散条件下的高精度诊断需求。</w:t>
      </w:r>
    </w:p>
    <w:p w14:paraId="0E1C1708"/>
    <w:p w14:paraId="58722A73"/>
    <w:p w14:paraId="7BABCA3D"/>
    <w:p w14:paraId="0E11CC37"/>
    <w:p w14:paraId="6467E939"/>
    <w:p w14:paraId="0A866A1F"/>
    <w:bookmarkEnd w:id="33"/>
    <w:p w14:paraId="68D19A25">
      <w:pPr>
        <w:pStyle w:val="3"/>
      </w:pPr>
      <w:bookmarkStart w:id="34" w:name="诊断系统硬件架构概述"/>
      <w:r>
        <w:rPr>
          <w:rFonts w:hint="eastAsia"/>
        </w:rPr>
        <w:t>诊断系统硬件架构概述</w:t>
      </w:r>
    </w:p>
    <w:p w14:paraId="1427F294">
      <w:pPr>
        <w:rPr>
          <w:rFonts w:hint="eastAsia"/>
        </w:rPr>
      </w:pPr>
      <w:r>
        <w:rPr>
          <w:rFonts w:hint="eastAsia"/>
        </w:rPr>
        <w:t>上一节建立了LFMCW体制将微小时延映射为可测频率偏移的理论机制。为将这一原理付诸工程实践，本文构建了一套工作于Ka波段的宽带LFMCW诊断系统平台。该系统采用低频扫频、上变频混频、倍频扩带和二次混频搬移相结合的级联超外差方案（图2-3），核心思想是将信号生成的线性度控制集中在低频段（$</w:t>
      </w:r>
      <w:r>
        <w:t xml:space="preserve">$100 </w:t>
      </w:r>
      <w:r>
        <w:rPr>
          <w:rFonts w:hint="eastAsia"/>
        </w:rPr>
        <w:t>MHz），通过后续的频率变换链路将窄带扫频信号逐级搬移至Ka波段（30~40</w:t>
      </w:r>
      <w:r>
        <w:t xml:space="preserve"> </w:t>
      </w:r>
      <w:r>
        <w:rPr>
          <w:rFonts w:hint="eastAsia"/>
        </w:rPr>
        <w:t>GHz）。</w:t>
      </w:r>
    </w:p>
    <w:p w14:paraId="5A161089">
      <w:pPr>
        <w:rPr>
          <w:rFonts w:hint="eastAsia"/>
        </w:rPr>
      </w:pPr>
    </w:p>
    <w:p w14:paraId="45DACB3C">
      <w:pPr>
        <w:spacing w:line="240" w:lineRule="auto"/>
        <w:ind w:firstLine="480"/>
        <w:jc w:val="center"/>
        <w:rPr>
          <w:rFonts w:hint="eastAsia" w:ascii="宋体" w:hAnsi="宋体"/>
          <w:szCs w:val="24"/>
        </w:rPr>
      </w:pPr>
      <w:r>
        <w:drawing>
          <wp:inline distT="0" distB="0" distL="114300" distR="114300">
            <wp:extent cx="4808220" cy="3680460"/>
            <wp:effectExtent l="0" t="0" r="7620" b="7620"/>
            <wp:docPr id="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7"/>
                    <pic:cNvPicPr>
                      <a:picLocks noChangeAspect="1"/>
                    </pic:cNvPicPr>
                  </pic:nvPicPr>
                  <pic:blipFill>
                    <a:blip r:embed="rId21"/>
                    <a:stretch>
                      <a:fillRect/>
                    </a:stretch>
                  </pic:blipFill>
                  <pic:spPr>
                    <a:xfrm>
                      <a:off x="0" y="0"/>
                      <a:ext cx="4808220" cy="3680460"/>
                    </a:xfrm>
                    <a:prstGeom prst="rect">
                      <a:avLst/>
                    </a:prstGeom>
                    <a:noFill/>
                    <a:ln>
                      <a:noFill/>
                    </a:ln>
                  </pic:spPr>
                </pic:pic>
              </a:graphicData>
            </a:graphic>
          </wp:inline>
        </w:drawing>
      </w:r>
    </w:p>
    <w:p w14:paraId="12A8CDEF">
      <w:r>
        <w:rPr>
          <w:rFonts w:hint="eastAsia"/>
        </w:rPr>
        <w:t xml:space="preserve"> </w:t>
      </w:r>
    </w:p>
    <w:p w14:paraId="35161F95">
      <w:pPr>
        <w:pStyle w:val="43"/>
        <w:bidi w:val="0"/>
      </w:pPr>
      <w:r>
        <w:rPr>
          <w:rFonts w:hint="eastAsia"/>
        </w:rPr>
        <w:t>线性调频连续波诊断系统方案示意图</w:t>
      </w:r>
    </w:p>
    <w:p w14:paraId="469A5BB9">
      <w:pPr>
        <w:rPr>
          <w:rFonts w:hint="eastAsia"/>
        </w:rPr>
      </w:pPr>
      <w:r>
        <w:rPr>
          <w:rFonts w:hint="eastAsia"/>
        </w:rPr>
        <w:t>如图2</w:t>
      </w:r>
      <w:r>
        <w:rPr>
          <w:rFonts w:hint="eastAsia"/>
          <w:lang w:val="en-US" w:eastAsia="zh-CN"/>
        </w:rPr>
        <w:t>.1</w:t>
      </w:r>
      <w:r>
        <w:rPr>
          <w:rFonts w:hint="eastAsia"/>
        </w:rPr>
        <w:t>所示，系统射频前端链路在信号流向上可划分为发射变频、信号分配与收发、接收解调三个功能模块。在发射通路中，泰克任意波形发生器（AWG70001A）产生中心频率约100~200</w:t>
      </w:r>
      <w:r>
        <w:t xml:space="preserve"> </w:t>
      </w:r>
      <w:r>
        <w:rPr>
          <w:rFonts w:hint="eastAsia"/>
        </w:rPr>
        <w:t>MHz、带宽100</w:t>
      </w:r>
      <w:r>
        <w:t xml:space="preserve"> </w:t>
      </w:r>
      <w:r>
        <w:rPr>
          <w:rFonts w:hint="eastAsia"/>
        </w:rPr>
        <w:t>MHz的基带线性调频信号，经第一级混频器上混频至1.65~1.75</w:t>
      </w:r>
      <w:r>
        <w:t xml:space="preserve"> </w:t>
      </w:r>
      <w:r>
        <w:rPr>
          <w:rFonts w:hint="eastAsia"/>
        </w:rPr>
        <w:t>GHz区间后，进入由三级无源二倍频器串联构成的八倍频链路，将带宽从100</w:t>
      </w:r>
      <w:r>
        <w:t xml:space="preserve"> </w:t>
      </w:r>
      <w:r>
        <w:rPr>
          <w:rFonts w:hint="eastAsia"/>
        </w:rPr>
        <w:t>MHz扩展至800</w:t>
      </w:r>
      <w:r>
        <w:t xml:space="preserve"> </w:t>
      </w:r>
      <w:r>
        <w:rPr>
          <w:rFonts w:hint="eastAsia"/>
        </w:rPr>
        <w:t>MHz。经八倍频后的13.2~14</w:t>
      </w:r>
      <w:r>
        <w:t xml:space="preserve"> </w:t>
      </w:r>
      <w:r>
        <w:rPr>
          <w:rFonts w:hint="eastAsia"/>
        </w:rPr>
        <w:t>GHz信号再经第二级混频器与21</w:t>
      </w:r>
      <w:r>
        <w:t xml:space="preserve"> </w:t>
      </w:r>
      <w:r>
        <w:rPr>
          <w:rFonts w:hint="eastAsia"/>
        </w:rPr>
        <w:t>GHz可调本振进行上混频，完成至Ka波段的搬移，获得中心频率约34.6</w:t>
      </w:r>
      <w:r>
        <w:t xml:space="preserve"> </w:t>
      </w:r>
      <w:r>
        <w:rPr>
          <w:rFonts w:hint="eastAsia"/>
        </w:rPr>
        <w:t>GHz、带宽800</w:t>
      </w:r>
      <w:r>
        <w:t xml:space="preserve"> </w:t>
      </w:r>
      <w:r>
        <w:rPr>
          <w:rFonts w:hint="eastAsia"/>
        </w:rPr>
        <w:t>MHz的发射信号。</w:t>
      </w:r>
    </w:p>
    <w:p w14:paraId="25975B13">
      <w:pPr>
        <w:rPr>
          <w:rFonts w:hint="eastAsia"/>
        </w:rPr>
      </w:pPr>
    </w:p>
    <w:p w14:paraId="7CA7D00D">
      <w:pPr>
        <w:rPr>
          <w:rFonts w:hint="eastAsia"/>
        </w:rPr>
      </w:pPr>
    </w:p>
    <w:p w14:paraId="38797936">
      <w:pPr>
        <w:rPr>
          <w:rFonts w:hint="eastAsia"/>
          <w:lang w:val="en-US"/>
        </w:rPr>
      </w:pPr>
    </w:p>
    <w:p w14:paraId="44184051">
      <w:pPr>
        <w:spacing w:line="240" w:lineRule="auto"/>
        <w:ind w:firstLine="480"/>
        <w:jc w:val="center"/>
        <w:rPr>
          <w:rFonts w:hint="eastAsia" w:ascii="宋体" w:hAnsi="宋体" w:eastAsia="宋体"/>
          <w:szCs w:val="24"/>
          <w:lang w:eastAsia="zh-CN"/>
        </w:rPr>
      </w:pPr>
      <w:r>
        <w:rPr>
          <w:rFonts w:hint="eastAsia" w:ascii="宋体" w:hAnsi="宋体" w:eastAsia="宋体"/>
          <w:szCs w:val="24"/>
          <w:lang w:eastAsia="zh-CN"/>
        </w:rPr>
        <w:drawing>
          <wp:inline distT="0" distB="0" distL="114300" distR="114300">
            <wp:extent cx="4700270" cy="2639060"/>
            <wp:effectExtent l="0" t="0" r="8890" b="12700"/>
            <wp:docPr id="4" name="图片 4" descr="jixi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jixiang"/>
                    <pic:cNvPicPr>
                      <a:picLocks noChangeAspect="1"/>
                    </pic:cNvPicPr>
                  </pic:nvPicPr>
                  <pic:blipFill>
                    <a:blip r:embed="rId22"/>
                    <a:stretch>
                      <a:fillRect/>
                    </a:stretch>
                  </pic:blipFill>
                  <pic:spPr>
                    <a:xfrm>
                      <a:off x="0" y="0"/>
                      <a:ext cx="4700270" cy="2639060"/>
                    </a:xfrm>
                    <a:prstGeom prst="rect">
                      <a:avLst/>
                    </a:prstGeom>
                  </pic:spPr>
                </pic:pic>
              </a:graphicData>
            </a:graphic>
          </wp:inline>
        </w:drawing>
      </w:r>
    </w:p>
    <w:p w14:paraId="7F5BFD2D">
      <w:r>
        <w:rPr>
          <w:rFonts w:hint="eastAsia"/>
        </w:rPr>
        <w:t xml:space="preserve"> </w:t>
      </w:r>
    </w:p>
    <w:p w14:paraId="2BAAC384">
      <w:pPr>
        <w:pStyle w:val="43"/>
        <w:bidi w:val="0"/>
        <w:rPr>
          <w:rFonts w:hint="default"/>
          <w:lang w:val="en-US" w:eastAsia="zh-CN"/>
        </w:rPr>
      </w:pPr>
      <w:r>
        <w:rPr>
          <w:rFonts w:hint="eastAsia"/>
        </w:rPr>
        <w:t>诊断系统</w:t>
      </w:r>
      <w:r>
        <w:rPr>
          <w:rFonts w:hint="eastAsia"/>
          <w:lang w:val="en-US" w:eastAsia="zh-CN"/>
        </w:rPr>
        <w:t>工作状态图</w:t>
      </w:r>
    </w:p>
    <w:p w14:paraId="06B5CCBD">
      <w:r>
        <w:rPr>
          <w:rFonts w:hint="eastAsia"/>
        </w:rPr>
        <w:t>在收发链路中，定向耦合器将发射信号分为两路：主路经发射天线向待测等离子体辐射宽带LFMCW探测信号，耦合路则被引出作为接收端解调的本振参考。经接收天线拾取的透射信号首先通过低噪声放大器提升信噪比，随后与本振参考信号完成自混频解调，所得差频信号经低通滤波与高速数字化采集后，由离线算法完成后续的信号处理与参数反演。</w:t>
      </w:r>
    </w:p>
    <w:p w14:paraId="4CB15CF0">
      <w:r>
        <w:rPr>
          <w:rFonts w:hint="eastAsia"/>
        </w:rPr>
        <w:t>该架构的一个重要设计优势在于系统发射信号中心频率的灵活可调性——通过改变第二级混频的本振频率，可在不改动链路硬件的情况下将发射信号中心频率在30~40</w:t>
      </w:r>
      <w:r>
        <w:t xml:space="preserve"> </w:t>
      </w:r>
      <w:r>
        <w:rPr>
          <w:rFonts w:hint="eastAsia"/>
        </w:rPr>
        <w:t>GHz范围内连续调节，根据待测等离子体的预估截止频率灵活选择诊断频段。在差分测量层面，诊断中关注的核心物理量并非差频频率的绝对值，而是有、无被测介质两种状态下差频频率的变化量</w:t>
      </w:r>
      <m:oMath>
        <m:r>
          <m:rPr>
            <m:sty m:val="p"/>
          </m:rPr>
          <m:t>Δ</m:t>
        </m:r>
        <m:sSub>
          <m:sSubPr/>
          <m:e>
            <m:r>
              <m:rPr/>
              <m:t>f</m:t>
            </m:r>
          </m:e>
          <m:sub>
            <m:r>
              <m:rPr/>
              <m:t>D</m:t>
            </m:r>
          </m:sub>
        </m:sSub>
      </m:oMath>
      <w:r>
        <w:rPr>
          <w:rFonts w:hint="eastAsia"/>
        </w:rPr>
        <w:t>，该策略可有效消除系统固有电延迟等共模误差源。此外，通过更换链路中的关键混频器与带通滤波器，系统具备由800</w:t>
      </w:r>
      <w:r>
        <w:t xml:space="preserve"> </w:t>
      </w:r>
      <w:r>
        <w:rPr>
          <w:rFonts w:hint="eastAsia"/>
        </w:rPr>
        <w:t>MHz进一步扩展至3</w:t>
      </w:r>
      <w:r>
        <w:t xml:space="preserve"> </w:t>
      </w:r>
      <w:r>
        <w:rPr>
          <w:rFonts w:hint="eastAsia"/>
        </w:rPr>
        <w:t>GHz扫频带宽的能力。相应的硬件实现、扩带设计、分辨率标定及等效验证结果将在第五章中系统给出。</w:t>
      </w:r>
    </w:p>
    <w:p w14:paraId="5E4991E0"/>
    <w:bookmarkEnd w:id="34"/>
    <w:p w14:paraId="4DB21437">
      <w:pPr>
        <w:pStyle w:val="3"/>
      </w:pPr>
      <w:bookmarkStart w:id="35" w:name="色散效应对lfmcw时延测量的影响"/>
      <w:r>
        <w:rPr>
          <w:rFonts w:hint="eastAsia"/>
        </w:rPr>
        <w:t>色散效应对LFMCW时延测量的影响</w:t>
      </w:r>
    </w:p>
    <w:p w14:paraId="01170A07">
      <w:r>
        <w:rPr>
          <w:rFonts w:hint="eastAsia"/>
        </w:rPr>
        <w:t>前述2.3节的差频测距机制与2.4节的硬件系统均建立在一个理想化前提之上：传播时延</w:t>
      </w:r>
      <m:oMath>
        <m:r>
          <m:rPr/>
          <m:t>τ</m:t>
        </m:r>
      </m:oMath>
      <w:r>
        <w:rPr>
          <w:rFonts w:hint="eastAsia"/>
        </w:rPr>
        <w:t>在整个扫频带宽内为常数。然而，当诊断对象为等离子体这样的色散介质时，这一前提将不再成立。本节深入分析色散效应导致差频信号畸变的物理机理，并论证传统诊断方法在面对强色散效应时所遭遇的根本性局限，以此说明后续方法调整的必要性。</w:t>
      </w:r>
    </w:p>
    <w:p w14:paraId="567D2B6D">
      <w:pPr>
        <w:pStyle w:val="4"/>
      </w:pPr>
      <w:bookmarkStart w:id="36" w:name="色散介质下的时变时延与差频信号畸变"/>
      <w:r>
        <w:rPr>
          <w:rFonts w:hint="eastAsia"/>
        </w:rPr>
        <w:t>色散介质下的时变时延与差频信号畸变</w:t>
      </w:r>
    </w:p>
    <w:p w14:paraId="693855CB">
      <w:r>
        <w:rPr>
          <w:rFonts w:hint="eastAsia"/>
        </w:rPr>
        <w:t>等离子体的群速度是频率的函数</w:t>
      </w:r>
      <m:oMath>
        <m:sSub>
          <m:sSubPr/>
          <m:e>
            <m:r>
              <m:rPr/>
              <m:t>v</m:t>
            </m:r>
          </m:e>
          <m:sub>
            <m:r>
              <m:rPr/>
              <m:t>g</m:t>
            </m:r>
          </m:sub>
        </m:sSub>
        <m:r>
          <m:rPr>
            <m:sty m:val="p"/>
          </m:rPr>
          <m:t>(</m:t>
        </m:r>
        <m:r>
          <m:rPr/>
          <m:t>ω</m:t>
        </m:r>
        <m:r>
          <m:rPr>
            <m:sty m:val="p"/>
          </m:rPr>
          <m:t>)=</m:t>
        </m:r>
        <m:r>
          <m:rPr/>
          <m:t>c</m:t>
        </m:r>
        <m:rad>
          <m:radPr>
            <m:degHide m:val="1"/>
          </m:radPr>
          <m:deg/>
          <m:e>
            <m:r>
              <m:rPr/>
              <m:t>1</m:t>
            </m:r>
            <m:r>
              <m:rPr>
                <m:sty m:val="p"/>
              </m:rPr>
              <m:t>−(</m:t>
            </m:r>
            <m:sSub>
              <m:sSubPr/>
              <m:e>
                <m:r>
                  <m:rPr/>
                  <m:t>ω</m:t>
                </m:r>
              </m:e>
              <m:sub>
                <m:r>
                  <m:rPr/>
                  <m:t>p</m:t>
                </m:r>
              </m:sub>
            </m:sSub>
            <m:r>
              <m:rPr>
                <m:sty m:val="p"/>
              </m:rPr>
              <m:t>/</m:t>
            </m:r>
            <m:r>
              <m:rPr/>
              <m:t>ω</m:t>
            </m:r>
            <m:sSup>
              <m:sSupPr/>
              <m:e>
                <m:r>
                  <m:rPr>
                    <m:sty m:val="p"/>
                  </m:rPr>
                  <m:t>)</m:t>
                </m:r>
              </m:e>
              <m:sup>
                <m:r>
                  <m:rPr/>
                  <m:t>2</m:t>
                </m:r>
              </m:sup>
            </m:sSup>
          </m:e>
        </m:rad>
      </m:oMath>
      <w:r>
        <w:rPr>
          <w:rFonts w:hint="eastAsia"/>
        </w:rPr>
        <w:t>，不同频率分量在穿过等离子体时经历的群时延各不相同。当LFMCW信号的扫频带宽较大或等离子体的截止频率接近诊断频段时，这种频率依赖的时延差异将对差频信号的特性产生本质性的影响。</w:t>
      </w:r>
    </w:p>
    <w:p w14:paraId="42AE6CB4">
      <w:r>
        <w:rPr>
          <w:rFonts w:hint="eastAsia"/>
        </w:rPr>
        <w:t>在LFMCW体制下，发射信号的瞬时频率按</w:t>
      </w:r>
      <m:oMath>
        <m:r>
          <m:rPr/>
          <m:t>f</m:t>
        </m:r>
        <m:r>
          <m:rPr>
            <m:sty m:val="p"/>
          </m:rPr>
          <m:t>(</m:t>
        </m:r>
        <m:r>
          <m:rPr/>
          <m:t>t</m:t>
        </m:r>
        <m:r>
          <m:rPr>
            <m:sty m:val="p"/>
          </m:rPr>
          <m:t>)=</m:t>
        </m:r>
        <m:sSub>
          <m:sSubPr/>
          <m:e>
            <m:r>
              <m:rPr/>
              <m:t>f</m:t>
            </m:r>
          </m:e>
          <m:sub>
            <m:r>
              <m:rPr/>
              <m:t>0</m:t>
            </m:r>
          </m:sub>
        </m:sSub>
        <m:r>
          <m:rPr>
            <m:sty m:val="p"/>
          </m:rPr>
          <m:t>+</m:t>
        </m:r>
        <m:r>
          <m:rPr/>
          <m:t>Kt</m:t>
        </m:r>
      </m:oMath>
      <w:r>
        <w:rPr>
          <w:rFonts w:hint="eastAsia"/>
        </w:rPr>
        <w:t>随时间线性扫描。由于等离子体对不同频率的电磁波施加不同的群时延</w:t>
      </w:r>
      <m:oMath>
        <m:sSub>
          <m:sSubPr/>
          <m:e>
            <m:r>
              <m:rPr/>
              <m:t>τ</m:t>
            </m:r>
          </m:e>
          <m:sub>
            <m:r>
              <m:rPr/>
              <m:t>g</m:t>
            </m:r>
          </m:sub>
        </m:sSub>
        <m:r>
          <m:rPr>
            <m:sty m:val="p"/>
          </m:rPr>
          <m:t>(</m:t>
        </m:r>
        <m:r>
          <m:rPr/>
          <m:t>f</m:t>
        </m:r>
        <m:r>
          <m:rPr>
            <m:sty m:val="p"/>
          </m:rPr>
          <m:t>)</m:t>
        </m:r>
      </m:oMath>
      <w:r>
        <w:rPr>
          <w:rFonts w:hint="eastAsia"/>
        </w:rPr>
        <w:t>，在一个扫频周期内，信号不同时刻的频率分量经历的传播延迟也随之变化。将</w:t>
      </w:r>
      <m:oMath>
        <m:r>
          <m:rPr/>
          <m:t>f</m:t>
        </m:r>
        <m:r>
          <m:rPr>
            <m:sty m:val="p"/>
          </m:rPr>
          <m:t>=</m:t>
        </m:r>
        <m:sSub>
          <m:sSubPr/>
          <m:e>
            <m:r>
              <m:rPr/>
              <m:t>f</m:t>
            </m:r>
          </m:e>
          <m:sub>
            <m:r>
              <m:rPr/>
              <m:t>0</m:t>
            </m:r>
          </m:sub>
        </m:sSub>
        <m:r>
          <m:rPr>
            <m:sty m:val="p"/>
          </m:rPr>
          <m:t>+</m:t>
        </m:r>
        <m:r>
          <m:rPr/>
          <m:t>Kt</m:t>
        </m:r>
      </m:oMath>
      <w:r>
        <w:rPr>
          <w:rFonts w:hint="eastAsia"/>
        </w:rPr>
        <w:t>代入群时延的频率依赖关系中，可得到传播时延对时间的隐式函数</w:t>
      </w:r>
      <m:oMath>
        <m:sSub>
          <m:sSubPr/>
          <m:e>
            <m:r>
              <m:rPr/>
              <m:t>τ</m:t>
            </m:r>
          </m:e>
          <m:sub>
            <m:r>
              <m:rPr/>
              <m:t>g</m:t>
            </m:r>
          </m:sub>
        </m:sSub>
        <m:r>
          <m:rPr>
            <m:sty m:val="p"/>
          </m:rPr>
          <m:t>(</m:t>
        </m:r>
        <m:r>
          <m:rPr/>
          <m:t>t</m:t>
        </m:r>
        <m:r>
          <m:rPr>
            <m:sty m:val="p"/>
          </m:rPr>
          <m:t>)=</m:t>
        </m:r>
        <m:sSub>
          <m:sSubPr/>
          <m:e>
            <m:r>
              <m:rPr/>
              <m:t>τ</m:t>
            </m:r>
          </m:e>
          <m:sub>
            <m:r>
              <m:rPr/>
              <m:t>g</m:t>
            </m:r>
          </m:sub>
        </m:sSub>
        <m:r>
          <m:rPr>
            <m:sty m:val="p"/>
          </m:rPr>
          <m:t>(</m:t>
        </m:r>
        <m:r>
          <m:rPr/>
          <m:t>f</m:t>
        </m:r>
        <m:r>
          <m:rPr>
            <m:sty m:val="p"/>
          </m:rPr>
          <m:t>(</m:t>
        </m:r>
        <m:r>
          <m:rPr/>
          <m:t>t</m:t>
        </m:r>
        <m:r>
          <m:rPr>
            <m:sty m:val="p"/>
          </m:rPr>
          <m:t>))</m:t>
        </m:r>
      </m:oMath>
      <w:r>
        <w:rPr>
          <w:rFonts w:hint="eastAsia"/>
        </w:rPr>
        <w:t>。其结果是，接收信号不再是发射信号的简单延时拷贝，混频后的差频信号也不再保持理想的恒频正弦形式，而会呈现明显的时变频特征。</w:t>
      </w:r>
    </w:p>
    <w:p w14:paraId="3F392A3D">
      <w:pPr>
        <w:rPr>
          <w:rFonts w:hint="eastAsia"/>
        </w:rPr>
      </w:pPr>
      <w:r>
        <w:rPr>
          <w:rFonts w:hint="eastAsia"/>
          <w:lang w:val="en-US" w:eastAsia="zh-CN"/>
        </w:rPr>
        <w:t>下</w:t>
      </w:r>
      <w:r>
        <w:rPr>
          <w:rFonts w:hint="eastAsia"/>
        </w:rPr>
        <w:t>图给出了非色散与强色散条件下的直观对比：如图2-2(a)、(b)所示，在非色散条件下，发射与接收信号的瞬时频率线保持近似平行，差频频率基本恒定；而在强色散条件下，接收信号频率线发生明显弯曲，差频频率随时间变化，传统整段FFT单峰读取所依赖的物理前提被破坏。关于时变时延模型的解析展开，第三章将进一步给出定量推导。</w:t>
      </w:r>
    </w:p>
    <w:p w14:paraId="33C01F81">
      <w:pPr>
        <w:rPr>
          <w:rFonts w:hint="eastAsia"/>
        </w:rPr>
      </w:pPr>
    </w:p>
    <w:p w14:paraId="24E48916">
      <w:pPr>
        <w:spacing w:line="240" w:lineRule="auto"/>
        <w:ind w:firstLine="480"/>
        <w:jc w:val="center"/>
        <w:rPr>
          <w:rFonts w:hint="eastAsia" w:ascii="宋体" w:hAnsi="宋体" w:eastAsia="宋体"/>
          <w:szCs w:val="24"/>
          <w:lang w:eastAsia="zh-CN"/>
        </w:rPr>
      </w:pPr>
      <w:r>
        <w:rPr>
          <w:rFonts w:hint="eastAsia" w:ascii="宋体" w:hAnsi="宋体" w:eastAsia="宋体"/>
          <w:szCs w:val="24"/>
          <w:lang w:eastAsia="zh-CN"/>
        </w:rPr>
        <w:drawing>
          <wp:inline distT="0" distB="0" distL="114300" distR="114300">
            <wp:extent cx="4963795" cy="2853690"/>
            <wp:effectExtent l="0" t="0" r="4445" b="11430"/>
            <wp:docPr id="7" name="图片 7" descr="fig_2_2_dispersion_comparison_layout_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_2_2_dispersion_comparison_layout_fixed"/>
                    <pic:cNvPicPr>
                      <a:picLocks noChangeAspect="1"/>
                    </pic:cNvPicPr>
                  </pic:nvPicPr>
                  <pic:blipFill>
                    <a:blip r:embed="rId23"/>
                    <a:stretch>
                      <a:fillRect/>
                    </a:stretch>
                  </pic:blipFill>
                  <pic:spPr>
                    <a:xfrm>
                      <a:off x="0" y="0"/>
                      <a:ext cx="4963795" cy="2853690"/>
                    </a:xfrm>
                    <a:prstGeom prst="rect">
                      <a:avLst/>
                    </a:prstGeom>
                  </pic:spPr>
                </pic:pic>
              </a:graphicData>
            </a:graphic>
          </wp:inline>
        </w:drawing>
      </w:r>
    </w:p>
    <w:p w14:paraId="51806899">
      <w:r>
        <w:rPr>
          <w:rFonts w:hint="eastAsia"/>
        </w:rPr>
        <w:t xml:space="preserve"> </w:t>
      </w:r>
    </w:p>
    <w:p w14:paraId="1B7175A4">
      <w:pPr>
        <w:pStyle w:val="43"/>
        <w:bidi w:val="0"/>
      </w:pPr>
      <w:r>
        <w:rPr>
          <w:rFonts w:hint="eastAsia"/>
        </w:rPr>
        <w:t>LFMCW扫频信号及差频信号瞬时频率曲线对比（非色散与强色散）</w:t>
      </w:r>
    </w:p>
    <w:p w14:paraId="6CEB0E88"/>
    <w:bookmarkEnd w:id="36"/>
    <w:p w14:paraId="6F76FE32">
      <w:pPr>
        <w:pStyle w:val="4"/>
      </w:pPr>
      <w:bookmarkStart w:id="37" w:name="传统诊断方法的局限性与方法调整动因"/>
      <w:r>
        <w:rPr>
          <w:rFonts w:hint="eastAsia"/>
        </w:rPr>
        <w:t>传统诊断方法的局限性与方法调整动因</w:t>
      </w:r>
    </w:p>
    <w:p w14:paraId="4BF15C89">
      <w:r>
        <w:rPr>
          <w:rFonts w:hint="eastAsia"/>
        </w:rPr>
        <w:t>上节从信号层面揭示了色散效应对差频信号的破坏机理——时变时延导致理想的恒频正弦波假设失效。本节进一步分析传统诊断方法在强色散条件下面临的基本局限。</w:t>
      </w:r>
    </w:p>
    <w:p w14:paraId="5D05E2FB">
      <w:r>
        <w:rPr>
          <w:rFonts w:hint="eastAsia"/>
        </w:rPr>
        <w:t>传统LFMCW单峰检测方法的有效性建立在差频信号近似为恒频正弦波的前提之上，而这一前提仅在弱色散条件下近似成立。当截止频率逼近诊断频段时，群时延在扫频带宽内呈现显著的频率依赖性，差频信号将偏离理想单频形式，整段FFT主峰读取难以稳定对应真实传播时延。</w:t>
      </w:r>
    </w:p>
    <w:p w14:paraId="4292BA20">
      <w:r>
        <w:rPr>
          <w:rFonts w:hint="eastAsia"/>
        </w:rPr>
        <w:t>进一步地，式(2-13)给出的电子密度线性反演关系同样建立在弱色散近似之上。当</w:t>
      </w:r>
      <m:oMath>
        <m:r>
          <m:rPr/>
          <m:t>f</m:t>
        </m:r>
      </m:oMath>
      <w:r>
        <w:rPr>
          <w:rFonts w:hint="eastAsia"/>
        </w:rPr>
        <w:t>不再远大于</w:t>
      </w:r>
      <m:oMath>
        <m:sSub>
          <m:sSubPr/>
          <m:e>
            <m:r>
              <m:rPr/>
              <m:t>f</m:t>
            </m:r>
          </m:e>
          <m:sub>
            <m:r>
              <m:rPr/>
              <m:t>p</m:t>
            </m:r>
          </m:sub>
        </m:sSub>
      </m:oMath>
      <w:r>
        <w:rPr>
          <w:rFonts w:hint="eastAsia"/>
        </w:rPr>
        <w:t>时，群时延与电子密度之间的映射关系将表现出明显非线性，此时仅凭单一时延读数已难以支撑稳定反演。</w:t>
      </w:r>
    </w:p>
    <w:p w14:paraId="39B4F293">
      <w:r>
        <w:rPr>
          <w:rFonts w:hint="eastAsia"/>
        </w:rPr>
        <w:t>因此，强色散条件下的诊断问题不宜继续停留在”单峰检测—单值时延”的传统范式，而应转向从差频信号的时频演化中提取频率—群时延轨迹特征，并据此开展参数反演。关于色散机理的定量建模与传统方法的适用边界，第三章将进一步展开；基于轨迹特征的提取与反演方法则在第四章中给出。</w:t>
      </w:r>
    </w:p>
    <w:p w14:paraId="29BAF690"/>
    <w:bookmarkEnd w:id="35"/>
    <w:bookmarkEnd w:id="37"/>
    <w:p w14:paraId="138E04D8">
      <w:pPr>
        <w:pStyle w:val="3"/>
      </w:pPr>
      <w:bookmarkStart w:id="38" w:name="本章小结"/>
      <w:r>
        <w:rPr>
          <w:rFonts w:hint="eastAsia"/>
        </w:rPr>
        <w:t>本章小结</w:t>
      </w:r>
    </w:p>
    <w:p w14:paraId="6EF672E6">
      <w:r>
        <w:rPr>
          <w:rFonts w:hint="eastAsia"/>
        </w:rPr>
        <w:t>本章建立了等离子体电磁特性与LFMCW时延诊断方法的理论基础框架，主要工作和结论归纳如下。</w:t>
      </w:r>
    </w:p>
    <w:p w14:paraId="16BBE36B">
      <w:r>
        <w:rPr>
          <w:rFonts w:hint="eastAsia"/>
        </w:rPr>
        <w:t>在等离子体电磁特性方面，基于Drude自由电子气模型，从朗之万方程出发推导了非磁化等离子体的复相对介电常数表达式。通过将复介电常数代入波动方程，获得了电磁波在等离子体中的衰减常数</w:t>
      </w:r>
      <m:oMath>
        <m:r>
          <m:rPr/>
          <m:t>α</m:t>
        </m:r>
      </m:oMath>
      <w:r>
        <w:rPr>
          <w:rFonts w:hint="eastAsia"/>
        </w:rPr>
        <w:t>和相位常数</w:t>
      </w:r>
      <m:oMath>
        <m:r>
          <m:rPr/>
          <m:t>β</m:t>
        </m:r>
      </m:oMath>
      <w:r>
        <w:rPr>
          <w:rFonts w:hint="eastAsia"/>
        </w:rPr>
        <w:t>的完整解析形式。在高频弱碰撞近似条件下，建立了附加相移和相对传播时延与等离子体参数之间的定量关系，明确了电子密度</w:t>
      </w:r>
      <m:oMath>
        <m:sSub>
          <m:sSubPr/>
          <m:e>
            <m:r>
              <m:rPr/>
              <m:t>n</m:t>
            </m:r>
          </m:e>
          <m:sub>
            <m:r>
              <m:rPr/>
              <m:t>e</m:t>
            </m:r>
          </m:sub>
        </m:sSub>
      </m:oMath>
      <w:r>
        <w:rPr>
          <w:rFonts w:hint="eastAsia"/>
        </w:rPr>
        <w:t>或等效截止频率</w:t>
      </w:r>
      <m:oMath>
        <m:sSub>
          <m:sSubPr/>
          <m:e>
            <m:r>
              <m:rPr/>
              <m:t>f</m:t>
            </m:r>
          </m:e>
          <m:sub>
            <m:r>
              <m:rPr/>
              <m:t>p</m:t>
            </m:r>
          </m:sub>
        </m:sSub>
      </m:oMath>
      <w:r>
        <w:rPr>
          <w:rFonts w:hint="eastAsia"/>
        </w:rPr>
        <w:t>对群时延的主导作用，以及碰撞频率</w:t>
      </w:r>
      <m:oMath>
        <m:sSub>
          <m:sSubPr/>
          <m:e>
            <m:r>
              <m:rPr/>
              <m:t>ν</m:t>
            </m:r>
          </m:e>
          <m:sub>
            <m:r>
              <m:rPr/>
              <m:t>e</m:t>
            </m:r>
          </m:sub>
        </m:sSub>
      </m:oMath>
      <w:r>
        <w:rPr>
          <w:rFonts w:hint="eastAsia"/>
        </w:rPr>
        <w:t>主要影响幅度衰减并仅以二阶微扰进入群时延表达式的物理特征。</w:t>
      </w:r>
    </w:p>
    <w:p w14:paraId="3DEC5F61">
      <w:r>
        <w:rPr>
          <w:rFonts w:hint="eastAsia"/>
        </w:rPr>
        <w:t>在LFMCW差频测距方面，建立了锯齿波调制的LFMCW信号数学模型，推导了差频信号频率与传播时延之间的线性映射关系</w:t>
      </w:r>
      <m:oMath>
        <m:sSub>
          <m:sSubPr/>
          <m:e>
            <m:r>
              <m:rPr/>
              <m:t>f</m:t>
            </m:r>
          </m:e>
          <m:sub>
            <m:r>
              <m:rPr/>
              <m:t>D</m:t>
            </m:r>
          </m:sub>
        </m:sSub>
        <m:r>
          <m:rPr>
            <m:sty m:val="p"/>
          </m:rPr>
          <m:t>=</m:t>
        </m:r>
        <m:r>
          <m:rPr/>
          <m:t>Kτ</m:t>
        </m:r>
      </m:oMath>
      <w:r>
        <w:rPr>
          <w:rFonts w:hint="eastAsia"/>
        </w:rPr>
        <w:t>，揭示了LFMCW体制将时域微小延迟精确映射至频域可测频率偏移的核心机制，并明确了系统固有时延分辨率</w:t>
      </w:r>
      <m:oMath>
        <m:r>
          <m:rPr>
            <m:sty m:val="p"/>
          </m:rPr>
          <m:t>Δ</m:t>
        </m:r>
        <m:r>
          <m:rPr/>
          <m:t>τ</m:t>
        </m:r>
        <m:r>
          <m:rPr>
            <m:sty m:val="p"/>
          </m:rPr>
          <m:t>=</m:t>
        </m:r>
        <m:r>
          <m:rPr/>
          <m:t>1</m:t>
        </m:r>
        <m:r>
          <m:rPr>
            <m:sty m:val="p"/>
          </m:rPr>
          <m:t>/</m:t>
        </m:r>
        <m:r>
          <m:rPr/>
          <m:t>B</m:t>
        </m:r>
      </m:oMath>
      <w:r>
        <w:rPr>
          <w:rFonts w:hint="eastAsia"/>
        </w:rPr>
        <w:t>仅取决于扫频带宽的基本规律。在此基础上概述了诊断系统采用的级联超外差架构设计，该架构兼顾了宽带信号生成的线性度控制与谐波抑制要求，并通过外部可调本振注入方式赋予了系统30~40</w:t>
      </w:r>
      <w:r>
        <w:t xml:space="preserve"> </w:t>
      </w:r>
      <w:r>
        <w:rPr>
          <w:rFonts w:hint="eastAsia"/>
        </w:rPr>
        <w:t>GHz范围内的频率灵活调节能力。</w:t>
      </w:r>
    </w:p>
    <w:p w14:paraId="6767EEA2">
      <w:r>
        <w:rPr>
          <w:rFonts w:hint="eastAsia"/>
        </w:rPr>
        <w:t>在色散效应分析方面，本章说明了当传播时延由常数转化为频率相关函数后，LFMCW差频信号将偏离理想单频正弦形式，传统全频段FFT单峰读取与弱色散线性反演公式的适用前提均受到破坏。这一结果表明，强色散条件下的诊断过程需要从单值测量转向轨迹特征分析。相关色散机理的定量分析及其工程判据将在第三章中进一步展开，基于轨迹特征的提取与参数反演方法则在第四章中系统建立。</w:t>
      </w:r>
    </w:p>
    <w:p w14:paraId="7B134267">
      <w:r>
        <w:rPr>
          <w:rFonts w:hint="eastAsia"/>
        </w:rPr>
        <w:t>本章所建立的理论体系和硬件平台为后续章节的深入研究提供了必要基础。</w:t>
      </w:r>
    </w:p>
    <w:bookmarkEnd w:id="28"/>
    <w:bookmarkEnd w:id="38"/>
    <w:p w14:paraId="77840337">
      <w:pPr>
        <w:pStyle w:val="2"/>
      </w:pPr>
      <w:bookmarkStart w:id="39" w:name="色散信道的物理建模与信号分析方法"/>
      <w:r>
        <w:rPr>
          <w:rFonts w:hint="eastAsia"/>
        </w:rPr>
        <w:t>宽带信号在色散介质中的传播机理与方法失效分析</w:t>
      </w:r>
    </w:p>
    <w:p w14:paraId="2956A2F3">
      <w:pPr>
        <w:pStyle w:val="3"/>
      </w:pPr>
      <w:bookmarkStart w:id="40" w:name="引言"/>
      <w:r>
        <w:rPr>
          <w:rFonts w:hint="eastAsia"/>
        </w:rPr>
        <w:t>引言</w:t>
      </w:r>
    </w:p>
    <w:p w14:paraId="451970E0">
      <w:r>
        <w:rPr>
          <w:rFonts w:hint="eastAsia"/>
        </w:rPr>
        <w:t>第二章已经从现象层面指出,在强色散条件下传统基于单峰差频读数的LFMCW处理流程会失效,但失效的物理起点、差频畸变如何形成以及传统方法何时仍可近似使用,尚未在章级上完成闭环。为解决这些问题,第三章依次建立等离子体色散信道的正向模型,分析群时延曲线在近截止区的强非线性及单点观测不足,进一步揭示时变时延如何使差频信号由稳态单频转化为非稳态调频信号,并给出传统全频段FFT方法的局部工程适用边界。上述分析的目的并非重复传统差频读数理论,而是为第四章转向新观测量路线提供理论理由:当单峰频谱读数已无法稳定对应真实传播时延时,诊断过程就必须转向基于局部频率演化与群时延轨迹的特征提取和参数反演,以恢复可用于诊断的稳定观测特征。</w:t>
      </w:r>
    </w:p>
    <w:bookmarkEnd w:id="40"/>
    <w:p w14:paraId="6FAAEF98">
      <w:pPr>
        <w:pStyle w:val="3"/>
      </w:pPr>
      <w:bookmarkStart w:id="41" w:name="色散信道的物理建模与参数定义"/>
      <w:r>
        <w:rPr>
          <w:rFonts w:hint="eastAsia"/>
        </w:rPr>
        <w:t>色散信道的物理建模与参数定义</w:t>
      </w:r>
    </w:p>
    <w:p w14:paraId="69C65BB0">
      <w:r>
        <w:rPr>
          <w:rFonts w:hint="eastAsia"/>
        </w:rPr>
        <w:t>本节从色散介质的电磁本构关系出发,建立第三章后续分析所需的群时延正向模型与关键参数定义。</w:t>
      </w:r>
    </w:p>
    <w:p w14:paraId="796E7AEB">
      <w:pPr>
        <w:pStyle w:val="4"/>
      </w:pPr>
      <w:bookmarkStart w:id="42" w:name="复介电常数与物理群时延的解析推导"/>
      <w:r>
        <w:rPr>
          <w:rFonts w:hint="eastAsia"/>
        </w:rPr>
        <w:t>复介电常数与物理群时延的解析推导</w:t>
      </w:r>
    </w:p>
    <w:p w14:paraId="369020FA">
      <w:r>
        <w:rPr>
          <w:rFonts w:hint="eastAsia"/>
        </w:rPr>
        <w:t>为构建准确的信道模型,首先需明确电磁波在等离子体中的复传播特性。假设等离子体满足非磁化、各向同性冷等离子体近似条件。根据Drude自由电子气模型,等离子体的宏观电磁特性由内部电子在时变电磁场中的动力学行为决定。其复相对介电常数可表示为角频率</w:t>
      </w:r>
      <m:oMath>
        <m:r>
          <m:rPr/>
          <m:t>ω</m:t>
        </m:r>
      </m:oMath>
      <w:r>
        <w:rPr>
          <w:rFonts w:hint="eastAsia"/>
        </w:rPr>
        <w:t>的函数:</w:t>
      </w:r>
    </w:p>
    <w:p w14:paraId="0C17459E">
      <w:r>
        <w:t xml:space="preserve"> </w:t>
      </w:r>
    </w:p>
    <w:p w14:paraId="09083753">
      <w:pPr>
        <w:pStyle w:val="44"/>
        <w:spacing w:before="0" w:after="0" w:line="400" w:lineRule="atLeast"/>
      </w:pPr>
      <w:r>
        <w:tab/>
      </w:r>
      <m:oMath>
        <m:sSub>
          <m:sSubPr/>
          <m:e>
            <m:acc>
              <m:accPr>
                <m:chr m:val="̃"/>
              </m:accPr>
              <m:e>
                <m:r>
                  <m:rPr/>
                  <m:t>ε</m:t>
                </m:r>
              </m:e>
            </m:acc>
          </m:e>
          <m:sub>
            <m:r>
              <m:rPr/>
              <m:t>r</m:t>
            </m:r>
          </m:sub>
        </m:sSub>
        <m:r>
          <m:rPr>
            <m:sty m:val="p"/>
          </m:rPr>
          <m:t>(</m:t>
        </m:r>
        <m:r>
          <m:rPr/>
          <m:t>ω</m:t>
        </m:r>
        <m:r>
          <m:rPr>
            <m:sty m:val="p"/>
          </m:rPr>
          <m:t>)=</m:t>
        </m:r>
        <m:sSub>
          <m:sSubPr/>
          <m:e>
            <m:r>
              <m:rPr/>
              <m:t>ε</m:t>
            </m:r>
          </m:e>
          <m:sub>
            <m:sSup>
              <m:sSupPr/>
              <m:e>
                <m:r>
                  <m:rPr/>
                  <m:t>r</m:t>
                </m:r>
              </m:e>
              <m:sup>
                <m:r>
                  <m:rPr>
                    <m:sty m:val="p"/>
                  </m:rPr>
                  <m:t>′</m:t>
                </m:r>
              </m:sup>
            </m:sSup>
          </m:sub>
        </m:sSub>
        <m:r>
          <m:rPr>
            <m:sty m:val="p"/>
          </m:rPr>
          <m:t>(</m:t>
        </m:r>
        <m:r>
          <m:rPr/>
          <m:t>ω</m:t>
        </m:r>
        <m:r>
          <m:rPr>
            <m:sty m:val="p"/>
          </m:rPr>
          <m:t>)−</m:t>
        </m:r>
        <m:r>
          <m:rPr/>
          <m:t>j</m:t>
        </m:r>
        <m:sSub>
          <m:sSubPr/>
          <m:e>
            <m:r>
              <m:rPr/>
              <m:t>ε</m:t>
            </m:r>
          </m:e>
          <m:sub>
            <m:sSup>
              <m:sSupPr/>
              <m:e>
                <m:r>
                  <m:rPr/>
                  <m:t>r</m:t>
                </m:r>
              </m:e>
              <m:sup>
                <m:r>
                  <m:rPr>
                    <m:sty m:val="p"/>
                  </m:rPr>
                  <m:t>″</m:t>
                </m:r>
              </m:sup>
            </m:sSup>
          </m:sub>
        </m:sSub>
        <m:r>
          <m:rPr>
            <m:sty m:val="p"/>
          </m:rPr>
          <m:t>(</m:t>
        </m:r>
        <m:r>
          <m:rPr/>
          <m:t>ω</m:t>
        </m:r>
        <m:r>
          <m:rPr>
            <m:sty m:val="p"/>
          </m:rPr>
          <m:t>)=</m:t>
        </m:r>
        <m:d>
          <m:dPr>
            <m:sepChr m:val=""/>
          </m:dPr>
          <m:e>
            <m:r>
              <m:rPr/>
              <m:t>1</m:t>
            </m:r>
            <m:r>
              <m:rPr>
                <m:sty m:val="p"/>
              </m:rPr>
              <m:t>−</m:t>
            </m:r>
            <m:f>
              <m:fPr/>
              <m:num>
                <m:sSubSup>
                  <m:sSubSupPr/>
                  <m:e>
                    <m:r>
                      <m:rPr/>
                      <m:t>ω</m:t>
                    </m:r>
                  </m:e>
                  <m:sub>
                    <m:r>
                      <m:rPr/>
                      <m:t>p</m:t>
                    </m:r>
                  </m:sub>
                  <m:sup>
                    <m:r>
                      <m:rPr/>
                      <m:t>2</m:t>
                    </m:r>
                  </m:sup>
                </m:sSubSup>
              </m:num>
              <m:den>
                <m:sSup>
                  <m:sSupPr/>
                  <m:e>
                    <m:r>
                      <m:rPr/>
                      <m:t>ω</m:t>
                    </m:r>
                  </m:e>
                  <m:sup>
                    <m:r>
                      <m:rPr/>
                      <m:t>2</m:t>
                    </m:r>
                  </m:sup>
                </m:sSup>
                <m:r>
                  <m:rPr>
                    <m:sty m:val="p"/>
                  </m:rPr>
                  <m:t>+</m:t>
                </m:r>
                <m:sSubSup>
                  <m:sSubSupPr/>
                  <m:e>
                    <m:r>
                      <m:rPr/>
                      <m:t>ν</m:t>
                    </m:r>
                  </m:e>
                  <m:sub>
                    <m:r>
                      <m:rPr/>
                      <m:t>e</m:t>
                    </m:r>
                  </m:sub>
                  <m:sup>
                    <m:r>
                      <m:rPr/>
                      <m:t>2</m:t>
                    </m:r>
                  </m:sup>
                </m:sSubSup>
              </m:den>
            </m:f>
          </m:e>
        </m:d>
        <m:r>
          <m:rPr>
            <m:sty m:val="p"/>
          </m:rPr>
          <m:t>−</m:t>
        </m:r>
        <m:r>
          <m:rPr/>
          <m:t>j</m:t>
        </m:r>
        <m:d>
          <m:dPr>
            <m:sepChr m:val=""/>
          </m:dPr>
          <m:e>
            <m:f>
              <m:fPr/>
              <m:num>
                <m:sSub>
                  <m:sSubPr/>
                  <m:e>
                    <m:r>
                      <m:rPr/>
                      <m:t>ν</m:t>
                    </m:r>
                  </m:e>
                  <m:sub>
                    <m:r>
                      <m:rPr/>
                      <m:t>e</m:t>
                    </m:r>
                  </m:sub>
                </m:sSub>
              </m:num>
              <m:den>
                <m:r>
                  <m:rPr/>
                  <m:t>ω</m:t>
                </m:r>
              </m:den>
            </m:f>
            <m:f>
              <m:fPr/>
              <m:num>
                <m:sSubSup>
                  <m:sSubSupPr/>
                  <m:e>
                    <m:r>
                      <m:rPr/>
                      <m:t>ω</m:t>
                    </m:r>
                  </m:e>
                  <m:sub>
                    <m:r>
                      <m:rPr/>
                      <m:t>p</m:t>
                    </m:r>
                  </m:sub>
                  <m:sup>
                    <m:r>
                      <m:rPr/>
                      <m:t>2</m:t>
                    </m:r>
                  </m:sup>
                </m:sSubSup>
              </m:num>
              <m:den>
                <m:sSup>
                  <m:sSupPr/>
                  <m:e>
                    <m:r>
                      <m:rPr/>
                      <m:t>ω</m:t>
                    </m:r>
                  </m:e>
                  <m:sup>
                    <m:r>
                      <m:rPr/>
                      <m:t>2</m:t>
                    </m:r>
                  </m:sup>
                </m:sSup>
                <m:r>
                  <m:rPr>
                    <m:sty m:val="p"/>
                  </m:rPr>
                  <m:t>+</m:t>
                </m:r>
                <m:sSubSup>
                  <m:sSubSupPr/>
                  <m:e>
                    <m:r>
                      <m:rPr/>
                      <m:t>ν</m:t>
                    </m:r>
                  </m:e>
                  <m:sub>
                    <m:r>
                      <m:rPr/>
                      <m:t>e</m:t>
                    </m:r>
                  </m:sub>
                  <m:sup>
                    <m:r>
                      <m:rPr/>
                      <m:t>2</m:t>
                    </m:r>
                  </m:sup>
                </m:sSubSup>
              </m:den>
            </m:f>
          </m:e>
        </m:d>
      </m:oMath>
      <w:r>
        <w:tab/>
      </w:r>
      <w:r>
        <w:t>(3</w:t>
      </w:r>
      <w:r>
        <w:noBreakHyphen/>
      </w:r>
      <w:r>
        <w:t>1)</w:t>
      </w:r>
    </w:p>
    <w:p w14:paraId="00A3F983">
      <w:r>
        <w:t xml:space="preserve"> </w:t>
      </w:r>
    </w:p>
    <w:p w14:paraId="57E284B2">
      <w:r>
        <w:rPr>
          <w:rFonts w:hint="eastAsia"/>
        </w:rPr>
        <w:t>式中，</w:t>
      </w:r>
      <m:oMath>
        <m:r>
          <m:rPr/>
          <m:t>ω</m:t>
        </m:r>
      </m:oMath>
      <w:r>
        <w:rPr>
          <w:rFonts w:hint="eastAsia"/>
        </w:rPr>
        <w:t>为探测电磁波角频率，</w:t>
      </w:r>
      <m:oMath>
        <m:sSub>
          <m:sSubPr/>
          <m:e>
            <m:r>
              <m:rPr/>
              <m:t>ω</m:t>
            </m:r>
          </m:e>
          <m:sub>
            <m:r>
              <m:rPr/>
              <m:t>p</m:t>
            </m:r>
          </m:sub>
        </m:sSub>
      </m:oMath>
      <w:r>
        <w:rPr>
          <w:rFonts w:hint="eastAsia"/>
        </w:rPr>
        <w:t>为由电子密度</w:t>
      </w:r>
      <m:oMath>
        <m:sSub>
          <m:sSubPr/>
          <m:e>
            <m:r>
              <m:rPr/>
              <m:t>n</m:t>
            </m:r>
          </m:e>
          <m:sub>
            <m:r>
              <m:rPr/>
              <m:t>e</m:t>
            </m:r>
          </m:sub>
        </m:sSub>
      </m:oMath>
      <w:r>
        <w:rPr>
          <w:rFonts w:hint="eastAsia"/>
        </w:rPr>
        <w:t>决定的等离子体特征角频率，</w:t>
      </w:r>
      <m:oMath>
        <m:sSub>
          <m:sSubPr/>
          <m:e>
            <m:r>
              <m:rPr/>
              <m:t>ν</m:t>
            </m:r>
          </m:e>
          <m:sub>
            <m:r>
              <m:rPr/>
              <m:t>e</m:t>
            </m:r>
          </m:sub>
        </m:sSub>
      </m:oMath>
      <w:r>
        <w:rPr>
          <w:rFonts w:hint="eastAsia"/>
        </w:rPr>
        <w:t>为电子与中性粒子的有效碰撞频率。其复介电常数实部主要决定电磁波的色散与相速度特性，虚部则主要反映碰撞损耗导致的幅度衰减。</w:t>
      </w:r>
    </w:p>
    <w:p w14:paraId="4BE832E7">
      <w:r>
        <w:rPr>
          <w:rFonts w:hint="eastAsia"/>
        </w:rPr>
        <w:t>电磁波在有耗介质中的复传播常数</w:t>
      </w:r>
      <m:oMath>
        <m:acc>
          <m:accPr>
            <m:chr m:val="̃"/>
          </m:accPr>
          <m:e>
            <m:r>
              <m:rPr/>
              <m:t>k</m:t>
            </m:r>
          </m:e>
        </m:acc>
      </m:oMath>
      <w:r>
        <w:rPr>
          <w:rFonts w:hint="eastAsia"/>
        </w:rPr>
        <w:t>定义为:</w:t>
      </w:r>
    </w:p>
    <w:p w14:paraId="6DBBB0C3">
      <w:r>
        <w:t xml:space="preserve"> </w:t>
      </w:r>
    </w:p>
    <w:p w14:paraId="4857EA4E">
      <w:pPr>
        <w:pStyle w:val="44"/>
        <w:spacing w:before="0" w:after="0" w:line="400" w:lineRule="atLeast"/>
      </w:pPr>
      <w:r>
        <w:tab/>
      </w:r>
      <m:oMath>
        <m:acc>
          <m:accPr>
            <m:chr m:val="̃"/>
          </m:accPr>
          <m:e>
            <m:r>
              <m:rPr/>
              <m:t>k</m:t>
            </m:r>
          </m:e>
        </m:acc>
        <m:r>
          <m:rPr>
            <m:sty m:val="p"/>
          </m:rPr>
          <m:t>(</m:t>
        </m:r>
        <m:r>
          <m:rPr/>
          <m:t>ω</m:t>
        </m:r>
        <m:r>
          <m:rPr>
            <m:sty m:val="p"/>
          </m:rPr>
          <m:t>)=</m:t>
        </m:r>
        <m:f>
          <m:fPr/>
          <m:num>
            <m:r>
              <m:rPr/>
              <m:t>ω</m:t>
            </m:r>
          </m:num>
          <m:den>
            <m:r>
              <m:rPr/>
              <m:t>c</m:t>
            </m:r>
          </m:den>
        </m:f>
        <m:rad>
          <m:radPr>
            <m:degHide m:val="1"/>
          </m:radPr>
          <m:deg/>
          <m:e>
            <m:sSub>
              <m:sSubPr/>
              <m:e>
                <m:acc>
                  <m:accPr>
                    <m:chr m:val="̃"/>
                  </m:accPr>
                  <m:e>
                    <m:r>
                      <m:rPr/>
                      <m:t>ε</m:t>
                    </m:r>
                  </m:e>
                </m:acc>
              </m:e>
              <m:sub>
                <m:r>
                  <m:rPr/>
                  <m:t>r</m:t>
                </m:r>
              </m:sub>
            </m:sSub>
            <m:r>
              <m:rPr>
                <m:sty m:val="p"/>
              </m:rPr>
              <m:t>(</m:t>
            </m:r>
            <m:r>
              <m:rPr/>
              <m:t>ω</m:t>
            </m:r>
            <m:r>
              <m:rPr>
                <m:sty m:val="p"/>
              </m:rPr>
              <m:t>)</m:t>
            </m:r>
          </m:e>
        </m:rad>
        <m:r>
          <m:rPr>
            <m:sty m:val="p"/>
          </m:rPr>
          <m:t>=</m:t>
        </m:r>
        <m:r>
          <m:rPr/>
          <m:t>β</m:t>
        </m:r>
        <m:r>
          <m:rPr>
            <m:sty m:val="p"/>
          </m:rPr>
          <m:t>(</m:t>
        </m:r>
        <m:r>
          <m:rPr/>
          <m:t>ω</m:t>
        </m:r>
        <m:r>
          <m:rPr>
            <m:sty m:val="p"/>
          </m:rPr>
          <m:t>)−</m:t>
        </m:r>
        <m:r>
          <m:rPr/>
          <m:t>jα</m:t>
        </m:r>
        <m:r>
          <m:rPr>
            <m:sty m:val="p"/>
          </m:rPr>
          <m:t>(</m:t>
        </m:r>
        <m:r>
          <m:rPr/>
          <m:t>ω</m:t>
        </m:r>
        <m:r>
          <m:rPr>
            <m:sty m:val="p"/>
          </m:rPr>
          <m:t>)</m:t>
        </m:r>
      </m:oMath>
      <w:r>
        <w:tab/>
      </w:r>
      <w:r>
        <w:t>(3</w:t>
      </w:r>
      <w:r>
        <w:noBreakHyphen/>
      </w:r>
      <w:r>
        <w:t>2)</w:t>
      </w:r>
    </w:p>
    <w:p w14:paraId="23B2A327">
      <w:r>
        <w:t xml:space="preserve"> </w:t>
      </w:r>
    </w:p>
    <w:p w14:paraId="09B7DA57">
      <w:r>
        <w:rPr>
          <w:rFonts w:hint="eastAsia"/>
        </w:rPr>
        <w:t>其中</w:t>
      </w:r>
      <m:oMath>
        <m:r>
          <m:rPr/>
          <m:t>β</m:t>
        </m:r>
      </m:oMath>
      <w:r>
        <w:rPr>
          <w:rFonts w:hint="eastAsia"/>
        </w:rPr>
        <w:t>为相位常数,</w:t>
      </w:r>
      <m:oMath>
        <m:r>
          <m:rPr/>
          <m:t>α</m:t>
        </m:r>
      </m:oMath>
      <w:r>
        <w:rPr>
          <w:rFonts w:hint="eastAsia"/>
        </w:rPr>
        <w:t>为衰减常数。在本文采用的</w:t>
      </w:r>
      <m:oMath>
        <m:sSup>
          <m:sSupPr/>
          <m:e>
            <m:r>
              <m:rPr/>
              <m:t>e</m:t>
            </m:r>
          </m:e>
          <m:sup>
            <m:r>
              <m:rPr/>
              <m:t>jωt</m:t>
            </m:r>
          </m:sup>
        </m:sSup>
      </m:oMath>
      <w:r>
        <w:rPr>
          <w:rFonts w:hint="eastAsia"/>
        </w:rPr>
        <w:t>时间因子约定下,前向传播场写为</w:t>
      </w:r>
      <m:oMath>
        <m:r>
          <m:rPr/>
          <m:t>E</m:t>
        </m:r>
        <m:r>
          <m:rPr>
            <m:sty m:val="p"/>
          </m:rPr>
          <m:t>(</m:t>
        </m:r>
        <m:r>
          <m:rPr/>
          <m:t>z</m:t>
        </m:r>
        <m:r>
          <m:rPr>
            <m:sty m:val="p"/>
          </m:rPr>
          <m:t>,</m:t>
        </m:r>
        <m:r>
          <m:rPr/>
          <m:t>ω</m:t>
        </m:r>
        <m:r>
          <m:rPr>
            <m:sty m:val="p"/>
          </m:rPr>
          <m:t>)=</m:t>
        </m:r>
        <m:sSub>
          <m:sSubPr/>
          <m:e>
            <m:r>
              <m:rPr/>
              <m:t>E</m:t>
            </m:r>
          </m:e>
          <m:sub>
            <m:r>
              <m:rPr/>
              <m:t>0</m:t>
            </m:r>
          </m:sub>
        </m:sSub>
        <m:r>
          <m:rPr>
            <m:sty m:val="p"/>
          </m:rPr>
          <m:t>exp(−</m:t>
        </m:r>
        <m:r>
          <m:rPr/>
          <m:t>j</m:t>
        </m:r>
        <m:acc>
          <m:accPr>
            <m:chr m:val="̃"/>
          </m:accPr>
          <m:e>
            <m:r>
              <m:rPr/>
              <m:t>k</m:t>
            </m:r>
          </m:e>
        </m:acc>
        <m:r>
          <m:rPr/>
          <m:t>z</m:t>
        </m:r>
        <m:r>
          <m:rPr>
            <m:sty m:val="p"/>
          </m:rPr>
          <m:t>)=</m:t>
        </m:r>
        <m:sSub>
          <m:sSubPr/>
          <m:e>
            <m:r>
              <m:rPr/>
              <m:t>E</m:t>
            </m:r>
          </m:e>
          <m:sub>
            <m:r>
              <m:rPr/>
              <m:t>0</m:t>
            </m:r>
          </m:sub>
        </m:sSub>
        <m:r>
          <m:rPr>
            <m:sty m:val="p"/>
          </m:rPr>
          <m:t>exp(−</m:t>
        </m:r>
        <m:r>
          <m:rPr/>
          <m:t>αz</m:t>
        </m:r>
        <m:r>
          <m:rPr>
            <m:sty m:val="p"/>
          </m:rPr>
          <m:t>)exp(−</m:t>
        </m:r>
        <m:r>
          <m:rPr/>
          <m:t>jβz</m:t>
        </m:r>
        <m:r>
          <m:rPr>
            <m:sty m:val="p"/>
          </m:rPr>
          <m:t>)</m:t>
        </m:r>
      </m:oMath>
      <w:r>
        <w:rPr>
          <w:rFonts w:hint="eastAsia"/>
        </w:rPr>
        <w:t>,因此穿过厚度</w:t>
      </w:r>
      <m:oMath>
        <m:r>
          <m:rPr/>
          <m:t>d</m:t>
        </m:r>
      </m:oMath>
      <w:r>
        <w:rPr>
          <w:rFonts w:hint="eastAsia"/>
        </w:rPr>
        <w:t>后的传输函数应写为</w:t>
      </w:r>
      <m:oMath>
        <m:r>
          <m:rPr/>
          <m:t>H</m:t>
        </m:r>
        <m:r>
          <m:rPr>
            <m:sty m:val="p"/>
          </m:rPr>
          <m:t>(</m:t>
        </m:r>
        <m:r>
          <m:rPr/>
          <m:t>ω</m:t>
        </m:r>
        <m:r>
          <m:rPr>
            <m:sty m:val="p"/>
          </m:rPr>
          <m:t>)=exp(−</m:t>
        </m:r>
        <m:r>
          <m:rPr/>
          <m:t>j</m:t>
        </m:r>
        <m:acc>
          <m:accPr>
            <m:chr m:val="̃"/>
          </m:accPr>
          <m:e>
            <m:r>
              <m:rPr/>
              <m:t>k</m:t>
            </m:r>
          </m:e>
        </m:acc>
        <m:r>
          <m:rPr/>
          <m:t>d</m:t>
        </m:r>
        <m:r>
          <m:rPr>
            <m:sty m:val="p"/>
          </m:rPr>
          <m:t>)=exp(−</m:t>
        </m:r>
        <m:r>
          <m:rPr/>
          <m:t>αd</m:t>
        </m:r>
        <m:r>
          <m:rPr>
            <m:sty m:val="p"/>
          </m:rPr>
          <m:t>)exp(−</m:t>
        </m:r>
        <m:r>
          <m:rPr/>
          <m:t>jβd</m:t>
        </m:r>
        <m:r>
          <m:rPr>
            <m:sty m:val="p"/>
          </m:rPr>
          <m:t>)</m:t>
        </m:r>
      </m:oMath>
      <w:r>
        <w:rPr>
          <w:rFonts w:hint="eastAsia"/>
        </w:rPr>
        <w:t>,其相位为</w:t>
      </w:r>
      <m:oMath>
        <m:r>
          <m:rPr/>
          <m:t>ϕ</m:t>
        </m:r>
        <m:r>
          <m:rPr>
            <m:sty m:val="p"/>
          </m:rPr>
          <m:t>(</m:t>
        </m:r>
        <m:r>
          <m:rPr/>
          <m:t>ω</m:t>
        </m:r>
        <m:r>
          <m:rPr>
            <m:sty m:val="p"/>
          </m:rPr>
          <m:t>)=−</m:t>
        </m:r>
        <m:r>
          <m:rPr/>
          <m:t>βd</m:t>
        </m:r>
      </m:oMath>
      <w:r>
        <w:rPr>
          <w:rFonts w:hint="eastAsia"/>
        </w:rPr>
        <w:t>。后续各节涉及传输函数与相位导数时均采用这一记号体系。针对本文研究的Ka波段(</w:t>
      </w:r>
      <m:oMath>
        <m:r>
          <m:rPr/>
          <m:t>f</m:t>
        </m:r>
        <m:r>
          <m:rPr>
            <m:sty m:val="p"/>
          </m:rPr>
          <m:t>∼</m:t>
        </m:r>
        <m:r>
          <m:rPr/>
          <m:t>35</m:t>
        </m:r>
        <m:r>
          <m:rPr>
            <m:nor/>
            <m:sty m:val="p"/>
          </m:rPr>
          <w:rPr>
            <w:b w:val="0"/>
            <w:i w:val="0"/>
          </w:rPr>
          <m:t>GHz</m:t>
        </m:r>
      </m:oMath>
      <w:r>
        <w:rPr>
          <w:rFonts w:hint="eastAsia"/>
        </w:rPr>
        <w:t>)透射诊断场景,通常满足高频弱碰撞条件,即探测频率远大于碰撞频率(</w:t>
      </w:r>
      <m:oMath>
        <m:r>
          <m:rPr/>
          <m:t>ω</m:t>
        </m:r>
        <m:r>
          <m:rPr>
            <m:sty m:val="p"/>
          </m:rPr>
          <m:t>≫</m:t>
        </m:r>
        <m:sSub>
          <m:sSubPr/>
          <m:e>
            <m:r>
              <m:rPr/>
              <m:t>ν</m:t>
            </m:r>
          </m:e>
          <m:sub>
            <m:r>
              <m:rPr/>
              <m:t>e</m:t>
            </m:r>
          </m:sub>
        </m:sSub>
      </m:oMath>
      <w:r>
        <w:rPr>
          <w:rFonts w:hint="eastAsia"/>
        </w:rPr>
        <w:t>),且高于截止频率(</w:t>
      </w:r>
      <m:oMath>
        <m:r>
          <m:rPr/>
          <m:t>ω</m:t>
        </m:r>
        <m:r>
          <m:rPr>
            <m:sty m:val="p"/>
          </m:rPr>
          <m:t>&gt;</m:t>
        </m:r>
        <m:sSub>
          <m:sSubPr/>
          <m:e>
            <m:r>
              <m:rPr/>
              <m:t>ω</m:t>
            </m:r>
          </m:e>
          <m:sub>
            <m:r>
              <m:rPr/>
              <m:t>p</m:t>
            </m:r>
          </m:sub>
        </m:sSub>
      </m:oMath>
      <w:r>
        <w:rPr>
          <w:rFonts w:hint="eastAsia"/>
        </w:rPr>
        <w:t>)。在此条件下,介质损耗角正切</w:t>
      </w:r>
      <m:oMath>
        <m:r>
          <m:rPr>
            <m:sty m:val="p"/>
          </m:rPr>
          <m:t>tan</m:t>
        </m:r>
        <m:r>
          <m:rPr/>
          <m:t>δ</m:t>
        </m:r>
        <m:r>
          <m:rPr>
            <m:sty m:val="p"/>
          </m:rPr>
          <m:t>=</m:t>
        </m:r>
        <m:sSub>
          <m:sSubPr/>
          <m:e>
            <m:r>
              <m:rPr/>
              <m:t>ε</m:t>
            </m:r>
          </m:e>
          <m:sub>
            <m:sSup>
              <m:sSupPr/>
              <m:e>
                <m:r>
                  <m:rPr/>
                  <m:t>r</m:t>
                </m:r>
              </m:e>
              <m:sup>
                <m:r>
                  <m:rPr>
                    <m:sty m:val="p"/>
                  </m:rPr>
                  <m:t>″</m:t>
                </m:r>
              </m:sup>
            </m:sSup>
          </m:sub>
        </m:sSub>
        <m:r>
          <m:rPr>
            <m:sty m:val="p"/>
          </m:rPr>
          <m:t>/</m:t>
        </m:r>
        <m:sSub>
          <m:sSubPr/>
          <m:e>
            <m:r>
              <m:rPr/>
              <m:t>ε</m:t>
            </m:r>
          </m:e>
          <m:sub>
            <m:sSup>
              <m:sSupPr/>
              <m:e>
                <m:r>
                  <m:rPr/>
                  <m:t>r</m:t>
                </m:r>
              </m:e>
              <m:sup>
                <m:r>
                  <m:rPr>
                    <m:sty m:val="p"/>
                  </m:rPr>
                  <m:t>′</m:t>
                </m:r>
              </m:sup>
            </m:sSup>
          </m:sub>
        </m:sSub>
        <m:r>
          <m:rPr>
            <m:sty m:val="p"/>
          </m:rPr>
          <m:t>≪</m:t>
        </m:r>
        <m:r>
          <m:rPr/>
          <m:t>1</m:t>
        </m:r>
      </m:oMath>
      <w:r>
        <w:rPr>
          <w:rFonts w:hint="eastAsia"/>
        </w:rPr>
        <w:t>,复传播常数的实部(相位常数)主要由介电常数的实部主导。对式(3-2)进行二项式展开并忽略高阶虚部项,可得相位常数</w:t>
      </w:r>
      <m:oMath>
        <m:r>
          <m:rPr/>
          <m:t>β</m:t>
        </m:r>
      </m:oMath>
      <w:r>
        <w:rPr>
          <w:rFonts w:hint="eastAsia"/>
        </w:rPr>
        <w:t>的近似表达:</w:t>
      </w:r>
    </w:p>
    <w:p w14:paraId="42C7CD01">
      <w:r>
        <w:t xml:space="preserve"> </w:t>
      </w:r>
    </w:p>
    <w:p w14:paraId="318326BA">
      <w:pPr>
        <w:pStyle w:val="44"/>
        <w:spacing w:before="0" w:after="0" w:line="400" w:lineRule="atLeast"/>
      </w:pPr>
      <w:r>
        <w:tab/>
      </w:r>
      <m:oMath>
        <m:r>
          <m:rPr/>
          <m:t>β</m:t>
        </m:r>
        <m:r>
          <m:rPr>
            <m:sty m:val="p"/>
          </m:rPr>
          <m:t>(</m:t>
        </m:r>
        <m:r>
          <m:rPr/>
          <m:t>ω</m:t>
        </m:r>
        <m:r>
          <m:rPr>
            <m:sty m:val="p"/>
          </m:rPr>
          <m:t>)≈</m:t>
        </m:r>
        <m:f>
          <m:fPr/>
          <m:num>
            <m:r>
              <m:rPr/>
              <m:t>ω</m:t>
            </m:r>
          </m:num>
          <m:den>
            <m:r>
              <m:rPr/>
              <m:t>c</m:t>
            </m:r>
          </m:den>
        </m:f>
        <m:rad>
          <m:radPr>
            <m:degHide m:val="1"/>
          </m:radPr>
          <m:deg/>
          <m:e>
            <m:r>
              <m:rPr/>
              <m:t>1</m:t>
            </m:r>
            <m:r>
              <m:rPr>
                <m:sty m:val="p"/>
              </m:rPr>
              <m:t>−</m:t>
            </m:r>
            <m:f>
              <m:fPr/>
              <m:num>
                <m:sSubSup>
                  <m:sSubSupPr/>
                  <m:e>
                    <m:r>
                      <m:rPr/>
                      <m:t>ω</m:t>
                    </m:r>
                  </m:e>
                  <m:sub>
                    <m:r>
                      <m:rPr/>
                      <m:t>p</m:t>
                    </m:r>
                  </m:sub>
                  <m:sup>
                    <m:r>
                      <m:rPr/>
                      <m:t>2</m:t>
                    </m:r>
                  </m:sup>
                </m:sSubSup>
              </m:num>
              <m:den>
                <m:sSup>
                  <m:sSupPr/>
                  <m:e>
                    <m:r>
                      <m:rPr/>
                      <m:t>ω</m:t>
                    </m:r>
                  </m:e>
                  <m:sup>
                    <m:r>
                      <m:rPr/>
                      <m:t>2</m:t>
                    </m:r>
                  </m:sup>
                </m:sSup>
                <m:r>
                  <m:rPr>
                    <m:sty m:val="p"/>
                  </m:rPr>
                  <m:t>+</m:t>
                </m:r>
                <m:sSubSup>
                  <m:sSubSupPr/>
                  <m:e>
                    <m:r>
                      <m:rPr/>
                      <m:t>ν</m:t>
                    </m:r>
                  </m:e>
                  <m:sub>
                    <m:r>
                      <m:rPr/>
                      <m:t>e</m:t>
                    </m:r>
                  </m:sub>
                  <m:sup>
                    <m:r>
                      <m:rPr/>
                      <m:t>2</m:t>
                    </m:r>
                  </m:sup>
                </m:sSubSup>
              </m:den>
            </m:f>
          </m:e>
        </m:rad>
      </m:oMath>
      <w:r>
        <w:tab/>
      </w:r>
      <w:r>
        <w:t>(3</w:t>
      </w:r>
      <w:r>
        <w:noBreakHyphen/>
      </w:r>
      <w:r>
        <w:t>3)</w:t>
      </w:r>
    </w:p>
    <w:p w14:paraId="759F6FC9">
      <w:r>
        <w:t xml:space="preserve"> </w:t>
      </w:r>
    </w:p>
    <w:p w14:paraId="6101B4E4">
      <w:r>
        <w:rPr>
          <w:rFonts w:hint="eastAsia"/>
        </w:rPr>
        <w:t>该式表明,即使在考虑损耗的情况下,相位常数依然保持实数形式的主导地位,这为利用相位或时延信息进行参数反演提供了理论可行性。</w:t>
      </w:r>
    </w:p>
    <w:p w14:paraId="7A748ED9">
      <w:r>
        <w:rPr>
          <w:rFonts w:hint="eastAsia"/>
        </w:rPr>
        <w:t>对于宽带LFMCW信号,信号包络的传播速度由群速度</w:t>
      </w:r>
      <m:oMath>
        <m:sSub>
          <m:sSubPr/>
          <m:e>
            <m:r>
              <m:rPr/>
              <m:t>v</m:t>
            </m:r>
          </m:e>
          <m:sub>
            <m:r>
              <m:rPr/>
              <m:t>g</m:t>
            </m:r>
          </m:sub>
        </m:sSub>
      </m:oMath>
      <w:r>
        <w:rPr>
          <w:rFonts w:hint="eastAsia"/>
        </w:rPr>
        <w:t>描述。定义电磁波穿过物理厚度为</w:t>
      </w:r>
      <m:oMath>
        <m:r>
          <m:rPr/>
          <m:t>d</m:t>
        </m:r>
      </m:oMath>
      <w:r>
        <w:rPr>
          <w:rFonts w:hint="eastAsia"/>
        </w:rPr>
        <w:t>的等离子体层的物理群时延</w:t>
      </w:r>
      <m:oMath>
        <m:sSub>
          <m:sSubPr/>
          <m:e>
            <m:r>
              <m:rPr/>
              <m:t>τ</m:t>
            </m:r>
          </m:e>
          <m:sub>
            <m:r>
              <m:rPr/>
              <m:t>g</m:t>
            </m:r>
          </m:sub>
        </m:sSub>
      </m:oMath>
      <w:r>
        <w:rPr>
          <w:rFonts w:hint="eastAsia"/>
        </w:rPr>
        <w:t>为相位谱对角频率的一阶导数:</w:t>
      </w:r>
    </w:p>
    <w:p w14:paraId="2FAAD4D1">
      <w:r>
        <w:t xml:space="preserve"> </w:t>
      </w:r>
    </w:p>
    <w:p w14:paraId="1D0BB64B">
      <w:pPr>
        <w:pStyle w:val="44"/>
        <w:spacing w:before="0" w:after="0" w:line="400" w:lineRule="atLeast"/>
      </w:pPr>
      <w:r>
        <w:tab/>
      </w:r>
      <m:oMath>
        <m:sSub>
          <m:sSubPr/>
          <m:e>
            <m:r>
              <m:rPr/>
              <m:t>τ</m:t>
            </m:r>
          </m:e>
          <m:sub>
            <m:r>
              <m:rPr/>
              <m:t>g</m:t>
            </m:r>
          </m:sub>
        </m:sSub>
        <m:r>
          <m:rPr>
            <m:sty m:val="p"/>
          </m:rPr>
          <m:t>(</m:t>
        </m:r>
        <m:r>
          <m:rPr/>
          <m:t>ω</m:t>
        </m:r>
        <m:r>
          <m:rPr>
            <m:sty m:val="p"/>
          </m:rPr>
          <m:t>)=</m:t>
        </m:r>
        <m:r>
          <m:rPr/>
          <m:t>d</m:t>
        </m:r>
        <m:r>
          <m:rPr>
            <m:sty m:val="p"/>
          </m:rPr>
          <m:t>⋅</m:t>
        </m:r>
        <m:f>
          <m:fPr/>
          <m:num>
            <m:r>
              <m:rPr/>
              <m:t>dβ</m:t>
            </m:r>
            <m:r>
              <m:rPr>
                <m:sty m:val="p"/>
              </m:rPr>
              <m:t>(</m:t>
            </m:r>
            <m:r>
              <m:rPr/>
              <m:t>ω</m:t>
            </m:r>
            <m:r>
              <m:rPr>
                <m:sty m:val="p"/>
              </m:rPr>
              <m:t>)</m:t>
            </m:r>
          </m:num>
          <m:den>
            <m:r>
              <m:rPr/>
              <m:t>dω</m:t>
            </m:r>
          </m:den>
        </m:f>
      </m:oMath>
      <w:r>
        <w:tab/>
      </w:r>
      <w:r>
        <w:t>(3</w:t>
      </w:r>
      <w:r>
        <w:noBreakHyphen/>
      </w:r>
      <w:r>
        <w:t>4)</w:t>
      </w:r>
    </w:p>
    <w:p w14:paraId="44D673EC">
      <w:r>
        <w:t xml:space="preserve"> </w:t>
      </w:r>
    </w:p>
    <w:p w14:paraId="5E15B142">
      <w:r>
        <w:rPr>
          <w:rFonts w:hint="eastAsia"/>
        </w:rPr>
        <w:t>为了精确量化碰撞频率对群时延的影响,本文不直接使用无碰撞近似,而是对包含</w:t>
      </w:r>
      <m:oMath>
        <m:sSub>
          <m:sSubPr/>
          <m:e>
            <m:r>
              <m:rPr/>
              <m:t>ν</m:t>
            </m:r>
          </m:e>
          <m:sub>
            <m:r>
              <m:rPr/>
              <m:t>e</m:t>
            </m:r>
          </m:sub>
        </m:sSub>
      </m:oMath>
      <w:r>
        <w:rPr>
          <w:rFonts w:hint="eastAsia"/>
        </w:rPr>
        <w:t>的式(3-3)直接求导并整理,最终得到完整群时延解析表达式:</w:t>
      </w:r>
    </w:p>
    <w:p w14:paraId="3E552B8D">
      <w:r>
        <w:t xml:space="preserve"> </w:t>
      </w:r>
    </w:p>
    <w:p w14:paraId="6324ED40">
      <w:pPr>
        <w:pStyle w:val="44"/>
        <w:spacing w:before="0" w:after="0" w:line="400" w:lineRule="atLeast"/>
      </w:pPr>
      <w:r>
        <w:tab/>
      </w:r>
      <m:oMath>
        <m:sSub>
          <m:sSubPr/>
          <m:e>
            <m:r>
              <m:rPr/>
              <m:t>τ</m:t>
            </m:r>
          </m:e>
          <m:sub>
            <m:r>
              <m:rPr/>
              <m:t>g</m:t>
            </m:r>
          </m:sub>
        </m:sSub>
        <m:r>
          <m:rPr>
            <m:sty m:val="p"/>
          </m:rPr>
          <m:t>(</m:t>
        </m:r>
        <m:r>
          <m:rPr/>
          <m:t>ω</m:t>
        </m:r>
        <m:r>
          <m:rPr>
            <m:sty m:val="p"/>
          </m:rPr>
          <m:t>,</m:t>
        </m:r>
        <m:sSub>
          <m:sSubPr/>
          <m:e>
            <m:r>
              <m:rPr/>
              <m:t>ω</m:t>
            </m:r>
          </m:e>
          <m:sub>
            <m:r>
              <m:rPr/>
              <m:t>p</m:t>
            </m:r>
          </m:sub>
        </m:sSub>
        <m:r>
          <m:rPr>
            <m:sty m:val="p"/>
          </m:rPr>
          <m:t>,</m:t>
        </m:r>
        <m:sSub>
          <m:sSubPr/>
          <m:e>
            <m:r>
              <m:rPr/>
              <m:t>ν</m:t>
            </m:r>
          </m:e>
          <m:sub>
            <m:r>
              <m:rPr/>
              <m:t>e</m:t>
            </m:r>
          </m:sub>
        </m:sSub>
        <m:r>
          <m:rPr>
            <m:sty m:val="p"/>
          </m:rPr>
          <m:t>)=</m:t>
        </m:r>
        <m:f>
          <m:fPr/>
          <m:num>
            <m:r>
              <m:rPr/>
              <m:t>d</m:t>
            </m:r>
          </m:num>
          <m:den>
            <m:r>
              <m:rPr/>
              <m:t>c</m:t>
            </m:r>
          </m:den>
        </m:f>
        <m:r>
          <m:rPr>
            <m:sty m:val="p"/>
          </m:rPr>
          <m:t>⋅</m:t>
        </m:r>
        <m:f>
          <m:fPr/>
          <m:num>
            <m:r>
              <m:rPr/>
              <m:t>1</m:t>
            </m:r>
          </m:num>
          <m:den>
            <m:rad>
              <m:radPr>
                <m:degHide m:val="1"/>
              </m:radPr>
              <m:deg/>
              <m:e>
                <m:r>
                  <m:rPr/>
                  <m:t>1</m:t>
                </m:r>
                <m:r>
                  <m:rPr>
                    <m:sty m:val="p"/>
                  </m:rPr>
                  <m:t>−</m:t>
                </m:r>
                <m:f>
                  <m:fPr/>
                  <m:num>
                    <m:sSubSup>
                      <m:sSubSupPr/>
                      <m:e>
                        <m:r>
                          <m:rPr/>
                          <m:t>ω</m:t>
                        </m:r>
                      </m:e>
                      <m:sub>
                        <m:r>
                          <m:rPr/>
                          <m:t>p</m:t>
                        </m:r>
                      </m:sub>
                      <m:sup>
                        <m:r>
                          <m:rPr/>
                          <m:t>2</m:t>
                        </m:r>
                      </m:sup>
                    </m:sSubSup>
                  </m:num>
                  <m:den>
                    <m:sSup>
                      <m:sSupPr/>
                      <m:e>
                        <m:r>
                          <m:rPr/>
                          <m:t>ω</m:t>
                        </m:r>
                      </m:e>
                      <m:sup>
                        <m:r>
                          <m:rPr/>
                          <m:t>2</m:t>
                        </m:r>
                      </m:sup>
                    </m:sSup>
                    <m:r>
                      <m:rPr>
                        <m:sty m:val="p"/>
                      </m:rPr>
                      <m:t>+</m:t>
                    </m:r>
                    <m:sSubSup>
                      <m:sSubSupPr/>
                      <m:e>
                        <m:r>
                          <m:rPr/>
                          <m:t>ν</m:t>
                        </m:r>
                      </m:e>
                      <m:sub>
                        <m:r>
                          <m:rPr/>
                          <m:t>e</m:t>
                        </m:r>
                      </m:sub>
                      <m:sup>
                        <m:r>
                          <m:rPr/>
                          <m:t>2</m:t>
                        </m:r>
                      </m:sup>
                    </m:sSubSup>
                  </m:den>
                </m:f>
              </m:e>
            </m:rad>
          </m:den>
        </m:f>
        <m:r>
          <m:rPr>
            <m:sty m:val="p"/>
          </m:rPr>
          <m:t>⋅</m:t>
        </m:r>
        <m:d>
          <m:dPr>
            <m:begChr m:val="["/>
            <m:sepChr m:val=""/>
            <m:endChr m:val="]"/>
          </m:dPr>
          <m:e>
            <m:r>
              <m:rPr/>
              <m:t>1</m:t>
            </m:r>
            <m:r>
              <m:rPr>
                <m:sty m:val="p"/>
              </m:rPr>
              <m:t>−</m:t>
            </m:r>
            <m:f>
              <m:fPr/>
              <m:num>
                <m:sSubSup>
                  <m:sSubSupPr/>
                  <m:e>
                    <m:r>
                      <m:rPr/>
                      <m:t>ω</m:t>
                    </m:r>
                  </m:e>
                  <m:sub>
                    <m:r>
                      <m:rPr/>
                      <m:t>p</m:t>
                    </m:r>
                  </m:sub>
                  <m:sup>
                    <m:r>
                      <m:rPr/>
                      <m:t>2</m:t>
                    </m:r>
                  </m:sup>
                </m:sSubSup>
                <m:sSubSup>
                  <m:sSubSupPr/>
                  <m:e>
                    <m:r>
                      <m:rPr/>
                      <m:t>ν</m:t>
                    </m:r>
                  </m:e>
                  <m:sub>
                    <m:r>
                      <m:rPr/>
                      <m:t>e</m:t>
                    </m:r>
                  </m:sub>
                  <m:sup>
                    <m:r>
                      <m:rPr/>
                      <m:t>2</m:t>
                    </m:r>
                  </m:sup>
                </m:sSubSup>
              </m:num>
              <m:den>
                <m:r>
                  <m:rPr>
                    <m:sty m:val="p"/>
                  </m:rPr>
                  <m:t>(</m:t>
                </m:r>
                <m:sSup>
                  <m:sSupPr/>
                  <m:e>
                    <m:r>
                      <m:rPr/>
                      <m:t>ω</m:t>
                    </m:r>
                  </m:e>
                  <m:sup>
                    <m:r>
                      <m:rPr/>
                      <m:t>2</m:t>
                    </m:r>
                  </m:sup>
                </m:sSup>
                <m:r>
                  <m:rPr>
                    <m:sty m:val="p"/>
                  </m:rPr>
                  <m:t>+</m:t>
                </m:r>
                <m:sSubSup>
                  <m:sSubSupPr/>
                  <m:e>
                    <m:r>
                      <m:rPr/>
                      <m:t>ν</m:t>
                    </m:r>
                  </m:e>
                  <m:sub>
                    <m:r>
                      <m:rPr/>
                      <m:t>e</m:t>
                    </m:r>
                  </m:sub>
                  <m:sup>
                    <m:r>
                      <m:rPr/>
                      <m:t>2</m:t>
                    </m:r>
                  </m:sup>
                </m:sSubSup>
                <m:sSup>
                  <m:sSupPr/>
                  <m:e>
                    <m:r>
                      <m:rPr>
                        <m:sty m:val="p"/>
                      </m:rPr>
                      <m:t>)</m:t>
                    </m:r>
                  </m:e>
                  <m:sup>
                    <m:r>
                      <m:rPr/>
                      <m:t>2</m:t>
                    </m:r>
                  </m:sup>
                </m:sSup>
              </m:den>
            </m:f>
          </m:e>
        </m:d>
      </m:oMath>
      <w:r>
        <w:tab/>
      </w:r>
      <w:r>
        <w:t>(3</w:t>
      </w:r>
      <w:r>
        <w:noBreakHyphen/>
      </w:r>
      <w:r>
        <w:t>5)</w:t>
      </w:r>
    </w:p>
    <w:p w14:paraId="4A8D6518">
      <w:r>
        <w:t xml:space="preserve"> </w:t>
      </w:r>
    </w:p>
    <w:p w14:paraId="19B9D2DF">
      <w:r>
        <w:rPr>
          <w:rFonts w:hint="eastAsia"/>
        </w:rPr>
        <w:t>为了直观量化碰撞频率对群时延的贡献权重,引入无量纲小量</w:t>
      </w:r>
      <m:oMath>
        <m:r>
          <m:rPr/>
          <m:t>δ</m:t>
        </m:r>
      </m:oMath>
      <w:r>
        <w:rPr>
          <w:rFonts w:hint="eastAsia"/>
        </w:rPr>
        <w:t>来表征损耗因子的相对强度:</w:t>
      </w:r>
    </w:p>
    <w:p w14:paraId="1FB35C1B">
      <w:r>
        <w:t xml:space="preserve"> </w:t>
      </w:r>
    </w:p>
    <w:p w14:paraId="73BD5098">
      <w:pPr>
        <w:pStyle w:val="44"/>
        <w:spacing w:before="0" w:after="0" w:line="400" w:lineRule="atLeast"/>
      </w:pPr>
      <w:r>
        <w:tab/>
      </w:r>
      <m:oMath>
        <m:r>
          <m:rPr/>
          <m:t>δ</m:t>
        </m:r>
        <m:r>
          <m:rPr>
            <m:sty m:val="p"/>
          </m:rPr>
          <m:t>=</m:t>
        </m:r>
        <m:sSup>
          <m:sSupPr/>
          <m:e>
            <m:d>
              <m:dPr>
                <m:sepChr m:val=""/>
              </m:dPr>
              <m:e>
                <m:f>
                  <m:fPr/>
                  <m:num>
                    <m:sSub>
                      <m:sSubPr/>
                      <m:e>
                        <m:r>
                          <m:rPr/>
                          <m:t>ν</m:t>
                        </m:r>
                      </m:e>
                      <m:sub>
                        <m:r>
                          <m:rPr/>
                          <m:t>e</m:t>
                        </m:r>
                      </m:sub>
                    </m:sSub>
                  </m:num>
                  <m:den>
                    <m:r>
                      <m:rPr/>
                      <m:t>ω</m:t>
                    </m:r>
                  </m:den>
                </m:f>
              </m:e>
            </m:d>
          </m:e>
          <m:sup>
            <m:r>
              <m:rPr/>
              <m:t>2</m:t>
            </m:r>
          </m:sup>
        </m:sSup>
      </m:oMath>
      <w:r>
        <w:tab/>
      </w:r>
      <w:r>
        <w:t>(3</w:t>
      </w:r>
      <w:r>
        <w:noBreakHyphen/>
      </w:r>
      <w:r>
        <w:t>6)</w:t>
      </w:r>
    </w:p>
    <w:p w14:paraId="2B5B8647">
      <w:r>
        <w:t xml:space="preserve"> </w:t>
      </w:r>
    </w:p>
    <w:p w14:paraId="5B30D97A">
      <w:r>
        <w:rPr>
          <w:rFonts w:hint="eastAsia"/>
        </w:rPr>
        <w:t>在微波诊断的典型高频条件下(</w:t>
      </w:r>
      <m:oMath>
        <m:r>
          <m:rPr/>
          <m:t>ω</m:t>
        </m:r>
        <m:r>
          <m:rPr>
            <m:sty m:val="p"/>
          </m:rPr>
          <m:t>≫</m:t>
        </m:r>
        <m:sSub>
          <m:sSubPr/>
          <m:e>
            <m:r>
              <m:rPr/>
              <m:t>ν</m:t>
            </m:r>
          </m:e>
          <m:sub>
            <m:r>
              <m:rPr/>
              <m:t>e</m:t>
            </m:r>
          </m:sub>
        </m:sSub>
      </m:oMath>
      <w:r>
        <w:rPr>
          <w:rFonts w:hint="eastAsia"/>
        </w:rPr>
        <w:t>),该因子满足</w:t>
      </w:r>
      <m:oMath>
        <m:r>
          <m:rPr/>
          <m:t>δ</m:t>
        </m:r>
        <m:r>
          <m:rPr>
            <m:sty m:val="p"/>
          </m:rPr>
          <m:t>≪</m:t>
        </m:r>
        <m:r>
          <m:rPr/>
          <m:t>1</m:t>
        </m:r>
      </m:oMath>
      <w:r>
        <w:rPr>
          <w:rFonts w:hint="eastAsia"/>
        </w:rPr>
        <w:t>。利用关系式</w:t>
      </w:r>
      <m:oMath>
        <m:sSup>
          <m:sSupPr/>
          <m:e>
            <m:r>
              <m:rPr/>
              <m:t>ω</m:t>
            </m:r>
          </m:e>
          <m:sup>
            <m:r>
              <m:rPr/>
              <m:t>2</m:t>
            </m:r>
          </m:sup>
        </m:sSup>
        <m:r>
          <m:rPr>
            <m:sty m:val="p"/>
          </m:rPr>
          <m:t>+</m:t>
        </m:r>
        <m:sSubSup>
          <m:sSubSupPr/>
          <m:e>
            <m:r>
              <m:rPr/>
              <m:t>ν</m:t>
            </m:r>
          </m:e>
          <m:sub>
            <m:r>
              <m:rPr/>
              <m:t>e</m:t>
            </m:r>
          </m:sub>
          <m:sup>
            <m:r>
              <m:rPr/>
              <m:t>2</m:t>
            </m:r>
          </m:sup>
        </m:sSubSup>
        <m:r>
          <m:rPr>
            <m:sty m:val="p"/>
          </m:rPr>
          <m:t>=</m:t>
        </m:r>
        <m:sSup>
          <m:sSupPr/>
          <m:e>
            <m:r>
              <m:rPr/>
              <m:t>ω</m:t>
            </m:r>
          </m:e>
          <m:sup>
            <m:r>
              <m:rPr/>
              <m:t>2</m:t>
            </m:r>
          </m:sup>
        </m:sSup>
        <m:r>
          <m:rPr>
            <m:sty m:val="p"/>
          </m:rPr>
          <m:t>(</m:t>
        </m:r>
        <m:r>
          <m:rPr/>
          <m:t>1</m:t>
        </m:r>
        <m:r>
          <m:rPr>
            <m:sty m:val="p"/>
          </m:rPr>
          <m:t>+</m:t>
        </m:r>
        <m:r>
          <m:rPr/>
          <m:t>δ</m:t>
        </m:r>
        <m:r>
          <m:rPr>
            <m:sty m:val="p"/>
          </m:rPr>
          <m:t>)</m:t>
        </m:r>
      </m:oMath>
      <w:r>
        <w:rPr>
          <w:rFonts w:hint="eastAsia"/>
        </w:rPr>
        <w:t>,将含损耗的群时延解析导数重写为仅包含</w:t>
      </w:r>
      <m:oMath>
        <m:sSub>
          <m:sSubPr/>
          <m:e>
            <m:r>
              <m:rPr/>
              <m:t>ω</m:t>
            </m:r>
          </m:e>
          <m:sub>
            <m:r>
              <m:rPr/>
              <m:t>p</m:t>
            </m:r>
          </m:sub>
        </m:sSub>
      </m:oMath>
      <w:r>
        <w:t>、</w:t>
      </w:r>
      <m:oMath>
        <m:r>
          <m:rPr/>
          <m:t>ω</m:t>
        </m:r>
      </m:oMath>
      <w:r>
        <w:rPr>
          <w:rFonts w:hint="eastAsia"/>
        </w:rPr>
        <w:t>与</w:t>
      </w:r>
      <m:oMath>
        <m:r>
          <m:rPr/>
          <m:t>δ</m:t>
        </m:r>
      </m:oMath>
      <w:r>
        <w:rPr>
          <w:rFonts w:hint="eastAsia"/>
        </w:rPr>
        <w:t>的形式:</w:t>
      </w:r>
    </w:p>
    <w:p w14:paraId="58FDE1F8">
      <w:r>
        <w:t xml:space="preserve"> </w:t>
      </w:r>
    </w:p>
    <w:p w14:paraId="41E7021B">
      <w:pPr>
        <w:pStyle w:val="44"/>
        <w:spacing w:before="0" w:after="0" w:line="400" w:lineRule="atLeast"/>
      </w:pPr>
      <w:r>
        <w:tab/>
      </w:r>
      <m:oMath>
        <m:sSub>
          <m:sSubPr/>
          <m:e>
            <m:r>
              <m:rPr/>
              <m:t>τ</m:t>
            </m:r>
          </m:e>
          <m:sub>
            <m:r>
              <m:rPr/>
              <m:t>g</m:t>
            </m:r>
          </m:sub>
        </m:sSub>
        <m:r>
          <m:rPr>
            <m:sty m:val="p"/>
          </m:rPr>
          <m:t>(</m:t>
        </m:r>
        <m:r>
          <m:rPr/>
          <m:t>ω</m:t>
        </m:r>
        <m:r>
          <m:rPr>
            <m:sty m:val="p"/>
          </m:rPr>
          <m:t>)=</m:t>
        </m:r>
        <m:f>
          <m:fPr/>
          <m:num>
            <m:r>
              <m:rPr/>
              <m:t>d</m:t>
            </m:r>
          </m:num>
          <m:den>
            <m:r>
              <m:rPr/>
              <m:t>c</m:t>
            </m:r>
          </m:den>
        </m:f>
        <m:f>
          <m:fPr/>
          <m:num>
            <m:r>
              <m:rPr/>
              <m:t>1</m:t>
            </m:r>
          </m:num>
          <m:den>
            <m:rad>
              <m:radPr>
                <m:degHide m:val="1"/>
              </m:radPr>
              <m:deg/>
              <m:e>
                <m:r>
                  <m:rPr/>
                  <m:t>1</m:t>
                </m:r>
                <m:r>
                  <m:rPr>
                    <m:sty m:val="p"/>
                  </m:rPr>
                  <m:t>−</m:t>
                </m:r>
                <m:f>
                  <m:fPr/>
                  <m:num>
                    <m:sSubSup>
                      <m:sSubSupPr/>
                      <m:e>
                        <m:r>
                          <m:rPr/>
                          <m:t>ω</m:t>
                        </m:r>
                      </m:e>
                      <m:sub>
                        <m:r>
                          <m:rPr/>
                          <m:t>p</m:t>
                        </m:r>
                      </m:sub>
                      <m:sup>
                        <m:r>
                          <m:rPr/>
                          <m:t>2</m:t>
                        </m:r>
                      </m:sup>
                    </m:sSubSup>
                  </m:num>
                  <m:den>
                    <m:sSup>
                      <m:sSupPr/>
                      <m:e>
                        <m:r>
                          <m:rPr/>
                          <m:t>ω</m:t>
                        </m:r>
                      </m:e>
                      <m:sup>
                        <m:r>
                          <m:rPr/>
                          <m:t>2</m:t>
                        </m:r>
                      </m:sup>
                    </m:sSup>
                    <m:r>
                      <m:rPr>
                        <m:sty m:val="p"/>
                      </m:rPr>
                      <m:t>(</m:t>
                    </m:r>
                    <m:r>
                      <m:rPr/>
                      <m:t>1</m:t>
                    </m:r>
                    <m:r>
                      <m:rPr>
                        <m:sty m:val="p"/>
                      </m:rPr>
                      <m:t>+</m:t>
                    </m:r>
                    <m:r>
                      <m:rPr/>
                      <m:t>δ</m:t>
                    </m:r>
                    <m:r>
                      <m:rPr>
                        <m:sty m:val="p"/>
                      </m:rPr>
                      <m:t>)</m:t>
                    </m:r>
                  </m:den>
                </m:f>
              </m:e>
            </m:rad>
          </m:den>
        </m:f>
        <m:d>
          <m:dPr>
            <m:begChr m:val="["/>
            <m:sepChr m:val=""/>
            <m:endChr m:val="]"/>
          </m:dPr>
          <m:e>
            <m:r>
              <m:rPr/>
              <m:t>1</m:t>
            </m:r>
            <m:r>
              <m:rPr>
                <m:sty m:val="p"/>
              </m:rPr>
              <m:t>−</m:t>
            </m:r>
            <m:f>
              <m:fPr/>
              <m:num>
                <m:sSubSup>
                  <m:sSubSupPr/>
                  <m:e>
                    <m:r>
                      <m:rPr/>
                      <m:t>ω</m:t>
                    </m:r>
                  </m:e>
                  <m:sub>
                    <m:r>
                      <m:rPr/>
                      <m:t>p</m:t>
                    </m:r>
                  </m:sub>
                  <m:sup>
                    <m:r>
                      <m:rPr/>
                      <m:t>2</m:t>
                    </m:r>
                  </m:sup>
                </m:sSubSup>
              </m:num>
              <m:den>
                <m:sSup>
                  <m:sSupPr/>
                  <m:e>
                    <m:r>
                      <m:rPr/>
                      <m:t>ω</m:t>
                    </m:r>
                  </m:e>
                  <m:sup>
                    <m:r>
                      <m:rPr/>
                      <m:t>2</m:t>
                    </m:r>
                  </m:sup>
                </m:sSup>
              </m:den>
            </m:f>
            <m:f>
              <m:fPr/>
              <m:num>
                <m:r>
                  <m:rPr/>
                  <m:t>δ</m:t>
                </m:r>
              </m:num>
              <m:den>
                <m:r>
                  <m:rPr>
                    <m:sty m:val="p"/>
                  </m:rPr>
                  <m:t>(</m:t>
                </m:r>
                <m:r>
                  <m:rPr/>
                  <m:t>1</m:t>
                </m:r>
                <m:r>
                  <m:rPr>
                    <m:sty m:val="p"/>
                  </m:rPr>
                  <m:t>+</m:t>
                </m:r>
                <m:r>
                  <m:rPr/>
                  <m:t>δ</m:t>
                </m:r>
                <m:sSup>
                  <m:sSupPr/>
                  <m:e>
                    <m:r>
                      <m:rPr>
                        <m:sty m:val="p"/>
                      </m:rPr>
                      <m:t>)</m:t>
                    </m:r>
                  </m:e>
                  <m:sup>
                    <m:r>
                      <m:rPr/>
                      <m:t>2</m:t>
                    </m:r>
                  </m:sup>
                </m:sSup>
              </m:den>
            </m:f>
          </m:e>
        </m:d>
      </m:oMath>
      <w:r>
        <w:tab/>
      </w:r>
      <w:r>
        <w:t>(3</w:t>
      </w:r>
      <w:r>
        <w:noBreakHyphen/>
      </w:r>
      <w:r>
        <w:t>7)</w:t>
      </w:r>
    </w:p>
    <w:p w14:paraId="1A40E7A5">
      <w:r>
        <w:t xml:space="preserve"> </w:t>
      </w:r>
    </w:p>
    <w:p w14:paraId="1D59506D">
      <w:r>
        <w:rPr>
          <w:rFonts w:hint="eastAsia"/>
        </w:rPr>
        <w:t>上式精确描述了群时延与微扰量</w:t>
      </w:r>
      <m:oMath>
        <m:r>
          <m:rPr/>
          <m:t>δ</m:t>
        </m:r>
      </m:oMath>
      <w:r>
        <w:rPr>
          <w:rFonts w:hint="eastAsia"/>
        </w:rPr>
        <w:t>的函数关系。为明确各物理量的贡献层级,对式(3-7)作小量展开并忽略</w:t>
      </w:r>
      <m:oMath>
        <m:sSup>
          <m:sSupPr/>
          <m:e>
            <m:r>
              <m:rPr/>
              <m:t>δ</m:t>
            </m:r>
          </m:e>
          <m:sup>
            <m:r>
              <m:rPr/>
              <m:t>2</m:t>
            </m:r>
          </m:sup>
        </m:sSup>
      </m:oMath>
      <w:r>
        <w:rPr>
          <w:rFonts w:hint="eastAsia"/>
        </w:rPr>
        <w:t>以上高阶项,可得群时延的近似表达式:</w:t>
      </w:r>
    </w:p>
    <w:p w14:paraId="55BD4630">
      <w:r>
        <w:t xml:space="preserve"> </w:t>
      </w:r>
    </w:p>
    <w:p w14:paraId="332B380E">
      <w:pPr>
        <w:pStyle w:val="44"/>
        <w:spacing w:before="0" w:after="0" w:line="400" w:lineRule="atLeast"/>
      </w:pPr>
      <w:r>
        <w:tab/>
      </w:r>
      <m:oMath>
        <m:sSub>
          <m:sSubPr/>
          <m:e>
            <m:r>
              <m:rPr/>
              <m:t>τ</m:t>
            </m:r>
          </m:e>
          <m:sub>
            <m:r>
              <m:rPr/>
              <m:t>g</m:t>
            </m:r>
          </m:sub>
        </m:sSub>
        <m:r>
          <m:rPr>
            <m:sty m:val="p"/>
          </m:rPr>
          <m:t>(</m:t>
        </m:r>
        <m:r>
          <m:rPr/>
          <m:t>ω</m:t>
        </m:r>
        <m:r>
          <m:rPr>
            <m:sty m:val="p"/>
          </m:rPr>
          <m:t>)≈</m:t>
        </m:r>
        <m:f>
          <m:fPr/>
          <m:num>
            <m:r>
              <m:rPr/>
              <m:t>d</m:t>
            </m:r>
          </m:num>
          <m:den>
            <m:r>
              <m:rPr/>
              <m:t>c</m:t>
            </m:r>
            <m:rad>
              <m:radPr>
                <m:degHide m:val="1"/>
              </m:radPr>
              <m:deg/>
              <m:e>
                <m:r>
                  <m:rPr/>
                  <m:t>1</m:t>
                </m:r>
                <m:r>
                  <m:rPr>
                    <m:sty m:val="p"/>
                  </m:rPr>
                  <m:t>−(</m:t>
                </m:r>
                <m:sSub>
                  <m:sSubPr/>
                  <m:e>
                    <m:r>
                      <m:rPr/>
                      <m:t>ω</m:t>
                    </m:r>
                  </m:e>
                  <m:sub>
                    <m:r>
                      <m:rPr/>
                      <m:t>p</m:t>
                    </m:r>
                  </m:sub>
                </m:sSub>
                <m:r>
                  <m:rPr>
                    <m:sty m:val="p"/>
                  </m:rPr>
                  <m:t>/</m:t>
                </m:r>
                <m:r>
                  <m:rPr/>
                  <m:t>ω</m:t>
                </m:r>
                <m:sSup>
                  <m:sSupPr/>
                  <m:e>
                    <m:r>
                      <m:rPr>
                        <m:sty m:val="p"/>
                      </m:rPr>
                      <m:t>)</m:t>
                    </m:r>
                  </m:e>
                  <m:sup>
                    <m:r>
                      <m:rPr/>
                      <m:t>2</m:t>
                    </m:r>
                  </m:sup>
                </m:sSup>
              </m:e>
            </m:rad>
          </m:den>
        </m:f>
        <m:d>
          <m:dPr>
            <m:begChr m:val="["/>
            <m:sepChr m:val=""/>
            <m:endChr m:val="]"/>
          </m:dPr>
          <m:e>
            <m:r>
              <m:rPr/>
              <m:t>1</m:t>
            </m:r>
            <m:r>
              <m:rPr>
                <m:sty m:val="p"/>
              </m:rPr>
              <m:t>−</m:t>
            </m:r>
            <m:d>
              <m:dPr>
                <m:sepChr m:val=""/>
              </m:dPr>
              <m:e>
                <m:f>
                  <m:fPr/>
                  <m:num>
                    <m:r>
                      <m:rPr/>
                      <m:t>1</m:t>
                    </m:r>
                  </m:num>
                  <m:den>
                    <m:r>
                      <m:rPr/>
                      <m:t>2</m:t>
                    </m:r>
                  </m:den>
                </m:f>
                <m:f>
                  <m:fPr/>
                  <m:num>
                    <m:r>
                      <m:rPr>
                        <m:sty m:val="p"/>
                      </m:rPr>
                      <m:t>(</m:t>
                    </m:r>
                    <m:sSub>
                      <m:sSubPr/>
                      <m:e>
                        <m:r>
                          <m:rPr/>
                          <m:t>ω</m:t>
                        </m:r>
                      </m:e>
                      <m:sub>
                        <m:r>
                          <m:rPr/>
                          <m:t>p</m:t>
                        </m:r>
                      </m:sub>
                    </m:sSub>
                    <m:r>
                      <m:rPr>
                        <m:sty m:val="p"/>
                      </m:rPr>
                      <m:t>/</m:t>
                    </m:r>
                    <m:r>
                      <m:rPr/>
                      <m:t>ω</m:t>
                    </m:r>
                    <m:sSup>
                      <m:sSupPr/>
                      <m:e>
                        <m:r>
                          <m:rPr>
                            <m:sty m:val="p"/>
                          </m:rPr>
                          <m:t>)</m:t>
                        </m:r>
                      </m:e>
                      <m:sup>
                        <m:r>
                          <m:rPr/>
                          <m:t>2</m:t>
                        </m:r>
                      </m:sup>
                    </m:sSup>
                  </m:num>
                  <m:den>
                    <m:r>
                      <m:rPr/>
                      <m:t>1</m:t>
                    </m:r>
                    <m:r>
                      <m:rPr>
                        <m:sty m:val="p"/>
                      </m:rPr>
                      <m:t>−(</m:t>
                    </m:r>
                    <m:sSub>
                      <m:sSubPr/>
                      <m:e>
                        <m:r>
                          <m:rPr/>
                          <m:t>ω</m:t>
                        </m:r>
                      </m:e>
                      <m:sub>
                        <m:r>
                          <m:rPr/>
                          <m:t>p</m:t>
                        </m:r>
                      </m:sub>
                    </m:sSub>
                    <m:r>
                      <m:rPr>
                        <m:sty m:val="p"/>
                      </m:rPr>
                      <m:t>/</m:t>
                    </m:r>
                    <m:r>
                      <m:rPr/>
                      <m:t>ω</m:t>
                    </m:r>
                    <m:sSup>
                      <m:sSupPr/>
                      <m:e>
                        <m:r>
                          <m:rPr>
                            <m:sty m:val="p"/>
                          </m:rPr>
                          <m:t>)</m:t>
                        </m:r>
                      </m:e>
                      <m:sup>
                        <m:r>
                          <m:rPr/>
                          <m:t>2</m:t>
                        </m:r>
                      </m:sup>
                    </m:sSup>
                  </m:den>
                </m:f>
                <m:r>
                  <m:rPr>
                    <m:sty m:val="p"/>
                  </m:rPr>
                  <m:t>+</m:t>
                </m:r>
                <m:f>
                  <m:fPr/>
                  <m:num>
                    <m:sSubSup>
                      <m:sSubSupPr/>
                      <m:e>
                        <m:r>
                          <m:rPr/>
                          <m:t>ω</m:t>
                        </m:r>
                      </m:e>
                      <m:sub>
                        <m:r>
                          <m:rPr/>
                          <m:t>p</m:t>
                        </m:r>
                      </m:sub>
                      <m:sup>
                        <m:r>
                          <m:rPr/>
                          <m:t>2</m:t>
                        </m:r>
                      </m:sup>
                    </m:sSubSup>
                  </m:num>
                  <m:den>
                    <m:sSup>
                      <m:sSupPr/>
                      <m:e>
                        <m:r>
                          <m:rPr/>
                          <m:t>ω</m:t>
                        </m:r>
                      </m:e>
                      <m:sup>
                        <m:r>
                          <m:rPr/>
                          <m:t>2</m:t>
                        </m:r>
                      </m:sup>
                    </m:sSup>
                  </m:den>
                </m:f>
              </m:e>
            </m:d>
            <m:r>
              <m:rPr/>
              <m:t>δ</m:t>
            </m:r>
          </m:e>
        </m:d>
      </m:oMath>
      <w:r>
        <w:tab/>
      </w:r>
      <w:r>
        <w:t>(3</w:t>
      </w:r>
      <w:r>
        <w:noBreakHyphen/>
      </w:r>
      <w:r>
        <w:t>8)</w:t>
      </w:r>
    </w:p>
    <w:p w14:paraId="7AA1F612">
      <w:r>
        <w:t xml:space="preserve"> </w:t>
      </w:r>
    </w:p>
    <w:p w14:paraId="59CF1841">
      <w:r>
        <w:rPr>
          <w:rFonts w:hint="eastAsia"/>
        </w:rPr>
        <w:t>基于式(3-8)可直接判断各物理量对群时延的贡献层级。特征角频率</w:t>
      </w:r>
      <m:oMath>
        <m:sSub>
          <m:sSubPr/>
          <m:e>
            <m:r>
              <m:rPr/>
              <m:t>ω</m:t>
            </m:r>
          </m:e>
          <m:sub>
            <m:r>
              <m:rPr/>
              <m:t>p</m:t>
            </m:r>
          </m:sub>
        </m:sSub>
      </m:oMath>
      <w:r>
        <w:rPr>
          <w:rFonts w:hint="eastAsia"/>
        </w:rPr>
        <w:t>(即电子密度</w:t>
      </w:r>
      <m:oMath>
        <m:sSub>
          <m:sSubPr/>
          <m:e>
            <m:r>
              <m:rPr/>
              <m:t>n</m:t>
            </m:r>
          </m:e>
          <m:sub>
            <m:r>
              <m:rPr/>
              <m:t>e</m:t>
            </m:r>
          </m:sub>
        </m:sSub>
      </m:oMath>
      <w:r>
        <w:rPr>
          <w:rFonts w:hint="eastAsia"/>
        </w:rPr>
        <w:t>)位于主导项分母中,决定了群时延曲线的整体形态;当探测频率逼近截止频率(</w:t>
      </w:r>
      <m:oMath>
        <m:r>
          <m:rPr/>
          <m:t>ω</m:t>
        </m:r>
        <m:r>
          <m:rPr>
            <m:sty m:val="p"/>
          </m:rPr>
          <m:t>→</m:t>
        </m:r>
        <m:sSub>
          <m:sSubPr/>
          <m:e>
            <m:r>
              <m:rPr/>
              <m:t>ω</m:t>
            </m:r>
          </m:e>
          <m:sub>
            <m:r>
              <m:rPr/>
              <m:t>p</m:t>
            </m:r>
          </m:sub>
        </m:sSub>
      </m:oMath>
      <w:r>
        <w:rPr>
          <w:rFonts w:hint="eastAsia"/>
        </w:rPr>
        <w:t>)时,主导项急剧增大,这正是群时延对电子密度高灵敏的物理来源。相比之下,碰撞频率</w:t>
      </w:r>
      <m:oMath>
        <m:sSub>
          <m:sSubPr/>
          <m:e>
            <m:r>
              <m:rPr/>
              <m:t>ν</m:t>
            </m:r>
          </m:e>
          <m:sub>
            <m:r>
              <m:rPr/>
              <m:t>e</m:t>
            </m:r>
          </m:sub>
        </m:sSub>
      </m:oMath>
      <w:r>
        <w:rPr>
          <w:rFonts w:hint="eastAsia"/>
        </w:rPr>
        <w:t>仅通过</w:t>
      </w:r>
      <m:oMath>
        <m:r>
          <m:rPr/>
          <m:t>δ</m:t>
        </m:r>
        <m:r>
          <m:rPr>
            <m:sty m:val="p"/>
          </m:rPr>
          <m:t>=(</m:t>
        </m:r>
        <m:sSub>
          <m:sSubPr/>
          <m:e>
            <m:r>
              <m:rPr/>
              <m:t>ν</m:t>
            </m:r>
          </m:e>
          <m:sub>
            <m:r>
              <m:rPr/>
              <m:t>e</m:t>
            </m:r>
          </m:sub>
        </m:sSub>
        <m:r>
          <m:rPr>
            <m:sty m:val="p"/>
          </m:rPr>
          <m:t>/</m:t>
        </m:r>
        <m:r>
          <m:rPr/>
          <m:t>ω</m:t>
        </m:r>
        <m:sSup>
          <m:sSupPr/>
          <m:e>
            <m:r>
              <m:rPr>
                <m:sty m:val="p"/>
              </m:rPr>
              <m:t>)</m:t>
            </m:r>
          </m:e>
          <m:sup>
            <m:r>
              <m:rPr/>
              <m:t>2</m:t>
            </m:r>
          </m:sup>
        </m:sSup>
      </m:oMath>
      <w:r>
        <w:rPr>
          <w:rFonts w:hint="eastAsia"/>
        </w:rPr>
        <w:t>进入修正项,对群时延的影响属于二阶小量,而其对衰减常数</w:t>
      </w:r>
      <m:oMath>
        <m:r>
          <m:rPr/>
          <m:t>α</m:t>
        </m:r>
      </m:oMath>
      <w:r>
        <w:rPr>
          <w:rFonts w:hint="eastAsia"/>
        </w:rPr>
        <w:t>的影响则保持一阶主导。由此可见,时延特征更适合表征电子密度,幅度衰减更敏感于碰撞频率,后续可据此固定</w:t>
      </w:r>
      <m:oMath>
        <m:sSub>
          <m:sSubPr/>
          <m:e>
            <m:r>
              <m:rPr/>
              <m:t>ν</m:t>
            </m:r>
          </m:e>
          <m:sub>
            <m:r>
              <m:rPr/>
              <m:t>e</m:t>
            </m:r>
          </m:sub>
        </m:sSub>
      </m:oMath>
      <w:r>
        <w:rPr>
          <w:rFonts w:hint="eastAsia"/>
        </w:rPr>
        <w:t>并仅反演</w:t>
      </w:r>
      <m:oMath>
        <m:sSub>
          <m:sSubPr/>
          <m:e>
            <m:r>
              <m:rPr/>
              <m:t>n</m:t>
            </m:r>
          </m:e>
          <m:sub>
            <m:r>
              <m:rPr/>
              <m:t>e</m:t>
            </m:r>
          </m:sub>
        </m:sSub>
      </m:oMath>
      <w:r>
        <w:t>。</w:t>
      </w:r>
    </w:p>
    <w:bookmarkEnd w:id="42"/>
    <w:p w14:paraId="19EFAABA">
      <w:pPr>
        <w:pStyle w:val="4"/>
      </w:pPr>
      <w:bookmarkStart w:id="43" w:name="全频段频率到群时延的非线性关系"/>
      <w:r>
        <w:rPr>
          <w:rFonts w:hint="eastAsia"/>
        </w:rPr>
        <w:t>全频段频率到群时延的非线性关系</w:t>
      </w:r>
    </w:p>
    <w:p w14:paraId="03A4658B">
      <w:r>
        <w:rPr>
          <w:rFonts w:hint="eastAsia"/>
        </w:rPr>
        <w:t>上一节推导了群时延的物理解析式,并从数学上证明了群时延是电子密度的强函数、碰撞频率的弱函数。本节将在此基础上,结合LFMCW雷达的实际工作体制,给出射频探测频率</w:t>
      </w:r>
      <m:oMath>
        <m:r>
          <m:rPr/>
          <m:t>f</m:t>
        </m:r>
      </m:oMath>
      <w:r>
        <w:rPr>
          <w:rFonts w:hint="eastAsia"/>
        </w:rPr>
        <w:t>与相对群时延</w:t>
      </w:r>
      <m:oMath>
        <m:r>
          <m:rPr>
            <m:sty m:val="p"/>
          </m:rPr>
          <m:t>Δ</m:t>
        </m:r>
        <m:sSub>
          <m:sSubPr/>
          <m:e>
            <m:r>
              <m:rPr/>
              <m:t>τ</m:t>
            </m:r>
          </m:e>
          <m:sub>
            <m:r>
              <m:rPr/>
              <m:t>g</m:t>
            </m:r>
          </m:sub>
        </m:sSub>
      </m:oMath>
      <w:r>
        <w:rPr>
          <w:rFonts w:hint="eastAsia"/>
        </w:rPr>
        <w:t>之间的全频段非线性关系。该关系直接连接雷达测量数据与介质物理参数,也是第四章参数反演所采用的正向模型。</w:t>
      </w:r>
    </w:p>
    <w:p w14:paraId="62A7B75B">
      <w:r>
        <w:rPr>
          <w:rFonts w:hint="eastAsia"/>
        </w:rPr>
        <w:t>在实际的微波透射诊断实验中,为了消除测试线缆、收发天线及自由空间路径带来的系统固有延迟,通常采用有无等离子体的差分测量模式。雷达系统实际提取的物理量为相对群时延</w:t>
      </w:r>
      <m:oMath>
        <m:r>
          <m:rPr>
            <m:sty m:val="p"/>
          </m:rPr>
          <m:t>Δ</m:t>
        </m:r>
        <m:sSub>
          <m:sSubPr/>
          <m:e>
            <m:r>
              <m:rPr/>
              <m:t>τ</m:t>
            </m:r>
          </m:e>
          <m:sub>
            <m:r>
              <m:rPr/>
              <m:t>g</m:t>
            </m:r>
          </m:sub>
        </m:sSub>
      </m:oMath>
      <w:r>
        <w:rPr>
          <w:rFonts w:hint="eastAsia"/>
        </w:rPr>
        <w:t>,定义为电磁波穿过等离子体介质的物理群时延</w:t>
      </w:r>
      <m:oMath>
        <m:sSub>
          <m:sSubPr/>
          <m:e>
            <m:r>
              <m:rPr/>
              <m:t>τ</m:t>
            </m:r>
          </m:e>
          <m:sub>
            <m:r>
              <m:rPr/>
              <m:t>g</m:t>
            </m:r>
          </m:sub>
        </m:sSub>
      </m:oMath>
      <w:r>
        <w:rPr>
          <w:rFonts w:hint="eastAsia"/>
        </w:rPr>
        <w:t>与穿过同等物理厚度</w:t>
      </w:r>
      <m:oMath>
        <m:r>
          <m:rPr/>
          <m:t>d</m:t>
        </m:r>
      </m:oMath>
      <w:r>
        <w:rPr>
          <w:rFonts w:hint="eastAsia"/>
        </w:rPr>
        <w:t>的真空(或空气)群时延</w:t>
      </w:r>
      <m:oMath>
        <m:sSub>
          <m:sSubPr/>
          <m:e>
            <m:r>
              <m:rPr/>
              <m:t>τ</m:t>
            </m:r>
          </m:e>
          <m:sub>
            <m:r>
              <m:rPr/>
              <m:t>0</m:t>
            </m:r>
          </m:sub>
        </m:sSub>
      </m:oMath>
      <w:r>
        <w:rPr>
          <w:rFonts w:hint="eastAsia"/>
        </w:rPr>
        <w:t>之差:</w:t>
      </w:r>
    </w:p>
    <w:p w14:paraId="4D2E71BA">
      <w:r>
        <w:t xml:space="preserve"> </w:t>
      </w:r>
    </w:p>
    <w:p w14:paraId="4D09901E">
      <w:pPr>
        <w:pStyle w:val="44"/>
        <w:spacing w:before="0" w:after="0" w:line="400" w:lineRule="atLeast"/>
      </w:pPr>
      <w:r>
        <w:tab/>
      </w:r>
      <m:oMath>
        <m:r>
          <m:rPr>
            <m:sty m:val="p"/>
          </m:rPr>
          <m:t>Δ</m:t>
        </m:r>
        <m:sSub>
          <m:sSubPr/>
          <m:e>
            <m:r>
              <m:rPr/>
              <m:t>τ</m:t>
            </m:r>
          </m:e>
          <m:sub>
            <m:r>
              <m:rPr/>
              <m:t>g</m:t>
            </m:r>
          </m:sub>
        </m:sSub>
        <m:r>
          <m:rPr>
            <m:sty m:val="p"/>
          </m:rPr>
          <m:t>(</m:t>
        </m:r>
        <m:r>
          <m:rPr/>
          <m:t>ω</m:t>
        </m:r>
        <m:r>
          <m:rPr>
            <m:sty m:val="p"/>
          </m:rPr>
          <m:t>)=</m:t>
        </m:r>
        <m:sSub>
          <m:sSubPr/>
          <m:e>
            <m:r>
              <m:rPr/>
              <m:t>τ</m:t>
            </m:r>
          </m:e>
          <m:sub>
            <m:r>
              <m:rPr/>
              <m:t>g</m:t>
            </m:r>
          </m:sub>
        </m:sSub>
        <m:r>
          <m:rPr>
            <m:sty m:val="p"/>
          </m:rPr>
          <m:t>(</m:t>
        </m:r>
        <m:r>
          <m:rPr/>
          <m:t>ω</m:t>
        </m:r>
        <m:r>
          <m:rPr>
            <m:sty m:val="p"/>
          </m:rPr>
          <m:t>)−</m:t>
        </m:r>
        <m:sSub>
          <m:sSubPr/>
          <m:e>
            <m:r>
              <m:rPr/>
              <m:t>τ</m:t>
            </m:r>
          </m:e>
          <m:sub>
            <m:r>
              <m:rPr/>
              <m:t>0</m:t>
            </m:r>
          </m:sub>
        </m:sSub>
        <m:r>
          <m:rPr>
            <m:sty m:val="p"/>
          </m:rPr>
          <m:t>=</m:t>
        </m:r>
        <m:sSub>
          <m:sSubPr/>
          <m:e>
            <m:r>
              <m:rPr/>
              <m:t>τ</m:t>
            </m:r>
          </m:e>
          <m:sub>
            <m:r>
              <m:rPr/>
              <m:t>g</m:t>
            </m:r>
          </m:sub>
        </m:sSub>
        <m:r>
          <m:rPr>
            <m:sty m:val="p"/>
          </m:rPr>
          <m:t>(</m:t>
        </m:r>
        <m:r>
          <m:rPr/>
          <m:t>ω</m:t>
        </m:r>
        <m:r>
          <m:rPr>
            <m:sty m:val="p"/>
          </m:rPr>
          <m:t>)−</m:t>
        </m:r>
        <m:f>
          <m:fPr/>
          <m:num>
            <m:r>
              <m:rPr/>
              <m:t>d</m:t>
            </m:r>
          </m:num>
          <m:den>
            <m:r>
              <m:rPr/>
              <m:t>c</m:t>
            </m:r>
          </m:den>
        </m:f>
      </m:oMath>
      <w:r>
        <w:tab/>
      </w:r>
      <w:r>
        <w:t>(3</w:t>
      </w:r>
      <w:r>
        <w:noBreakHyphen/>
      </w:r>
      <w:r>
        <w:t>9)</w:t>
      </w:r>
    </w:p>
    <w:p w14:paraId="70F46ED1">
      <w:r>
        <w:t xml:space="preserve"> </w:t>
      </w:r>
    </w:p>
    <w:p w14:paraId="615BDCD6">
      <w:r>
        <w:rPr>
          <w:rFonts w:hint="eastAsia"/>
        </w:rPr>
        <w:t>为了保证物理模型的完备性,首先建立包含碰撞频率二阶微扰的完整观测方程。依据工程测量标准,将角频率</w:t>
      </w:r>
      <m:oMath>
        <m:r>
          <m:rPr/>
          <m:t>ω</m:t>
        </m:r>
      </m:oMath>
      <w:r>
        <w:rPr>
          <w:rFonts w:hint="eastAsia"/>
        </w:rPr>
        <w:t>转换为线性频率</w:t>
      </w:r>
      <m:oMath>
        <m:r>
          <m:rPr/>
          <m:t>f</m:t>
        </m:r>
      </m:oMath>
      <w:r>
        <w:t>(</w:t>
      </w:r>
      <m:oMath>
        <m:r>
          <m:rPr/>
          <m:t>ω</m:t>
        </m:r>
        <m:r>
          <m:rPr>
            <m:sty m:val="p"/>
          </m:rPr>
          <m:t>=</m:t>
        </m:r>
        <m:r>
          <m:rPr/>
          <m:t>2πf</m:t>
        </m:r>
      </m:oMath>
      <w:r>
        <w:rPr>
          <w:rFonts w:hint="eastAsia"/>
        </w:rPr>
        <w:t>),并将等离子体特征角频率</w:t>
      </w:r>
      <m:oMath>
        <m:sSub>
          <m:sSubPr/>
          <m:e>
            <m:r>
              <m:rPr/>
              <m:t>ω</m:t>
            </m:r>
          </m:e>
          <m:sub>
            <m:r>
              <m:rPr/>
              <m:t>p</m:t>
            </m:r>
          </m:sub>
        </m:sSub>
      </m:oMath>
      <w:r>
        <w:rPr>
          <w:rFonts w:hint="eastAsia"/>
        </w:rPr>
        <w:t>转换为截止频率</w:t>
      </w:r>
      <m:oMath>
        <m:sSub>
          <m:sSubPr/>
          <m:e>
            <m:r>
              <m:rPr/>
              <m:t>f</m:t>
            </m:r>
          </m:e>
          <m:sub>
            <m:r>
              <m:rPr/>
              <m:t>p</m:t>
            </m:r>
          </m:sub>
        </m:sSub>
      </m:oMath>
      <w:r>
        <w:t>(</w:t>
      </w:r>
      <m:oMath>
        <m:sSub>
          <m:sSubPr/>
          <m:e>
            <m:r>
              <m:rPr/>
              <m:t>f</m:t>
            </m:r>
          </m:e>
          <m:sub>
            <m:r>
              <m:rPr/>
              <m:t>p</m:t>
            </m:r>
          </m:sub>
        </m:sSub>
        <m:r>
          <m:rPr>
            <m:sty m:val="p"/>
          </m:rPr>
          <m:t>=</m:t>
        </m:r>
        <m:sSub>
          <m:sSubPr/>
          <m:e>
            <m:r>
              <m:rPr/>
              <m:t>ω</m:t>
            </m:r>
          </m:e>
          <m:sub>
            <m:r>
              <m:rPr/>
              <m:t>p</m:t>
            </m:r>
          </m:sub>
        </m:sSub>
        <m:r>
          <m:rPr>
            <m:sty m:val="p"/>
          </m:rPr>
          <m:t>/</m:t>
        </m:r>
        <m:r>
          <m:rPr/>
          <m:t>2π</m:t>
        </m:r>
      </m:oMath>
      <w:r>
        <w:t>)。</w:t>
      </w:r>
    </w:p>
    <w:p w14:paraId="4F4E2E5A">
      <w:r>
        <w:rPr>
          <w:rFonts w:hint="eastAsia"/>
        </w:rPr>
        <w:t>将式(3-5)代入观测定义,全频段内频率到时延的映射关系</w:t>
      </w:r>
      <m:oMath>
        <m:sSub>
          <m:sSubPr/>
          <m:e>
            <m:r>
              <m:rPr>
                <m:sty m:val="p"/>
                <m:scr m:val="script"/>
              </m:rPr>
              <m:t>ℳ</m:t>
            </m:r>
          </m:e>
          <m:sub>
            <m:r>
              <m:rPr/>
              <m:t>full</m:t>
            </m:r>
          </m:sub>
        </m:sSub>
      </m:oMath>
      <w:r>
        <w:rPr>
          <w:rFonts w:hint="eastAsia"/>
        </w:rPr>
        <w:t>可表述为:</w:t>
      </w:r>
    </w:p>
    <w:p w14:paraId="23A518E6">
      <w:r>
        <w:t xml:space="preserve"> </w:t>
      </w:r>
    </w:p>
    <w:p w14:paraId="19D5728C">
      <w:pPr>
        <w:pStyle w:val="44"/>
        <w:spacing w:before="0" w:after="0" w:line="400" w:lineRule="atLeast"/>
      </w:pPr>
      <w:r>
        <w:tab/>
      </w:r>
      <m:oMath>
        <m:r>
          <m:rPr>
            <m:sty m:val="p"/>
          </m:rPr>
          <m:t>Δ</m:t>
        </m:r>
        <m:sSub>
          <m:sSubPr/>
          <m:e>
            <m:r>
              <m:rPr/>
              <m:t>τ</m:t>
            </m:r>
          </m:e>
          <m:sub>
            <m:r>
              <m:rPr/>
              <m:t>g</m:t>
            </m:r>
          </m:sub>
        </m:sSub>
        <m:r>
          <m:rPr>
            <m:sty m:val="p"/>
          </m:rPr>
          <m:t>(</m:t>
        </m:r>
        <m:r>
          <m:rPr/>
          <m:t>f</m:t>
        </m:r>
        <m:r>
          <m:rPr>
            <m:sty m:val="p"/>
          </m:rPr>
          <m:t>)=</m:t>
        </m:r>
        <m:sSub>
          <m:sSubPr/>
          <m:e>
            <m:r>
              <m:rPr>
                <m:sty m:val="p"/>
                <m:scr m:val="script"/>
              </m:rPr>
              <m:t>ℳ</m:t>
            </m:r>
          </m:e>
          <m:sub>
            <m:r>
              <m:rPr/>
              <m:t>full</m:t>
            </m:r>
          </m:sub>
        </m:sSub>
        <m:r>
          <m:rPr>
            <m:sty m:val="p"/>
          </m:rPr>
          <m:t>(</m:t>
        </m:r>
        <m:r>
          <m:rPr/>
          <m:t>f</m:t>
        </m:r>
        <m:r>
          <m:rPr>
            <m:sty m:val="p"/>
          </m:rPr>
          <m:t>;</m:t>
        </m:r>
        <m:sSub>
          <m:sSubPr/>
          <m:e>
            <m:r>
              <m:rPr/>
              <m:t>f</m:t>
            </m:r>
          </m:e>
          <m:sub>
            <m:r>
              <m:rPr/>
              <m:t>p</m:t>
            </m:r>
          </m:sub>
        </m:sSub>
        <m:r>
          <m:rPr>
            <m:sty m:val="p"/>
          </m:rPr>
          <m:t>,</m:t>
        </m:r>
        <m:r>
          <m:rPr/>
          <m:t>d</m:t>
        </m:r>
        <m:r>
          <m:rPr>
            <m:sty m:val="p"/>
          </m:rPr>
          <m:t>,</m:t>
        </m:r>
        <m:sSub>
          <m:sSubPr/>
          <m:e>
            <m:r>
              <m:rPr/>
              <m:t>ν</m:t>
            </m:r>
          </m:e>
          <m:sub>
            <m:r>
              <m:rPr/>
              <m:t>e</m:t>
            </m:r>
          </m:sub>
        </m:sSub>
        <m:r>
          <m:rPr>
            <m:sty m:val="p"/>
          </m:rPr>
          <m:t>)≈</m:t>
        </m:r>
        <m:f>
          <m:fPr/>
          <m:num>
            <m:r>
              <m:rPr/>
              <m:t>d</m:t>
            </m:r>
          </m:num>
          <m:den>
            <m:r>
              <m:rPr/>
              <m:t>c</m:t>
            </m:r>
          </m:den>
        </m:f>
        <m:d>
          <m:dPr>
            <m:begChr m:val="{"/>
            <m:sepChr m:val=""/>
            <m:endChr m:val="}"/>
          </m:dPr>
          <m:e>
            <m:f>
              <m:fPr/>
              <m:num>
                <m:r>
                  <m:rPr/>
                  <m:t>1</m:t>
                </m:r>
              </m:num>
              <m:den>
                <m:rad>
                  <m:radPr>
                    <m:degHide m:val="1"/>
                  </m:radPr>
                  <m:deg/>
                  <m:e>
                    <m:r>
                      <m:rPr/>
                      <m:t>1</m:t>
                    </m:r>
                    <m:r>
                      <m:rPr>
                        <m:sty m:val="p"/>
                      </m:rPr>
                      <m:t>−(</m:t>
                    </m:r>
                    <m:sSub>
                      <m:sSubPr/>
                      <m:e>
                        <m:r>
                          <m:rPr/>
                          <m:t>f</m:t>
                        </m:r>
                      </m:e>
                      <m:sub>
                        <m:r>
                          <m:rPr/>
                          <m:t>p</m:t>
                        </m:r>
                      </m:sub>
                    </m:sSub>
                    <m:r>
                      <m:rPr>
                        <m:sty m:val="p"/>
                      </m:rPr>
                      <m:t>/</m:t>
                    </m:r>
                    <m:r>
                      <m:rPr/>
                      <m:t>f</m:t>
                    </m:r>
                    <m:sSup>
                      <m:sSupPr/>
                      <m:e>
                        <m:r>
                          <m:rPr>
                            <m:sty m:val="p"/>
                          </m:rPr>
                          <m:t>)</m:t>
                        </m:r>
                      </m:e>
                      <m:sup>
                        <m:r>
                          <m:rPr/>
                          <m:t>2</m:t>
                        </m:r>
                      </m:sup>
                    </m:sSup>
                  </m:e>
                </m:rad>
              </m:den>
            </m:f>
            <m:d>
              <m:dPr>
                <m:begChr m:val="["/>
                <m:sepChr m:val=""/>
                <m:endChr m:val="]"/>
              </m:dPr>
              <m:e>
                <m:r>
                  <m:rPr/>
                  <m:t>1</m:t>
                </m:r>
                <m:r>
                  <m:rPr>
                    <m:sty m:val="p"/>
                  </m:rPr>
                  <m:t>−Ψ(</m:t>
                </m:r>
                <m:r>
                  <m:rPr/>
                  <m:t>f</m:t>
                </m:r>
                <m:r>
                  <m:rPr>
                    <m:sty m:val="p"/>
                  </m:rPr>
                  <m:t>)⋅</m:t>
                </m:r>
                <m:r>
                  <m:rPr/>
                  <m:t>δ</m:t>
                </m:r>
                <m:r>
                  <m:rPr>
                    <m:sty m:val="p"/>
                  </m:rPr>
                  <m:t>(</m:t>
                </m:r>
                <m:r>
                  <m:rPr/>
                  <m:t>f</m:t>
                </m:r>
                <m:r>
                  <m:rPr>
                    <m:sty m:val="p"/>
                  </m:rPr>
                  <m:t>)</m:t>
                </m:r>
              </m:e>
            </m:d>
            <m:r>
              <m:rPr>
                <m:sty m:val="p"/>
              </m:rPr>
              <m:t>−</m:t>
            </m:r>
            <m:r>
              <m:rPr/>
              <m:t>1</m:t>
            </m:r>
          </m:e>
        </m:d>
      </m:oMath>
      <w:r>
        <w:tab/>
      </w:r>
      <w:r>
        <w:t>(3</w:t>
      </w:r>
      <w:r>
        <w:noBreakHyphen/>
      </w:r>
      <w:r>
        <w:t>10)</w:t>
      </w:r>
    </w:p>
    <w:p w14:paraId="17DF8F2B">
      <w:r>
        <w:t xml:space="preserve"> </w:t>
      </w:r>
    </w:p>
    <w:p w14:paraId="051EA598">
      <w:r>
        <w:rPr>
          <w:rFonts w:hint="eastAsia"/>
        </w:rPr>
        <w:t>其中,</w:t>
      </w:r>
      <m:oMath>
        <m:r>
          <m:rPr/>
          <m:t>δ</m:t>
        </m:r>
        <m:r>
          <m:rPr>
            <m:sty m:val="p"/>
          </m:rPr>
          <m:t>(</m:t>
        </m:r>
        <m:r>
          <m:rPr/>
          <m:t>f</m:t>
        </m:r>
        <m:r>
          <m:rPr>
            <m:sty m:val="p"/>
          </m:rPr>
          <m:t>)=(</m:t>
        </m:r>
        <m:sSub>
          <m:sSubPr/>
          <m:e>
            <m:r>
              <m:rPr/>
              <m:t>ν</m:t>
            </m:r>
          </m:e>
          <m:sub>
            <m:r>
              <m:rPr/>
              <m:t>e</m:t>
            </m:r>
          </m:sub>
        </m:sSub>
        <m:r>
          <m:rPr>
            <m:sty m:val="p"/>
          </m:rPr>
          <m:t>/</m:t>
        </m:r>
        <m:r>
          <m:rPr/>
          <m:t>2πf</m:t>
        </m:r>
        <m:sSup>
          <m:sSupPr/>
          <m:e>
            <m:r>
              <m:rPr>
                <m:sty m:val="p"/>
              </m:rPr>
              <m:t>)</m:t>
            </m:r>
          </m:e>
          <m:sup>
            <m:r>
              <m:rPr/>
              <m:t>2</m:t>
            </m:r>
          </m:sup>
        </m:sSup>
      </m:oMath>
      <w:r>
        <w:rPr>
          <w:rFonts w:hint="eastAsia"/>
        </w:rPr>
        <w:t>为无量纲损耗因子,</w:t>
      </w:r>
      <m:oMath>
        <m:r>
          <m:rPr>
            <m:sty m:val="p"/>
          </m:rPr>
          <m:t>Ψ(</m:t>
        </m:r>
        <m:r>
          <m:rPr/>
          <m:t>f</m:t>
        </m:r>
        <m:r>
          <m:rPr>
            <m:sty m:val="p"/>
          </m:rPr>
          <m:t>)</m:t>
        </m:r>
      </m:oMath>
      <w:r>
        <w:rPr>
          <w:rFonts w:hint="eastAsia"/>
        </w:rPr>
        <w:t>为源自3.2.1节推导的二阶修正系数:</w:t>
      </w:r>
    </w:p>
    <w:p w14:paraId="1907B7D8">
      <w:r>
        <w:t xml:space="preserve"> </w:t>
      </w:r>
    </w:p>
    <w:p w14:paraId="78D7DC06">
      <w:pPr>
        <w:pStyle w:val="44"/>
        <w:spacing w:before="0" w:after="0" w:line="400" w:lineRule="atLeast"/>
      </w:pPr>
      <w:r>
        <w:tab/>
      </w:r>
      <m:oMath>
        <m:r>
          <m:rPr>
            <m:sty m:val="p"/>
          </m:rPr>
          <m:t>Ψ(</m:t>
        </m:r>
        <m:r>
          <m:rPr/>
          <m:t>f</m:t>
        </m:r>
        <m:r>
          <m:rPr>
            <m:sty m:val="p"/>
          </m:rPr>
          <m:t>)=</m:t>
        </m:r>
        <m:f>
          <m:fPr/>
          <m:num>
            <m:r>
              <m:rPr/>
              <m:t>1</m:t>
            </m:r>
          </m:num>
          <m:den>
            <m:r>
              <m:rPr/>
              <m:t>2</m:t>
            </m:r>
          </m:den>
        </m:f>
        <m:f>
          <m:fPr/>
          <m:num>
            <m:r>
              <m:rPr>
                <m:sty m:val="p"/>
              </m:rPr>
              <m:t>(</m:t>
            </m:r>
            <m:sSub>
              <m:sSubPr/>
              <m:e>
                <m:r>
                  <m:rPr/>
                  <m:t>f</m:t>
                </m:r>
              </m:e>
              <m:sub>
                <m:r>
                  <m:rPr/>
                  <m:t>p</m:t>
                </m:r>
              </m:sub>
            </m:sSub>
            <m:r>
              <m:rPr>
                <m:sty m:val="p"/>
              </m:rPr>
              <m:t>/</m:t>
            </m:r>
            <m:r>
              <m:rPr/>
              <m:t>f</m:t>
            </m:r>
            <m:sSup>
              <m:sSupPr/>
              <m:e>
                <m:r>
                  <m:rPr>
                    <m:sty m:val="p"/>
                  </m:rPr>
                  <m:t>)</m:t>
                </m:r>
              </m:e>
              <m:sup>
                <m:r>
                  <m:rPr/>
                  <m:t>2</m:t>
                </m:r>
              </m:sup>
            </m:sSup>
          </m:num>
          <m:den>
            <m:r>
              <m:rPr/>
              <m:t>1</m:t>
            </m:r>
            <m:r>
              <m:rPr>
                <m:sty m:val="p"/>
              </m:rPr>
              <m:t>−(</m:t>
            </m:r>
            <m:sSub>
              <m:sSubPr/>
              <m:e>
                <m:r>
                  <m:rPr/>
                  <m:t>f</m:t>
                </m:r>
              </m:e>
              <m:sub>
                <m:r>
                  <m:rPr/>
                  <m:t>p</m:t>
                </m:r>
              </m:sub>
            </m:sSub>
            <m:r>
              <m:rPr>
                <m:sty m:val="p"/>
              </m:rPr>
              <m:t>/</m:t>
            </m:r>
            <m:r>
              <m:rPr/>
              <m:t>f</m:t>
            </m:r>
            <m:sSup>
              <m:sSupPr/>
              <m:e>
                <m:r>
                  <m:rPr>
                    <m:sty m:val="p"/>
                  </m:rPr>
                  <m:t>)</m:t>
                </m:r>
              </m:e>
              <m:sup>
                <m:r>
                  <m:rPr/>
                  <m:t>2</m:t>
                </m:r>
              </m:sup>
            </m:sSup>
          </m:den>
        </m:f>
        <m:r>
          <m:rPr>
            <m:sty m:val="p"/>
          </m:rPr>
          <m:t>+</m:t>
        </m:r>
        <m:sSup>
          <m:sSupPr/>
          <m:e>
            <m:d>
              <m:dPr>
                <m:sepChr m:val=""/>
              </m:dPr>
              <m:e>
                <m:f>
                  <m:fPr/>
                  <m:num>
                    <m:sSub>
                      <m:sSubPr/>
                      <m:e>
                        <m:r>
                          <m:rPr/>
                          <m:t>f</m:t>
                        </m:r>
                      </m:e>
                      <m:sub>
                        <m:r>
                          <m:rPr/>
                          <m:t>p</m:t>
                        </m:r>
                      </m:sub>
                    </m:sSub>
                  </m:num>
                  <m:den>
                    <m:r>
                      <m:rPr/>
                      <m:t>f</m:t>
                    </m:r>
                  </m:den>
                </m:f>
              </m:e>
            </m:d>
          </m:e>
          <m:sup>
            <m:r>
              <m:rPr/>
              <m:t>2</m:t>
            </m:r>
          </m:sup>
        </m:sSup>
      </m:oMath>
      <w:r>
        <w:tab/>
      </w:r>
      <w:r>
        <w:t>(3</w:t>
      </w:r>
      <w:r>
        <w:noBreakHyphen/>
      </w:r>
      <w:r>
        <w:t>11)</w:t>
      </w:r>
    </w:p>
    <w:p w14:paraId="6D4D6454">
      <w:r>
        <w:t xml:space="preserve"> </w:t>
      </w:r>
    </w:p>
    <w:p w14:paraId="307E26F4">
      <w:r>
        <w:rPr>
          <w:rFonts w:hint="eastAsia"/>
        </w:rPr>
        <w:t>式(3-10)完整描述了色散介质中群时延随频率演化的精细结构。它表明,观测到的群时延曲线不仅受截止频率</w:t>
      </w:r>
      <m:oMath>
        <m:sSub>
          <m:sSubPr/>
          <m:e>
            <m:r>
              <m:rPr/>
              <m:t>f</m:t>
            </m:r>
          </m:e>
          <m:sub>
            <m:r>
              <m:rPr/>
              <m:t>p</m:t>
            </m:r>
          </m:sub>
        </m:sSub>
      </m:oMath>
      <w:r>
        <w:rPr>
          <w:rFonts w:hint="eastAsia"/>
        </w:rPr>
        <w:t>(电子密度)控制,在理论上还受到碰撞频率</w:t>
      </w:r>
      <m:oMath>
        <m:sSub>
          <m:sSubPr/>
          <m:e>
            <m:r>
              <m:rPr/>
              <m:t>ν</m:t>
            </m:r>
          </m:e>
          <m:sub>
            <m:r>
              <m:rPr/>
              <m:t>e</m:t>
            </m:r>
          </m:sub>
        </m:sSub>
      </m:oMath>
      <w:r>
        <w:rPr>
          <w:rFonts w:hint="eastAsia"/>
        </w:rPr>
        <w:t>的微弱调制。</w:t>
      </w:r>
    </w:p>
    <w:p w14:paraId="23CD6C33">
      <w:r>
        <w:rPr>
          <w:rFonts w:hint="eastAsia"/>
        </w:rPr>
        <w:t>式(3-10)在物理上更完整,但直接用于多参数(</w:t>
      </w:r>
      <m:oMath>
        <m:sSub>
          <m:sSubPr/>
          <m:e>
            <m:r>
              <m:rPr/>
              <m:t>f</m:t>
            </m:r>
          </m:e>
          <m:sub>
            <m:r>
              <m:rPr/>
              <m:t>p</m:t>
            </m:r>
          </m:sub>
        </m:sSub>
        <m:r>
          <m:rPr>
            <m:sty m:val="p"/>
          </m:rPr>
          <m:t>,</m:t>
        </m:r>
        <m:sSub>
          <m:sSubPr/>
          <m:e>
            <m:r>
              <m:rPr/>
              <m:t>ν</m:t>
            </m:r>
          </m:e>
          <m:sub>
            <m:r>
              <m:rPr/>
              <m:t>e</m:t>
            </m:r>
          </m:sub>
        </m:sSub>
        <m:r>
          <m:rPr>
            <m:sty m:val="p"/>
          </m:rPr>
          <m:t>,</m:t>
        </m:r>
        <m:r>
          <m:rPr/>
          <m:t>d</m:t>
        </m:r>
      </m:oMath>
      <w:r>
        <w:rPr>
          <w:rFonts w:hint="eastAsia"/>
        </w:rPr>
        <w:t>)拟合容易导致病态求解。基于3.2.1节的敏感度量级判定,碰撞频率引入的修正项</w:t>
      </w:r>
      <m:oMath>
        <m:r>
          <m:rPr>
            <m:sty m:val="p"/>
          </m:rPr>
          <m:t>Ψ⋅</m:t>
        </m:r>
        <m:r>
          <m:rPr/>
          <m:t>δ</m:t>
        </m:r>
      </m:oMath>
      <w:r>
        <w:rPr>
          <w:rFonts w:hint="eastAsia"/>
        </w:rPr>
        <w:t>属于二阶小量。在Ka波段典型诊断场景下(</w:t>
      </w:r>
      <m:oMath>
        <m:r>
          <m:rPr/>
          <m:t>f</m:t>
        </m:r>
        <m:r>
          <m:rPr>
            <m:sty m:val="p"/>
          </m:rPr>
          <m:t>∼</m:t>
        </m:r>
        <m:r>
          <m:rPr/>
          <m:t>35</m:t>
        </m:r>
        <m:r>
          <m:rPr>
            <m:nor/>
            <m:sty m:val="p"/>
          </m:rPr>
          <w:rPr>
            <w:b w:val="0"/>
            <w:i w:val="0"/>
          </w:rPr>
          <m:t>GHz</m:t>
        </m:r>
        <m:r>
          <m:rPr>
            <m:sty m:val="p"/>
          </m:rPr>
          <m:t>,</m:t>
        </m:r>
        <m:sSub>
          <m:sSubPr/>
          <m:e>
            <m:r>
              <m:rPr/>
              <m:t>ν</m:t>
            </m:r>
          </m:e>
          <m:sub>
            <m:r>
              <m:rPr/>
              <m:t>e</m:t>
            </m:r>
          </m:sub>
        </m:sSub>
        <m:r>
          <m:rPr>
            <m:sty m:val="p"/>
          </m:rPr>
          <m:t>∼</m:t>
        </m:r>
        <m:r>
          <m:rPr/>
          <m:t>1.5</m:t>
        </m:r>
        <m:r>
          <m:rPr>
            <m:nor/>
            <m:sty m:val="p"/>
          </m:rPr>
          <w:rPr>
            <w:b w:val="0"/>
            <w:i w:val="0"/>
          </w:rPr>
          <m:t>GHz</m:t>
        </m:r>
      </m:oMath>
      <w:r>
        <w:rPr>
          <w:rFonts w:hint="eastAsia"/>
        </w:rPr>
        <w:t>),该修正项引起的时延偏差远低于系统时间分辨率与噪声基底,因此后续仅保留电子密度的一阶主导项,频率到群时延的简化关系写为:</w:t>
      </w:r>
    </w:p>
    <w:p w14:paraId="135C5F7E">
      <w:r>
        <w:t xml:space="preserve"> </w:t>
      </w:r>
    </w:p>
    <w:p w14:paraId="193D3896">
      <w:pPr>
        <w:pStyle w:val="44"/>
        <w:spacing w:before="0" w:after="0" w:line="400" w:lineRule="atLeast"/>
      </w:pPr>
      <w:r>
        <w:tab/>
      </w:r>
      <m:oMath>
        <m:r>
          <m:rPr>
            <m:sty m:val="p"/>
          </m:rPr>
          <m:t>Δ</m:t>
        </m:r>
        <m:sSub>
          <m:sSubPr/>
          <m:e>
            <m:r>
              <m:rPr/>
              <m:t>τ</m:t>
            </m:r>
          </m:e>
          <m:sub>
            <m:r>
              <m:rPr/>
              <m:t>g</m:t>
            </m:r>
          </m:sub>
        </m:sSub>
        <m:r>
          <m:rPr>
            <m:sty m:val="p"/>
          </m:rPr>
          <m:t>(</m:t>
        </m:r>
        <m:r>
          <m:rPr/>
          <m:t>f</m:t>
        </m:r>
        <m:r>
          <m:rPr>
            <m:sty m:val="p"/>
          </m:rPr>
          <m:t>)=</m:t>
        </m:r>
        <m:r>
          <m:rPr>
            <m:sty m:val="p"/>
            <m:scr m:val="script"/>
          </m:rPr>
          <m:t>ℳ</m:t>
        </m:r>
        <m:r>
          <m:rPr>
            <m:sty m:val="p"/>
          </m:rPr>
          <m:t>(</m:t>
        </m:r>
        <m:r>
          <m:rPr/>
          <m:t>f</m:t>
        </m:r>
        <m:r>
          <m:rPr>
            <m:sty m:val="p"/>
          </m:rPr>
          <m:t>;</m:t>
        </m:r>
        <m:sSub>
          <m:sSubPr/>
          <m:e>
            <m:r>
              <m:rPr/>
              <m:t>f</m:t>
            </m:r>
          </m:e>
          <m:sub>
            <m:r>
              <m:rPr/>
              <m:t>p</m:t>
            </m:r>
          </m:sub>
        </m:sSub>
        <m:r>
          <m:rPr>
            <m:sty m:val="p"/>
          </m:rPr>
          <m:t>,</m:t>
        </m:r>
        <m:r>
          <m:rPr/>
          <m:t>d</m:t>
        </m:r>
        <m:r>
          <m:rPr>
            <m:sty m:val="p"/>
          </m:rPr>
          <m:t>)=</m:t>
        </m:r>
        <m:f>
          <m:fPr/>
          <m:num>
            <m:r>
              <m:rPr/>
              <m:t>d</m:t>
            </m:r>
          </m:num>
          <m:den>
            <m:r>
              <m:rPr/>
              <m:t>c</m:t>
            </m:r>
          </m:den>
        </m:f>
        <m:d>
          <m:dPr>
            <m:sepChr m:val=""/>
          </m:dPr>
          <m:e>
            <m:f>
              <m:fPr/>
              <m:num>
                <m:r>
                  <m:rPr/>
                  <m:t>1</m:t>
                </m:r>
              </m:num>
              <m:den>
                <m:rad>
                  <m:radPr>
                    <m:degHide m:val="1"/>
                  </m:radPr>
                  <m:deg/>
                  <m:e>
                    <m:r>
                      <m:rPr/>
                      <m:t>1</m:t>
                    </m:r>
                    <m:r>
                      <m:rPr>
                        <m:sty m:val="p"/>
                      </m:rPr>
                      <m:t>−(</m:t>
                    </m:r>
                    <m:sSub>
                      <m:sSubPr/>
                      <m:e>
                        <m:r>
                          <m:rPr/>
                          <m:t>f</m:t>
                        </m:r>
                      </m:e>
                      <m:sub>
                        <m:r>
                          <m:rPr/>
                          <m:t>p</m:t>
                        </m:r>
                      </m:sub>
                    </m:sSub>
                    <m:r>
                      <m:rPr>
                        <m:sty m:val="p"/>
                      </m:rPr>
                      <m:t>/</m:t>
                    </m:r>
                    <m:r>
                      <m:rPr/>
                      <m:t>f</m:t>
                    </m:r>
                    <m:sSup>
                      <m:sSupPr/>
                      <m:e>
                        <m:r>
                          <m:rPr>
                            <m:sty m:val="p"/>
                          </m:rPr>
                          <m:t>)</m:t>
                        </m:r>
                      </m:e>
                      <m:sup>
                        <m:r>
                          <m:rPr/>
                          <m:t>2</m:t>
                        </m:r>
                      </m:sup>
                    </m:sSup>
                  </m:e>
                </m:rad>
              </m:den>
            </m:f>
            <m:r>
              <m:rPr>
                <m:sty m:val="p"/>
              </m:rPr>
              <m:t>−</m:t>
            </m:r>
            <m:r>
              <m:rPr/>
              <m:t>1</m:t>
            </m:r>
          </m:e>
        </m:d>
        <m:r>
          <m:rPr>
            <m:sty m:val="p"/>
          </m:rPr>
          <m:t>,(</m:t>
        </m:r>
        <m:r>
          <m:rPr/>
          <m:t>f</m:t>
        </m:r>
        <m:r>
          <m:rPr>
            <m:sty m:val="p"/>
          </m:rPr>
          <m:t>&gt;</m:t>
        </m:r>
        <m:sSub>
          <m:sSubPr/>
          <m:e>
            <m:r>
              <m:rPr/>
              <m:t>f</m:t>
            </m:r>
          </m:e>
          <m:sub>
            <m:r>
              <m:rPr/>
              <m:t>p</m:t>
            </m:r>
          </m:sub>
        </m:sSub>
        <m:r>
          <m:rPr>
            <m:sty m:val="p"/>
          </m:rPr>
          <m:t>)</m:t>
        </m:r>
      </m:oMath>
      <w:r>
        <w:tab/>
      </w:r>
      <w:r>
        <w:t>(3</w:t>
      </w:r>
      <w:r>
        <w:noBreakHyphen/>
      </w:r>
      <w:r>
        <w:t>12)</w:t>
      </w:r>
    </w:p>
    <w:p w14:paraId="11AC8889">
      <w:r>
        <w:t xml:space="preserve"> </w:t>
      </w:r>
    </w:p>
    <w:p w14:paraId="76DF35B3">
      <w:r>
        <w:rPr>
          <w:rFonts w:hint="eastAsia"/>
        </w:rPr>
        <w:t>该映射模型</w:t>
      </w:r>
      <m:oMath>
        <m:r>
          <m:rPr>
            <m:sty m:val="p"/>
            <m:scr m:val="script"/>
          </m:rPr>
          <m:t>ℳ</m:t>
        </m:r>
      </m:oMath>
      <w:r>
        <w:rPr>
          <w:rFonts w:hint="eastAsia"/>
        </w:rPr>
        <w:t>具有明显的频率非线性特征。与空气中近似恒定的群时延不同，</w:t>
      </w:r>
      <m:oMath>
        <m:r>
          <m:rPr>
            <m:sty m:val="p"/>
          </m:rPr>
          <m:t>Δ</m:t>
        </m:r>
        <m:sSub>
          <m:sSubPr/>
          <m:e>
            <m:r>
              <m:rPr/>
              <m:t>τ</m:t>
            </m:r>
          </m:e>
          <m:sub>
            <m:r>
              <m:rPr/>
              <m:t>g</m:t>
            </m:r>
          </m:sub>
        </m:sSub>
        <m:r>
          <m:rPr>
            <m:sty m:val="p"/>
          </m:rPr>
          <m:t>(</m:t>
        </m:r>
        <m:r>
          <m:rPr/>
          <m:t>f</m:t>
        </m:r>
        <m:r>
          <m:rPr>
            <m:sty m:val="p"/>
          </m:rPr>
          <m:t>)</m:t>
        </m:r>
      </m:oMath>
      <w:r>
        <w:rPr>
          <w:rFonts w:hint="eastAsia"/>
        </w:rPr>
        <w:t>是探测频率</w:t>
      </w:r>
      <m:oMath>
        <m:r>
          <m:rPr/>
          <m:t>f</m:t>
        </m:r>
      </m:oMath>
      <w:r>
        <w:rPr>
          <w:rFonts w:hint="eastAsia"/>
        </w:rPr>
        <w:t>的强非线性函数，这意味着宽带LFMCW信号的不同频率分量将经历不同的传播延迟，从而导致时域回波包络发生弥散。当探测频率逼近截止频率(</w:t>
      </w:r>
      <m:oMath>
        <m:r>
          <m:rPr/>
          <m:t>f</m:t>
        </m:r>
        <m:r>
          <m:rPr>
            <m:sty m:val="p"/>
          </m:rPr>
          <m:t>→</m:t>
        </m:r>
        <m:sSubSup>
          <m:sSubSupPr/>
          <m:e>
            <m:r>
              <m:rPr/>
              <m:t>f</m:t>
            </m:r>
          </m:e>
          <m:sub>
            <m:r>
              <m:rPr/>
              <m:t>p</m:t>
            </m:r>
          </m:sub>
          <m:sup>
            <m:r>
              <m:rPr>
                <m:sty m:val="p"/>
              </m:rPr>
              <m:t>+</m:t>
            </m:r>
          </m:sup>
        </m:sSubSup>
      </m:oMath>
      <w:r>
        <w:rPr>
          <w:rFonts w:hint="eastAsia"/>
        </w:rPr>
        <w:t>)时,分母趋于零,相对群时延急剧增大并在截止频率处趋于无穷,此处也是对电子密度最敏感的频段,微小的密度变化都会引起时延的显著变化。相反,当</w:t>
      </w:r>
      <m:oMath>
        <m:r>
          <m:rPr/>
          <m:t>f</m:t>
        </m:r>
        <m:r>
          <m:rPr>
            <m:sty m:val="p"/>
          </m:rPr>
          <m:t>≫</m:t>
        </m:r>
        <m:sSub>
          <m:sSubPr/>
          <m:e>
            <m:r>
              <m:rPr/>
              <m:t>f</m:t>
            </m:r>
          </m:e>
          <m:sub>
            <m:r>
              <m:rPr/>
              <m:t>p</m:t>
            </m:r>
          </m:sub>
        </m:sSub>
      </m:oMath>
      <w:r>
        <w:rPr>
          <w:rFonts w:hint="eastAsia"/>
        </w:rPr>
        <w:t>时,利用泰勒展开可知</w:t>
      </w:r>
      <m:oMath>
        <m:r>
          <m:rPr>
            <m:sty m:val="p"/>
          </m:rPr>
          <m:t>Δ</m:t>
        </m:r>
        <m:sSub>
          <m:sSubPr/>
          <m:e>
            <m:r>
              <m:rPr/>
              <m:t>τ</m:t>
            </m:r>
          </m:e>
          <m:sub>
            <m:r>
              <m:rPr/>
              <m:t>g</m:t>
            </m:r>
          </m:sub>
        </m:sSub>
        <m:r>
          <m:rPr>
            <m:sty m:val="p"/>
          </m:rPr>
          <m:t>≈</m:t>
        </m:r>
        <m:r>
          <m:rPr/>
          <m:t>d</m:t>
        </m:r>
        <m:r>
          <m:rPr>
            <m:sty m:val="p"/>
          </m:rPr>
          <m:t>(</m:t>
        </m:r>
        <m:sSub>
          <m:sSubPr/>
          <m:e>
            <m:r>
              <m:rPr/>
              <m:t>f</m:t>
            </m:r>
          </m:e>
          <m:sub>
            <m:r>
              <m:rPr/>
              <m:t>p</m:t>
            </m:r>
          </m:sub>
        </m:sSub>
        <m:r>
          <m:rPr>
            <m:sty m:val="p"/>
          </m:rPr>
          <m:t>/</m:t>
        </m:r>
        <m:r>
          <m:rPr/>
          <m:t>f</m:t>
        </m:r>
        <m:sSup>
          <m:sSupPr/>
          <m:e>
            <m:r>
              <m:rPr>
                <m:sty m:val="p"/>
              </m:rPr>
              <m:t>)</m:t>
            </m:r>
          </m:e>
          <m:sup>
            <m:r>
              <m:rPr/>
              <m:t>2</m:t>
            </m:r>
          </m:sup>
        </m:sSup>
        <m:r>
          <m:rPr>
            <m:sty m:val="p"/>
          </m:rPr>
          <m:t>/(</m:t>
        </m:r>
        <m:r>
          <m:rPr/>
          <m:t>2c</m:t>
        </m:r>
        <m:r>
          <m:rPr>
            <m:sty m:val="p"/>
          </m:rPr>
          <m:t>)</m:t>
        </m:r>
      </m:oMath>
      <w:r>
        <w:rPr>
          <w:rFonts w:hint="eastAsia"/>
        </w:rPr>
        <w:t>,此时曲线趋于平坦,色散效应减弱,模型退化为传统单频干涉法的线性近似。</w:t>
      </w:r>
    </w:p>
    <w:p w14:paraId="084781F8">
      <w:r>
        <w:rPr>
          <w:rFonts w:hint="eastAsia"/>
        </w:rPr>
        <w:t>式(3-12)只给出静态频率点</w:t>
      </w:r>
      <m:oMath>
        <m:r>
          <m:rPr/>
          <m:t>f</m:t>
        </m:r>
      </m:oMath>
      <w:r>
        <w:rPr>
          <w:rFonts w:hint="eastAsia"/>
        </w:rPr>
        <w:t>与相对群时延</w:t>
      </w:r>
      <m:oMath>
        <m:r>
          <m:rPr>
            <m:sty m:val="p"/>
          </m:rPr>
          <m:t>Δ</m:t>
        </m:r>
        <m:sSub>
          <m:sSubPr/>
          <m:e>
            <m:r>
              <m:rPr/>
              <m:t>τ</m:t>
            </m:r>
          </m:e>
          <m:sub>
            <m:r>
              <m:rPr/>
              <m:t>g</m:t>
            </m:r>
          </m:sub>
        </m:sSub>
      </m:oMath>
      <w:r>
        <w:rPr>
          <w:rFonts w:hint="eastAsia"/>
        </w:rPr>
        <w:t>的映射。在LFMCW体制下,发射信号的瞬时频率</w:t>
      </w:r>
      <m:oMath>
        <m:r>
          <m:rPr/>
          <m:t>f</m:t>
        </m:r>
        <m:r>
          <m:rPr>
            <m:sty m:val="p"/>
          </m:rPr>
          <m:t>(</m:t>
        </m:r>
        <m:r>
          <m:rPr/>
          <m:t>t</m:t>
        </m:r>
        <m:r>
          <m:rPr>
            <m:sty m:val="p"/>
          </m:rPr>
          <m:t>)=</m:t>
        </m:r>
        <m:sSub>
          <m:sSubPr/>
          <m:e>
            <m:r>
              <m:rPr/>
              <m:t>f</m:t>
            </m:r>
          </m:e>
          <m:sub>
            <m:r>
              <m:rPr/>
              <m:t>0</m:t>
            </m:r>
          </m:sub>
        </m:sSub>
        <m:r>
          <m:rPr>
            <m:sty m:val="p"/>
          </m:rPr>
          <m:t>+</m:t>
        </m:r>
        <m:r>
          <m:rPr/>
          <m:t>Kt</m:t>
        </m:r>
      </m:oMath>
      <w:r>
        <w:rPr>
          <w:rFonts w:hint="eastAsia"/>
        </w:rPr>
        <w:t>线性扫描,频率色散会进一步转化为时变群时延。为计算接收信号相位,将总群时延写为</w:t>
      </w:r>
    </w:p>
    <w:p w14:paraId="3FD5084C">
      <w:r>
        <w:t xml:space="preserve"> </w:t>
      </w:r>
    </w:p>
    <w:p w14:paraId="3AEEA0E7">
      <w:pPr>
        <w:pStyle w:val="44"/>
        <w:spacing w:before="0" w:after="0" w:line="400" w:lineRule="atLeast"/>
      </w:pPr>
      <w:r>
        <w:tab/>
      </w:r>
      <m:oMath>
        <m:sSub>
          <m:sSubPr/>
          <m:e>
            <m:r>
              <m:rPr/>
              <m:t>τ</m:t>
            </m:r>
          </m:e>
          <m:sub>
            <m:r>
              <m:rPr/>
              <m:t>g</m:t>
            </m:r>
          </m:sub>
        </m:sSub>
        <m:r>
          <m:rPr>
            <m:sty m:val="p"/>
          </m:rPr>
          <m:t>(</m:t>
        </m:r>
        <m:r>
          <m:rPr/>
          <m:t>t</m:t>
        </m:r>
        <m:r>
          <m:rPr>
            <m:sty m:val="p"/>
          </m:rPr>
          <m:t>)=</m:t>
        </m:r>
        <m:r>
          <m:rPr>
            <m:sty m:val="p"/>
            <m:scr m:val="script"/>
          </m:rPr>
          <m:t>ℳ</m:t>
        </m:r>
        <m:r>
          <m:rPr>
            <m:sty m:val="p"/>
          </m:rPr>
          <m:t>(</m:t>
        </m:r>
        <m:sSub>
          <m:sSubPr/>
          <m:e>
            <m:r>
              <m:rPr/>
              <m:t>f</m:t>
            </m:r>
          </m:e>
          <m:sub>
            <m:r>
              <m:rPr/>
              <m:t>0</m:t>
            </m:r>
          </m:sub>
        </m:sSub>
        <m:r>
          <m:rPr>
            <m:sty m:val="p"/>
          </m:rPr>
          <m:t>+</m:t>
        </m:r>
        <m:r>
          <m:rPr/>
          <m:t>Kt</m:t>
        </m:r>
        <m:r>
          <m:rPr>
            <m:sty m:val="p"/>
          </m:rPr>
          <m:t>;</m:t>
        </m:r>
        <m:sSub>
          <m:sSubPr/>
          <m:e>
            <m:r>
              <m:rPr/>
              <m:t>f</m:t>
            </m:r>
          </m:e>
          <m:sub>
            <m:r>
              <m:rPr/>
              <m:t>p</m:t>
            </m:r>
          </m:sub>
        </m:sSub>
        <m:r>
          <m:rPr>
            <m:sty m:val="p"/>
          </m:rPr>
          <m:t>,</m:t>
        </m:r>
        <m:r>
          <m:rPr/>
          <m:t>d</m:t>
        </m:r>
        <m:r>
          <m:rPr>
            <m:sty m:val="p"/>
          </m:rPr>
          <m:t>)+</m:t>
        </m:r>
        <m:f>
          <m:fPr/>
          <m:num>
            <m:r>
              <m:rPr/>
              <m:t>d</m:t>
            </m:r>
          </m:num>
          <m:den>
            <m:r>
              <m:rPr/>
              <m:t>c</m:t>
            </m:r>
          </m:den>
        </m:f>
      </m:oMath>
      <w:r>
        <w:tab/>
      </w:r>
      <w:r>
        <w:t>(3</w:t>
      </w:r>
      <w:r>
        <w:noBreakHyphen/>
      </w:r>
      <w:r>
        <w:t>13)</w:t>
      </w:r>
    </w:p>
    <w:p w14:paraId="45600E1C">
      <w:r>
        <w:t xml:space="preserve"> </w:t>
      </w:r>
    </w:p>
    <w:p w14:paraId="718E0FDE">
      <w:r>
        <w:rPr>
          <w:rFonts w:hint="eastAsia"/>
        </w:rPr>
        <w:t>严格而言,接收端时刻</w:t>
      </w:r>
      <m:oMath>
        <m:r>
          <m:rPr/>
          <m:t>t</m:t>
        </m:r>
      </m:oMath>
      <w:r>
        <w:rPr>
          <w:rFonts w:hint="eastAsia"/>
        </w:rPr>
        <w:t>对应的发射时刻</w:t>
      </w:r>
      <m:oMath>
        <m:sSub>
          <m:sSubPr/>
          <m:e>
            <m:r>
              <m:rPr/>
              <m:t>t</m:t>
            </m:r>
          </m:e>
          <m:sub>
            <m:r>
              <m:rPr/>
              <m:t>e</m:t>
            </m:r>
          </m:sub>
        </m:sSub>
      </m:oMath>
      <w:r>
        <w:rPr>
          <w:rFonts w:hint="eastAsia"/>
        </w:rPr>
        <w:t>应满足自洽关系</w:t>
      </w:r>
      <m:oMath>
        <m:r>
          <m:rPr/>
          <m:t>t</m:t>
        </m:r>
        <m:r>
          <m:rPr>
            <m:sty m:val="p"/>
          </m:rPr>
          <m:t>=</m:t>
        </m:r>
        <m:sSub>
          <m:sSubPr/>
          <m:e>
            <m:r>
              <m:rPr/>
              <m:t>t</m:t>
            </m:r>
          </m:e>
          <m:sub>
            <m:r>
              <m:rPr/>
              <m:t>e</m:t>
            </m:r>
          </m:sub>
        </m:sSub>
        <m:r>
          <m:rPr>
            <m:sty m:val="p"/>
          </m:rPr>
          <m:t>+</m:t>
        </m:r>
        <m:sSub>
          <m:sSubPr/>
          <m:e>
            <m:r>
              <m:rPr/>
              <m:t>τ</m:t>
            </m:r>
          </m:e>
          <m:sub>
            <m:r>
              <m:rPr/>
              <m:t>g</m:t>
            </m:r>
          </m:sub>
        </m:sSub>
        <m:r>
          <m:rPr>
            <m:sty m:val="p"/>
          </m:rPr>
          <m:t>(</m:t>
        </m:r>
        <m:sSub>
          <m:sSubPr/>
          <m:e>
            <m:r>
              <m:rPr/>
              <m:t>t</m:t>
            </m:r>
          </m:e>
          <m:sub>
            <m:r>
              <m:rPr/>
              <m:t>e</m:t>
            </m:r>
          </m:sub>
        </m:sSub>
        <m:r>
          <m:rPr>
            <m:sty m:val="p"/>
          </m:rPr>
          <m:t>)</m:t>
        </m:r>
      </m:oMath>
      <w:r>
        <w:rPr>
          <w:rFonts w:hint="eastAsia"/>
        </w:rPr>
        <w:t>,接收相位应写为</w:t>
      </w:r>
      <m:oMath>
        <m:sSub>
          <m:sSubPr/>
          <m:e>
            <m:r>
              <m:rPr/>
              <m:t>ϕ</m:t>
            </m:r>
          </m:e>
          <m:sub>
            <m:r>
              <m:rPr/>
              <m:t>R</m:t>
            </m:r>
          </m:sub>
        </m:sSub>
        <m:r>
          <m:rPr>
            <m:sty m:val="p"/>
          </m:rPr>
          <m:t>(</m:t>
        </m:r>
        <m:r>
          <m:rPr/>
          <m:t>t</m:t>
        </m:r>
        <m:r>
          <m:rPr>
            <m:sty m:val="p"/>
          </m:rPr>
          <m:t>)=</m:t>
        </m:r>
        <m:sSub>
          <m:sSubPr/>
          <m:e>
            <m:r>
              <m:rPr/>
              <m:t>ϕ</m:t>
            </m:r>
          </m:e>
          <m:sub>
            <m:r>
              <m:rPr/>
              <m:t>T</m:t>
            </m:r>
          </m:sub>
        </m:sSub>
        <m:r>
          <m:rPr>
            <m:sty m:val="p"/>
          </m:rPr>
          <m:t>(</m:t>
        </m:r>
        <m:sSub>
          <m:sSubPr/>
          <m:e>
            <m:r>
              <m:rPr/>
              <m:t>t</m:t>
            </m:r>
          </m:e>
          <m:sub>
            <m:r>
              <m:rPr/>
              <m:t>e</m:t>
            </m:r>
          </m:sub>
        </m:sSub>
        <m:r>
          <m:rPr>
            <m:sty m:val="p"/>
          </m:rPr>
          <m:t>)</m:t>
        </m:r>
      </m:oMath>
      <w:r>
        <w:rPr>
          <w:rFonts w:hint="eastAsia"/>
        </w:rPr>
        <w:t>。本文后续将</w:t>
      </w:r>
      <m:oMath>
        <m:sSub>
          <m:sSubPr/>
          <m:e>
            <m:r>
              <m:rPr/>
              <m:t>t</m:t>
            </m:r>
          </m:e>
          <m:sub>
            <m:r>
              <m:rPr/>
              <m:t>e</m:t>
            </m:r>
          </m:sub>
        </m:sSub>
      </m:oMath>
      <w:r>
        <w:rPr>
          <w:rFonts w:hint="eastAsia"/>
        </w:rPr>
        <w:t>近似写为</w:t>
      </w:r>
      <m:oMath>
        <m:r>
          <m:rPr/>
          <m:t>t</m:t>
        </m:r>
        <m:r>
          <m:rPr>
            <m:sty m:val="p"/>
          </m:rPr>
          <m:t>−</m:t>
        </m:r>
        <m:sSub>
          <m:sSubPr/>
          <m:e>
            <m:r>
              <m:rPr/>
              <m:t>τ</m:t>
            </m:r>
          </m:e>
          <m:sub>
            <m:r>
              <m:rPr/>
              <m:t>g</m:t>
            </m:r>
          </m:sub>
        </m:sSub>
        <m:r>
          <m:rPr>
            <m:sty m:val="p"/>
          </m:rPr>
          <m:t>(</m:t>
        </m:r>
        <m:r>
          <m:rPr/>
          <m:t>t</m:t>
        </m:r>
        <m:r>
          <m:rPr>
            <m:sty m:val="p"/>
          </m:rPr>
          <m:t>)</m:t>
        </m:r>
      </m:oMath>
      <w:r>
        <w:rPr>
          <w:rFonts w:hint="eastAsia"/>
        </w:rPr>
        <w:t>,实质上采用的是慢变时延近似:传播时延在一个传播历程内仅发生小幅变化,即</w:t>
      </w:r>
    </w:p>
    <w:p w14:paraId="481332C3">
      <m:oMathPara>
        <m:oMathParaPr>
          <m:jc m:val="center"/>
        </m:oMathParaPr>
        <m:oMath>
          <m:d>
            <m:dPr>
              <m:begChr m:val="|"/>
              <m:sepChr m:val=""/>
              <m:endChr m:val="|"/>
            </m:dPr>
            <m:e>
              <m:sSub>
                <m:sSubPr/>
                <m:e>
                  <m:acc>
                    <m:accPr>
                      <m:chr m:val="̇"/>
                    </m:accPr>
                    <m:e>
                      <m:r>
                        <m:rPr/>
                        <m:t>τ</m:t>
                      </m:r>
                    </m:e>
                  </m:acc>
                </m:e>
                <m:sub>
                  <m:r>
                    <m:rPr/>
                    <m:t>g</m:t>
                  </m:r>
                </m:sub>
              </m:sSub>
              <m:r>
                <m:rPr>
                  <m:sty m:val="p"/>
                </m:rPr>
                <m:t>(</m:t>
              </m:r>
              <m:r>
                <m:rPr/>
                <m:t>t</m:t>
              </m:r>
              <m:r>
                <m:rPr>
                  <m:sty m:val="p"/>
                </m:rPr>
                <m:t>)</m:t>
              </m:r>
            </m:e>
          </m:d>
          <m:r>
            <m:rPr>
              <m:sty m:val="p"/>
            </m:rPr>
            <m:t>=</m:t>
          </m:r>
          <m:d>
            <m:dPr>
              <m:begChr m:val="|"/>
              <m:sepChr m:val=""/>
              <m:endChr m:val="|"/>
            </m:dPr>
            <m:e>
              <m:f>
                <m:fPr/>
                <m:num>
                  <m:r>
                    <m:rPr/>
                    <m:t>d</m:t>
                  </m:r>
                  <m:sSub>
                    <m:sSubPr/>
                    <m:e>
                      <m:r>
                        <m:rPr/>
                        <m:t>τ</m:t>
                      </m:r>
                    </m:e>
                    <m:sub>
                      <m:r>
                        <m:rPr/>
                        <m:t>g</m:t>
                      </m:r>
                    </m:sub>
                  </m:sSub>
                </m:num>
                <m:den>
                  <m:r>
                    <m:rPr/>
                    <m:t>df</m:t>
                  </m:r>
                </m:den>
              </m:f>
              <m:r>
                <m:rPr/>
                <m:t>K</m:t>
              </m:r>
            </m:e>
          </m:d>
          <m:r>
            <m:rPr>
              <m:sty m:val="p"/>
            </m:rPr>
            <m:t>≪</m:t>
          </m:r>
          <m:r>
            <m:rPr/>
            <m:t>1</m:t>
          </m:r>
        </m:oMath>
      </m:oMathPara>
    </w:p>
    <w:p w14:paraId="310D38EE">
      <w:r>
        <w:rPr>
          <w:rFonts w:hint="eastAsia"/>
        </w:rPr>
        <w:t>在该条件下,自洽解可一阶近似为</w:t>
      </w:r>
      <m:oMath>
        <m:sSub>
          <m:sSubPr/>
          <m:e>
            <m:r>
              <m:rPr/>
              <m:t>t</m:t>
            </m:r>
          </m:e>
          <m:sub>
            <m:r>
              <m:rPr/>
              <m:t>e</m:t>
            </m:r>
          </m:sub>
        </m:sSub>
        <m:r>
          <m:rPr>
            <m:sty m:val="p"/>
          </m:rPr>
          <m:t>=</m:t>
        </m:r>
        <m:r>
          <m:rPr/>
          <m:t>t</m:t>
        </m:r>
        <m:r>
          <m:rPr>
            <m:sty m:val="p"/>
          </m:rPr>
          <m:t>−</m:t>
        </m:r>
        <m:sSub>
          <m:sSubPr/>
          <m:e>
            <m:r>
              <m:rPr/>
              <m:t>τ</m:t>
            </m:r>
          </m:e>
          <m:sub>
            <m:r>
              <m:rPr/>
              <m:t>g</m:t>
            </m:r>
          </m:sub>
        </m:sSub>
        <m:r>
          <m:rPr>
            <m:sty m:val="p"/>
          </m:rPr>
          <m:t>(</m:t>
        </m:r>
        <m:r>
          <m:rPr/>
          <m:t>t</m:t>
        </m:r>
        <m:r>
          <m:rPr>
            <m:sty m:val="p"/>
          </m:rPr>
          <m:t>)+</m:t>
        </m:r>
        <m:r>
          <m:rPr/>
          <m:t>O</m:t>
        </m:r>
        <m:r>
          <m:rPr>
            <m:sty m:val="p"/>
          </m:rPr>
          <m:t>(</m:t>
        </m:r>
        <m:sSub>
          <m:sSubPr/>
          <m:e>
            <m:r>
              <m:rPr/>
              <m:t>τ</m:t>
            </m:r>
          </m:e>
          <m:sub>
            <m:r>
              <m:rPr/>
              <m:t>g</m:t>
            </m:r>
          </m:sub>
        </m:sSub>
        <m:sSub>
          <m:sSubPr/>
          <m:e>
            <m:acc>
              <m:accPr>
                <m:chr m:val="̇"/>
              </m:accPr>
              <m:e>
                <m:r>
                  <m:rPr/>
                  <m:t>τ</m:t>
                </m:r>
              </m:e>
            </m:acc>
          </m:e>
          <m:sub>
            <m:r>
              <m:rPr/>
              <m:t>g</m:t>
            </m:r>
          </m:sub>
        </m:sSub>
        <m:r>
          <m:rPr>
            <m:sty m:val="p"/>
          </m:rPr>
          <m:t>)</m:t>
        </m:r>
      </m:oMath>
      <w:r>
        <w:rPr>
          <w:rFonts w:hint="eastAsia"/>
        </w:rPr>
        <w:t>,相应忽略项导致的相位误差阶为</w:t>
      </w:r>
      <m:oMath>
        <m:r>
          <m:rPr/>
          <m:t>O</m:t>
        </m:r>
        <m:r>
          <m:rPr>
            <m:sty m:val="p"/>
          </m:rPr>
          <m:t>([</m:t>
        </m:r>
        <m:sSub>
          <m:sSubPr/>
          <m:e>
            <m:r>
              <m:rPr/>
              <m:t>ω</m:t>
            </m:r>
          </m:e>
          <m:sub>
            <m:r>
              <m:rPr/>
              <m:t>0</m:t>
            </m:r>
          </m:sub>
        </m:sSub>
        <m:r>
          <m:rPr>
            <m:sty m:val="p"/>
          </m:rPr>
          <m:t>+</m:t>
        </m:r>
        <m:sSup>
          <m:sSupPr/>
          <m:e>
            <m:r>
              <m:rPr/>
              <m:t>K</m:t>
            </m:r>
          </m:e>
          <m:sup>
            <m:r>
              <m:rPr>
                <m:sty m:val="p"/>
              </m:rPr>
              <m:t>′</m:t>
            </m:r>
          </m:sup>
        </m:sSup>
        <m:r>
          <m:rPr/>
          <m:t>t</m:t>
        </m:r>
        <m:r>
          <m:rPr>
            <m:sty m:val="p"/>
          </m:rPr>
          <m:t>]</m:t>
        </m:r>
        <m:sSub>
          <m:sSubPr/>
          <m:e>
            <m:r>
              <m:rPr/>
              <m:t>τ</m:t>
            </m:r>
          </m:e>
          <m:sub>
            <m:r>
              <m:rPr/>
              <m:t>g</m:t>
            </m:r>
          </m:sub>
        </m:sSub>
        <m:sSub>
          <m:sSubPr/>
          <m:e>
            <m:acc>
              <m:accPr>
                <m:chr m:val="̇"/>
              </m:accPr>
              <m:e>
                <m:r>
                  <m:rPr/>
                  <m:t>τ</m:t>
                </m:r>
              </m:e>
            </m:acc>
          </m:e>
          <m:sub>
            <m:r>
              <m:rPr/>
              <m:t>g</m:t>
            </m:r>
          </m:sub>
        </m:sSub>
        <m:r>
          <m:rPr>
            <m:sty m:val="p"/>
          </m:rPr>
          <m:t>)</m:t>
        </m:r>
      </m:oMath>
      <w:r>
        <w:rPr>
          <w:rFonts w:hint="eastAsia"/>
        </w:rPr>
        <w:t>。因此,式(3-13)表征的是LFMCW扫频机制下的等效时延轨迹,用于后续局部相位展开,而非任意强色散工况下的精确闭式解。其物理含义也很直接:频域中的非线性映射</w:t>
      </w:r>
      <m:oMath>
        <m:r>
          <m:rPr>
            <m:sty m:val="p"/>
            <m:scr m:val="script"/>
          </m:rPr>
          <m:t>ℳ</m:t>
        </m:r>
        <m:r>
          <m:rPr>
            <m:sty m:val="p"/>
          </m:rPr>
          <m:t>(</m:t>
        </m:r>
        <m:r>
          <m:rPr/>
          <m:t>f</m:t>
        </m:r>
        <m:r>
          <m:rPr>
            <m:sty m:val="p"/>
          </m:rPr>
          <m:t>)</m:t>
        </m:r>
      </m:oMath>
      <w:r>
        <w:rPr>
          <w:rFonts w:hint="eastAsia"/>
        </w:rPr>
        <w:t>经</w:t>
      </w:r>
      <m:oMath>
        <m:r>
          <m:rPr/>
          <m:t>f</m:t>
        </m:r>
        <m:r>
          <m:rPr>
            <m:sty m:val="p"/>
          </m:rPr>
          <m:t>→</m:t>
        </m:r>
        <m:sSub>
          <m:sSubPr/>
          <m:e>
            <m:r>
              <m:rPr/>
              <m:t>f</m:t>
            </m:r>
          </m:e>
          <m:sub>
            <m:r>
              <m:rPr/>
              <m:t>0</m:t>
            </m:r>
          </m:sub>
        </m:sSub>
        <m:r>
          <m:rPr>
            <m:sty m:val="p"/>
          </m:rPr>
          <m:t>+</m:t>
        </m:r>
        <m:r>
          <m:rPr/>
          <m:t>Kt</m:t>
        </m:r>
      </m:oMath>
      <w:r>
        <w:rPr>
          <w:rFonts w:hint="eastAsia"/>
        </w:rPr>
        <w:t>代换后,会转化为时域中的时变群时延轨迹。该结果构成了后续分析差频相位畸变与频谱展宽机理的基础。</w:t>
      </w:r>
    </w:p>
    <w:p w14:paraId="1A8BCBFB">
      <w:r>
        <w:rPr>
          <w:rFonts w:hint="eastAsia"/>
        </w:rPr>
        <w:t>以本文第三章后续统一采用的Ka波段工况为例,取</w:t>
      </w:r>
      <m:oMath>
        <m:r>
          <m:rPr/>
          <m:t>B</m:t>
        </m:r>
        <m:r>
          <m:rPr>
            <m:sty m:val="p"/>
          </m:rPr>
          <m:t>=</m:t>
        </m:r>
        <m:r>
          <m:rPr/>
          <m:t>3</m:t>
        </m:r>
      </m:oMath>
      <w:r>
        <w:t xml:space="preserve"> GHz、</w:t>
      </w:r>
      <m:oMath>
        <m:sSub>
          <m:sSubPr/>
          <m:e>
            <m:r>
              <m:rPr/>
              <m:t>T</m:t>
            </m:r>
          </m:e>
          <m:sub>
            <m:r>
              <m:rPr/>
              <m:t>m</m:t>
            </m:r>
          </m:sub>
        </m:sSub>
        <m:r>
          <m:rPr>
            <m:sty m:val="p"/>
          </m:rPr>
          <m:t>=</m:t>
        </m:r>
        <m:r>
          <m:rPr/>
          <m:t>1</m:t>
        </m:r>
      </m:oMath>
      <w:r>
        <w:t xml:space="preserve"> ms、</w:t>
      </w:r>
      <m:oMath>
        <m:r>
          <m:rPr/>
          <m:t>d</m:t>
        </m:r>
        <m:r>
          <m:rPr>
            <m:sty m:val="p"/>
          </m:rPr>
          <m:t>=</m:t>
        </m:r>
        <m:r>
          <m:rPr/>
          <m:t>0.15</m:t>
        </m:r>
      </m:oMath>
      <w:r>
        <w:t xml:space="preserve"> </w:t>
      </w:r>
      <w:r>
        <w:rPr>
          <w:rFonts w:hint="eastAsia"/>
        </w:rPr>
        <w:t>m,工作带宽为32.5-35.5</w:t>
      </w:r>
      <w:r>
        <w:t xml:space="preserve"> </w:t>
      </w:r>
      <w:r>
        <w:rPr>
          <w:rFonts w:hint="eastAsia"/>
        </w:rPr>
        <w:t>GHz,并以3.3节代表性的中等密度工况</w:t>
      </w:r>
      <m:oMath>
        <m:sSub>
          <m:sSubPr/>
          <m:e>
            <m:r>
              <m:rPr/>
              <m:t>f</m:t>
            </m:r>
          </m:e>
          <m:sub>
            <m:r>
              <m:rPr/>
              <m:t>p</m:t>
            </m:r>
          </m:sub>
        </m:sSub>
        <m:r>
          <m:rPr>
            <m:sty m:val="p"/>
          </m:rPr>
          <m:t>=</m:t>
        </m:r>
        <m:r>
          <m:rPr/>
          <m:t>29</m:t>
        </m:r>
      </m:oMath>
      <w:r>
        <w:t xml:space="preserve"> </w:t>
      </w:r>
      <w:r>
        <w:rPr>
          <w:rFonts w:hint="eastAsia"/>
        </w:rPr>
        <w:t>GHz为参照,则在带宽下边缘、中心频率和上边缘处分别有</w:t>
      </w:r>
      <m:oMath>
        <m:r>
          <m:rPr>
            <m:sty m:val="p"/>
          </m:rPr>
          <m:t>|</m:t>
        </m:r>
        <m:sSub>
          <m:sSubPr/>
          <m:e>
            <m:acc>
              <m:accPr>
                <m:chr m:val="̇"/>
              </m:accPr>
              <m:e>
                <m:r>
                  <m:rPr/>
                  <m:t>τ</m:t>
                </m:r>
              </m:e>
            </m:acc>
          </m:e>
          <m:sub>
            <m:r>
              <m:rPr/>
              <m:t>g</m:t>
            </m:r>
          </m:sub>
        </m:sSub>
        <m:r>
          <m:rPr>
            <m:sty m:val="p"/>
          </m:rPr>
          <m:t>|≈</m:t>
        </m:r>
        <m:r>
          <m:rPr/>
          <m:t>4.00</m:t>
        </m:r>
        <m:r>
          <m:rPr>
            <m:sty m:val="p"/>
          </m:rPr>
          <m:t>×</m:t>
        </m:r>
        <m:sSup>
          <m:sSupPr/>
          <m:e>
            <m:r>
              <m:rPr/>
              <m:t>10</m:t>
            </m:r>
          </m:e>
          <m:sup>
            <m:r>
              <m:rPr>
                <m:sty m:val="p"/>
              </m:rPr>
              <m:t>−</m:t>
            </m:r>
            <m:r>
              <m:rPr/>
              <m:t>7</m:t>
            </m:r>
          </m:sup>
        </m:sSup>
      </m:oMath>
      <w:r>
        <w:t>、</w:t>
      </w:r>
      <m:oMath>
        <m:r>
          <m:rPr/>
          <m:t>2.26</m:t>
        </m:r>
        <m:r>
          <m:rPr>
            <m:sty m:val="p"/>
          </m:rPr>
          <m:t>×</m:t>
        </m:r>
        <m:sSup>
          <m:sSupPr/>
          <m:e>
            <m:r>
              <m:rPr/>
              <m:t>10</m:t>
            </m:r>
          </m:e>
          <m:sup>
            <m:r>
              <m:rPr>
                <m:sty m:val="p"/>
              </m:rPr>
              <m:t>−</m:t>
            </m:r>
            <m:r>
              <m:rPr/>
              <m:t>7</m:t>
            </m:r>
          </m:sup>
        </m:sSup>
      </m:oMath>
      <w:r>
        <w:rPr>
          <w:rFonts w:hint="eastAsia"/>
        </w:rPr>
        <w:t>和</w:t>
      </w:r>
      <m:oMath>
        <m:r>
          <m:rPr/>
          <m:t>1.47</m:t>
        </m:r>
        <m:r>
          <m:rPr>
            <m:sty m:val="p"/>
          </m:rPr>
          <m:t>×</m:t>
        </m:r>
        <m:sSup>
          <m:sSupPr/>
          <m:e>
            <m:r>
              <m:rPr/>
              <m:t>10</m:t>
            </m:r>
          </m:e>
          <m:sup>
            <m:r>
              <m:rPr>
                <m:sty m:val="p"/>
              </m:rPr>
              <m:t>−</m:t>
            </m:r>
            <m:r>
              <m:rPr/>
              <m:t>7</m:t>
            </m:r>
          </m:sup>
        </m:sSup>
      </m:oMath>
      <w:r>
        <w:rPr>
          <w:rFonts w:hint="eastAsia"/>
        </w:rPr>
        <w:t>。在</w:t>
      </w:r>
      <m:oMath>
        <m:sSub>
          <m:sSubPr/>
          <m:e>
            <m:r>
              <m:rPr/>
              <m:t>f</m:t>
            </m:r>
          </m:e>
          <m:sub>
            <m:r>
              <m:rPr/>
              <m:t>c</m:t>
            </m:r>
          </m:sub>
        </m:sSub>
        <m:r>
          <m:rPr>
            <m:sty m:val="p"/>
          </m:rPr>
          <m:t>=</m:t>
        </m:r>
        <m:r>
          <m:rPr/>
          <m:t>34</m:t>
        </m:r>
      </m:oMath>
      <w:r>
        <w:t xml:space="preserve"> </w:t>
      </w:r>
      <w:r>
        <w:rPr>
          <w:rFonts w:hint="eastAsia"/>
        </w:rPr>
        <w:t>GHz处,总群时延约为</w:t>
      </w:r>
      <m:oMath>
        <m:sSub>
          <m:sSubPr/>
          <m:e>
            <m:r>
              <m:rPr/>
              <m:t>τ</m:t>
            </m:r>
          </m:e>
          <m:sub>
            <m:r>
              <m:rPr/>
              <m:t>g</m:t>
            </m:r>
          </m:sub>
        </m:sSub>
        <m:r>
          <m:rPr>
            <m:sty m:val="p"/>
          </m:rPr>
          <m:t>≈</m:t>
        </m:r>
        <m:r>
          <m:rPr/>
          <m:t>0.9585</m:t>
        </m:r>
      </m:oMath>
      <w:r>
        <w:t xml:space="preserve"> </w:t>
      </w:r>
      <w:r>
        <w:rPr>
          <w:rFonts w:hint="eastAsia"/>
        </w:rPr>
        <w:t>ns,故</w:t>
      </w:r>
      <m:oMath>
        <m:sSub>
          <m:sSubPr/>
          <m:e>
            <m:r>
              <m:rPr/>
              <m:t>τ</m:t>
            </m:r>
          </m:e>
          <m:sub>
            <m:r>
              <m:rPr/>
              <m:t>g</m:t>
            </m:r>
          </m:sub>
        </m:sSub>
        <m:sSub>
          <m:sSubPr/>
          <m:e>
            <m:acc>
              <m:accPr>
                <m:chr m:val="̇"/>
              </m:accPr>
              <m:e>
                <m:r>
                  <m:rPr/>
                  <m:t>τ</m:t>
                </m:r>
              </m:e>
            </m:acc>
          </m:e>
          <m:sub>
            <m:r>
              <m:rPr/>
              <m:t>g</m:t>
            </m:r>
          </m:sub>
        </m:sSub>
        <m:r>
          <m:rPr>
            <m:sty m:val="p"/>
          </m:rPr>
          <m:t>≈</m:t>
        </m:r>
        <m:r>
          <m:rPr/>
          <m:t>2.16</m:t>
        </m:r>
        <m:r>
          <m:rPr>
            <m:sty m:val="p"/>
          </m:rPr>
          <m:t>×</m:t>
        </m:r>
        <m:sSup>
          <m:sSupPr/>
          <m:e>
            <m:r>
              <m:rPr/>
              <m:t>10</m:t>
            </m:r>
          </m:e>
          <m:sup>
            <m:r>
              <m:rPr>
                <m:sty m:val="p"/>
              </m:rPr>
              <m:t>−</m:t>
            </m:r>
            <m:r>
              <m:rPr/>
              <m:t>16</m:t>
            </m:r>
          </m:sup>
        </m:sSup>
      </m:oMath>
      <w:r>
        <w:t xml:space="preserve"> </w:t>
      </w:r>
      <w:r>
        <w:rPr>
          <w:rFonts w:hint="eastAsia"/>
        </w:rPr>
        <w:t>s,仅为</w:t>
      </w:r>
      <m:oMath>
        <m:r>
          <m:rPr/>
          <m:t>2.16</m:t>
        </m:r>
        <m:r>
          <m:rPr>
            <m:sty m:val="p"/>
          </m:rPr>
          <m:t>×</m:t>
        </m:r>
        <m:sSup>
          <m:sSupPr/>
          <m:e>
            <m:r>
              <m:rPr/>
              <m:t>10</m:t>
            </m:r>
          </m:e>
          <m:sup>
            <m:r>
              <m:rPr>
                <m:sty m:val="p"/>
              </m:rPr>
              <m:t>−</m:t>
            </m:r>
            <m:r>
              <m:rPr/>
              <m:t>4</m:t>
            </m:r>
          </m:sup>
        </m:sSup>
      </m:oMath>
      <w:r>
        <w:t xml:space="preserve"> </w:t>
      </w:r>
      <w:r>
        <w:rPr>
          <w:rFonts w:hint="eastAsia"/>
        </w:rPr>
        <w:t>ps量级。该数量级检查表明，在本文典型透射诊断工况下，自洽发射时刻修正远小于皮秒量级，因此慢变时延近似在本章分析范围内是成立的。</w:t>
      </w:r>
    </w:p>
    <w:bookmarkEnd w:id="43"/>
    <w:p w14:paraId="658B3629">
      <w:pPr>
        <w:pStyle w:val="4"/>
      </w:pPr>
      <w:bookmarkStart w:id="44" w:name="关键参数定义群时延非线性度因子eta的数学表征"/>
      <w:r>
        <w:rPr>
          <w:rFonts w:hint="eastAsia"/>
        </w:rPr>
        <w:t>关键参数定义:群时延非线性度因子(</w:t>
      </w:r>
      <m:oMath>
        <m:r>
          <m:rPr/>
          <m:t>η</m:t>
        </m:r>
      </m:oMath>
      <w:r>
        <w:rPr>
          <w:rFonts w:hint="eastAsia"/>
        </w:rPr>
        <w:t>)的数学表征</w:t>
      </w:r>
    </w:p>
    <w:p w14:paraId="4435779F">
      <w:r>
        <w:rPr>
          <w:rFonts w:hint="eastAsia"/>
        </w:rPr>
        <w:t>为了定量表征色散效应对LFMCW宽带信号的具体影响程度,并为后续章节建立局部工程判据提供数学依据,需引入无量纲参数对信道的非线性强弱进行标定。</w:t>
      </w:r>
    </w:p>
    <w:p w14:paraId="7E956638">
      <w:r>
        <w:rPr>
          <w:rFonts w:hint="eastAsia"/>
        </w:rPr>
        <w:t>群时延的非线性本质上由其对频率的导数决定，而这一导数又受介质参数共同影响。若保留碰撞频率</w:t>
      </w:r>
      <m:oMath>
        <m:sSub>
          <m:sSubPr/>
          <m:e>
            <m:r>
              <m:rPr/>
              <m:t>ν</m:t>
            </m:r>
          </m:e>
          <m:sub>
            <m:r>
              <m:rPr/>
              <m:t>e</m:t>
            </m:r>
          </m:sub>
        </m:sSub>
      </m:oMath>
      <w:r>
        <w:rPr>
          <w:rFonts w:hint="eastAsia"/>
        </w:rPr>
        <w:t>的完整修正项，则对应表达式会明显复杂化，不利于突出电子密度主导的物理规律。基于3.2.1节关于参数敏感度量级判定的结论，碰撞频率对群时延的贡献仅为二阶微扰；根据微扰理论，若原函数的微扰项可忽略，其一阶导数的趋势通常由主导项决定。</w:t>
      </w:r>
    </w:p>
    <w:p w14:paraId="5565B035">
      <w:r>
        <w:rPr>
          <w:rFonts w:hint="eastAsia"/>
        </w:rPr>
        <w:t>本文定义群时延非线性度因子</w:t>
      </w:r>
      <m:oMath>
        <m:r>
          <m:rPr/>
          <m:t>η</m:t>
        </m:r>
      </m:oMath>
      <w:r>
        <w:rPr>
          <w:rFonts w:hint="eastAsia"/>
        </w:rPr>
        <w:t>,表征在给定候选带宽</w:t>
      </w:r>
      <m:oMath>
        <m:r>
          <m:rPr/>
          <m:t>B</m:t>
        </m:r>
      </m:oMath>
      <w:r>
        <w:rPr>
          <w:rFonts w:hint="eastAsia"/>
        </w:rPr>
        <w:t>下,群时延随频率变化的剧烈程度相对于基础真空时延</w:t>
      </w:r>
      <m:oMath>
        <m:sSub>
          <m:sSubPr/>
          <m:e>
            <m:r>
              <m:rPr/>
              <m:t>τ</m:t>
            </m:r>
          </m:e>
          <m:sub>
            <m:r>
              <m:rPr/>
              <m:t>0</m:t>
            </m:r>
          </m:sub>
        </m:sSub>
      </m:oMath>
      <w:r>
        <w:rPr>
          <w:rFonts w:hint="eastAsia"/>
        </w:rPr>
        <w:t>的比率。其数学定义基于群时延色散率(Group</w:t>
      </w:r>
      <w:r>
        <w:t xml:space="preserve"> Delay Dispersion, GDD) </w:t>
      </w:r>
      <m:oMath>
        <m:sSub>
          <m:sSubPr/>
          <m:e>
            <m:r>
              <m:rPr/>
              <m:t>D</m:t>
            </m:r>
          </m:e>
          <m:sub>
            <m:r>
              <m:rPr/>
              <m:t>2</m:t>
            </m:r>
          </m:sub>
        </m:sSub>
        <m:r>
          <m:rPr>
            <m:sty m:val="p"/>
          </m:rPr>
          <m:t>(</m:t>
        </m:r>
        <m:r>
          <m:rPr/>
          <m:t>f</m:t>
        </m:r>
        <m:r>
          <m:rPr>
            <m:sty m:val="p"/>
          </m:rPr>
          <m:t>)=</m:t>
        </m:r>
        <m:r>
          <m:rPr/>
          <m:t>d</m:t>
        </m:r>
        <m:sSub>
          <m:sSubPr/>
          <m:e>
            <m:r>
              <m:rPr/>
              <m:t>τ</m:t>
            </m:r>
          </m:e>
          <m:sub>
            <m:r>
              <m:rPr/>
              <m:t>g</m:t>
            </m:r>
          </m:sub>
        </m:sSub>
        <m:r>
          <m:rPr>
            <m:sty m:val="p"/>
          </m:rPr>
          <m:t>/</m:t>
        </m:r>
        <m:r>
          <m:rPr/>
          <m:t>df</m:t>
        </m:r>
      </m:oMath>
      <w:r>
        <w:t xml:space="preserve"> </w:t>
      </w:r>
      <w:r>
        <w:rPr>
          <w:rFonts w:hint="eastAsia"/>
        </w:rPr>
        <w:t>的归一化模值:</w:t>
      </w:r>
    </w:p>
    <w:p w14:paraId="6D0CAC89">
      <w:r>
        <w:t xml:space="preserve"> </w:t>
      </w:r>
    </w:p>
    <w:p w14:paraId="0C3C01C2">
      <w:pPr>
        <w:pStyle w:val="44"/>
        <w:spacing w:before="0" w:after="0" w:line="400" w:lineRule="atLeast"/>
      </w:pPr>
      <w:r>
        <w:tab/>
      </w:r>
      <m:oMath>
        <m:r>
          <m:rPr/>
          <m:t>η</m:t>
        </m:r>
        <m:r>
          <m:rPr>
            <m:sty m:val="p"/>
          </m:rPr>
          <m:t>(</m:t>
        </m:r>
        <m:r>
          <m:rPr/>
          <m:t>f</m:t>
        </m:r>
        <m:r>
          <m:rPr>
            <m:sty m:val="p"/>
          </m:rPr>
          <m:t>)≜</m:t>
        </m:r>
        <m:f>
          <m:fPr/>
          <m:num>
            <m:r>
              <m:rPr/>
              <m:t>1</m:t>
            </m:r>
          </m:num>
          <m:den>
            <m:sSub>
              <m:sSubPr/>
              <m:e>
                <m:r>
                  <m:rPr/>
                  <m:t>τ</m:t>
                </m:r>
              </m:e>
              <m:sub>
                <m:r>
                  <m:rPr/>
                  <m:t>0</m:t>
                </m:r>
              </m:sub>
            </m:sSub>
          </m:den>
        </m:f>
        <m:r>
          <m:rPr>
            <m:sty m:val="p"/>
          </m:rPr>
          <m:t>⋅</m:t>
        </m:r>
        <m:d>
          <m:dPr>
            <m:begChr m:val="|"/>
            <m:sepChr m:val=""/>
            <m:endChr m:val="|"/>
          </m:dPr>
          <m:e>
            <m:f>
              <m:fPr/>
              <m:num>
                <m:r>
                  <m:rPr/>
                  <m:t>d</m:t>
                </m:r>
                <m:sSub>
                  <m:sSubPr/>
                  <m:e>
                    <m:r>
                      <m:rPr/>
                      <m:t>τ</m:t>
                    </m:r>
                  </m:e>
                  <m:sub>
                    <m:r>
                      <m:rPr/>
                      <m:t>g</m:t>
                    </m:r>
                  </m:sub>
                </m:sSub>
                <m:r>
                  <m:rPr>
                    <m:sty m:val="p"/>
                  </m:rPr>
                  <m:t>(</m:t>
                </m:r>
                <m:r>
                  <m:rPr/>
                  <m:t>f</m:t>
                </m:r>
                <m:r>
                  <m:rPr>
                    <m:sty m:val="p"/>
                  </m:rPr>
                  <m:t>)</m:t>
                </m:r>
              </m:num>
              <m:den>
                <m:r>
                  <m:rPr/>
                  <m:t>df</m:t>
                </m:r>
              </m:den>
            </m:f>
          </m:e>
        </m:d>
        <m:r>
          <m:rPr>
            <m:sty m:val="p"/>
          </m:rPr>
          <m:t>⋅</m:t>
        </m:r>
        <m:r>
          <m:rPr/>
          <m:t>B</m:t>
        </m:r>
      </m:oMath>
      <w:r>
        <w:tab/>
      </w:r>
      <w:r>
        <w:t>(3</w:t>
      </w:r>
      <w:r>
        <w:noBreakHyphen/>
      </w:r>
      <w:r>
        <w:t>14)</w:t>
      </w:r>
    </w:p>
    <w:p w14:paraId="7D2DE2E2">
      <w:r>
        <w:t xml:space="preserve"> </w:t>
      </w:r>
    </w:p>
    <w:p w14:paraId="1D9B4D35">
      <w:r>
        <w:rPr>
          <w:rFonts w:hint="eastAsia"/>
        </w:rPr>
        <w:t>其中,</w:t>
      </w:r>
      <m:oMath>
        <m:sSub>
          <m:sSubPr/>
          <m:e>
            <m:r>
              <m:rPr/>
              <m:t>τ</m:t>
            </m:r>
          </m:e>
          <m:sub>
            <m:r>
              <m:rPr/>
              <m:t>0</m:t>
            </m:r>
          </m:sub>
        </m:sSub>
        <m:r>
          <m:rPr>
            <m:sty m:val="p"/>
          </m:rPr>
          <m:t>=</m:t>
        </m:r>
        <m:r>
          <m:rPr/>
          <m:t>d</m:t>
        </m:r>
        <m:r>
          <m:rPr>
            <m:sty m:val="p"/>
          </m:rPr>
          <m:t>/</m:t>
        </m:r>
        <m:r>
          <m:rPr/>
          <m:t>c</m:t>
        </m:r>
      </m:oMath>
      <w:r>
        <w:rPr>
          <w:rFonts w:hint="eastAsia"/>
        </w:rPr>
        <w:t>为真空中的基础传播时延。该定义本质上描述了在带宽</w:t>
      </w:r>
      <m:oMath>
        <m:r>
          <m:rPr/>
          <m:t>B</m:t>
        </m:r>
      </m:oMath>
      <w:r>
        <w:rPr>
          <w:rFonts w:hint="eastAsia"/>
        </w:rPr>
        <w:t>内,由色散引起的线性时延变化量占总时延的比例。</w:t>
      </w:r>
    </w:p>
    <w:p w14:paraId="0127F0D4">
      <w:r>
        <w:rPr>
          <w:rFonts w:hint="eastAsia"/>
        </w:rPr>
        <w:t>将简化后的工程主导模型</w:t>
      </w:r>
      <m:oMath>
        <m:sSub>
          <m:sSubPr/>
          <m:e>
            <m:r>
              <m:rPr/>
              <m:t>τ</m:t>
            </m:r>
          </m:e>
          <m:sub>
            <m:r>
              <m:rPr/>
              <m:t>g</m:t>
            </m:r>
          </m:sub>
        </m:sSub>
        <m:r>
          <m:rPr>
            <m:sty m:val="p"/>
          </m:rPr>
          <m:t>(</m:t>
        </m:r>
        <m:r>
          <m:rPr/>
          <m:t>f</m:t>
        </m:r>
        <m:r>
          <m:rPr>
            <m:sty m:val="p"/>
          </m:rPr>
          <m:t>)=</m:t>
        </m:r>
        <m:f>
          <m:fPr/>
          <m:num>
            <m:r>
              <m:rPr/>
              <m:t>d</m:t>
            </m:r>
          </m:num>
          <m:den>
            <m:r>
              <m:rPr/>
              <m:t>c</m:t>
            </m:r>
          </m:den>
        </m:f>
        <m:r>
          <m:rPr>
            <m:sty m:val="p"/>
          </m:rPr>
          <m:t>[</m:t>
        </m:r>
        <m:r>
          <m:rPr/>
          <m:t>1</m:t>
        </m:r>
        <m:r>
          <m:rPr>
            <m:sty m:val="p"/>
          </m:rPr>
          <m:t>−(</m:t>
        </m:r>
        <m:sSub>
          <m:sSubPr/>
          <m:e>
            <m:r>
              <m:rPr/>
              <m:t>f</m:t>
            </m:r>
          </m:e>
          <m:sub>
            <m:r>
              <m:rPr/>
              <m:t>p</m:t>
            </m:r>
          </m:sub>
        </m:sSub>
        <m:r>
          <m:rPr>
            <m:sty m:val="p"/>
          </m:rPr>
          <m:t>/</m:t>
        </m:r>
        <m:r>
          <m:rPr/>
          <m:t>f</m:t>
        </m:r>
        <m:sSup>
          <m:sSupPr/>
          <m:e>
            <m:r>
              <m:rPr>
                <m:sty m:val="p"/>
              </m:rPr>
              <m:t>)</m:t>
            </m:r>
          </m:e>
          <m:sup>
            <m:r>
              <m:rPr/>
              <m:t>2</m:t>
            </m:r>
          </m:sup>
        </m:sSup>
        <m:sSup>
          <m:sSupPr/>
          <m:e>
            <m:r>
              <m:rPr>
                <m:sty m:val="p"/>
              </m:rPr>
              <m:t>]</m:t>
            </m:r>
          </m:e>
          <m:sup>
            <m:r>
              <m:rPr>
                <m:sty m:val="p"/>
              </m:rPr>
              <m:t>−</m:t>
            </m:r>
            <m:r>
              <m:rPr/>
              <m:t>1</m:t>
            </m:r>
            <m:r>
              <m:rPr>
                <m:sty m:val="p"/>
              </m:rPr>
              <m:t>/</m:t>
            </m:r>
            <m:r>
              <m:rPr/>
              <m:t>2</m:t>
            </m:r>
          </m:sup>
        </m:sSup>
      </m:oMath>
      <w:r>
        <w:rPr>
          <w:rFonts w:hint="eastAsia"/>
        </w:rPr>
        <w:t>代入式(3-14),对其关于频率求导并整理,可得群时延色散率</w:t>
      </w:r>
    </w:p>
    <w:p w14:paraId="3E41E40F">
      <w:r>
        <w:t xml:space="preserve"> </w:t>
      </w:r>
    </w:p>
    <w:p w14:paraId="03F67AE4">
      <w:pPr>
        <w:pStyle w:val="44"/>
        <w:spacing w:before="0" w:after="0" w:line="400" w:lineRule="atLeast"/>
      </w:pPr>
      <w:r>
        <w:tab/>
      </w:r>
      <m:oMath>
        <m:f>
          <m:fPr/>
          <m:num>
            <m:r>
              <m:rPr/>
              <m:t>d</m:t>
            </m:r>
            <m:sSub>
              <m:sSubPr/>
              <m:e>
                <m:r>
                  <m:rPr/>
                  <m:t>τ</m:t>
                </m:r>
              </m:e>
              <m:sub>
                <m:r>
                  <m:rPr/>
                  <m:t>g</m:t>
                </m:r>
              </m:sub>
            </m:sSub>
            <m:r>
              <m:rPr>
                <m:sty m:val="p"/>
              </m:rPr>
              <m:t>(</m:t>
            </m:r>
            <m:r>
              <m:rPr/>
              <m:t>f</m:t>
            </m:r>
            <m:r>
              <m:rPr>
                <m:sty m:val="p"/>
              </m:rPr>
              <m:t>)</m:t>
            </m:r>
          </m:num>
          <m:den>
            <m:r>
              <m:rPr/>
              <m:t>df</m:t>
            </m:r>
          </m:den>
        </m:f>
        <m:r>
          <m:rPr>
            <m:sty m:val="p"/>
          </m:rPr>
          <m:t>=−</m:t>
        </m:r>
        <m:sSub>
          <m:sSubPr/>
          <m:e>
            <m:r>
              <m:rPr/>
              <m:t>τ</m:t>
            </m:r>
          </m:e>
          <m:sub>
            <m:r>
              <m:rPr/>
              <m:t>0</m:t>
            </m:r>
          </m:sub>
        </m:sSub>
        <m:r>
          <m:rPr>
            <m:sty m:val="p"/>
          </m:rPr>
          <m:t>⋅</m:t>
        </m:r>
        <m:f>
          <m:fPr/>
          <m:num>
            <m:r>
              <m:rPr/>
              <m:t>1</m:t>
            </m:r>
          </m:num>
          <m:den>
            <m:r>
              <m:rPr/>
              <m:t>f</m:t>
            </m:r>
          </m:den>
        </m:f>
        <m:r>
          <m:rPr>
            <m:sty m:val="p"/>
          </m:rPr>
          <m:t>⋅</m:t>
        </m:r>
        <m:f>
          <m:fPr/>
          <m:num>
            <m:r>
              <m:rPr>
                <m:sty m:val="p"/>
              </m:rPr>
              <m:t>(</m:t>
            </m:r>
            <m:sSub>
              <m:sSubPr/>
              <m:e>
                <m:r>
                  <m:rPr/>
                  <m:t>f</m:t>
                </m:r>
              </m:e>
              <m:sub>
                <m:r>
                  <m:rPr/>
                  <m:t>p</m:t>
                </m:r>
              </m:sub>
            </m:sSub>
            <m:r>
              <m:rPr>
                <m:sty m:val="p"/>
              </m:rPr>
              <m:t>/</m:t>
            </m:r>
            <m:r>
              <m:rPr/>
              <m:t>f</m:t>
            </m:r>
            <m:sSup>
              <m:sSupPr/>
              <m:e>
                <m:r>
                  <m:rPr>
                    <m:sty m:val="p"/>
                  </m:rPr>
                  <m:t>)</m:t>
                </m:r>
              </m:e>
              <m:sup>
                <m:r>
                  <m:rPr/>
                  <m:t>2</m:t>
                </m:r>
              </m:sup>
            </m:sSup>
          </m:num>
          <m:den>
            <m:sSup>
              <m:sSupPr/>
              <m:e>
                <m:d>
                  <m:dPr>
                    <m:begChr m:val="["/>
                    <m:sepChr m:val=""/>
                    <m:endChr m:val="]"/>
                  </m:dPr>
                  <m:e>
                    <m:r>
                      <m:rPr/>
                      <m:t>1</m:t>
                    </m:r>
                    <m:r>
                      <m:rPr>
                        <m:sty m:val="p"/>
                      </m:rPr>
                      <m:t>−(</m:t>
                    </m:r>
                    <m:sSub>
                      <m:sSubPr/>
                      <m:e>
                        <m:r>
                          <m:rPr/>
                          <m:t>f</m:t>
                        </m:r>
                      </m:e>
                      <m:sub>
                        <m:r>
                          <m:rPr/>
                          <m:t>p</m:t>
                        </m:r>
                      </m:sub>
                    </m:sSub>
                    <m:r>
                      <m:rPr>
                        <m:sty m:val="p"/>
                      </m:rPr>
                      <m:t>/</m:t>
                    </m:r>
                    <m:r>
                      <m:rPr/>
                      <m:t>f</m:t>
                    </m:r>
                    <m:sSup>
                      <m:sSupPr/>
                      <m:e>
                        <m:r>
                          <m:rPr>
                            <m:sty m:val="p"/>
                          </m:rPr>
                          <m:t>)</m:t>
                        </m:r>
                      </m:e>
                      <m:sup>
                        <m:r>
                          <m:rPr/>
                          <m:t>2</m:t>
                        </m:r>
                      </m:sup>
                    </m:sSup>
                  </m:e>
                </m:d>
              </m:e>
              <m:sup>
                <m:r>
                  <m:rPr/>
                  <m:t>3</m:t>
                </m:r>
                <m:r>
                  <m:rPr>
                    <m:sty m:val="p"/>
                  </m:rPr>
                  <m:t>/</m:t>
                </m:r>
                <m:r>
                  <m:rPr/>
                  <m:t>2</m:t>
                </m:r>
              </m:sup>
            </m:sSup>
          </m:den>
        </m:f>
      </m:oMath>
      <w:r>
        <w:tab/>
      </w:r>
      <w:r>
        <w:t>(3</w:t>
      </w:r>
      <w:r>
        <w:noBreakHyphen/>
      </w:r>
      <w:r>
        <w:t>15)</w:t>
      </w:r>
    </w:p>
    <w:p w14:paraId="7B0D5FC6">
      <w:r>
        <w:t xml:space="preserve"> </w:t>
      </w:r>
    </w:p>
    <w:p w14:paraId="21D7C1FD">
      <w:r>
        <w:rPr>
          <w:rFonts w:hint="eastAsia"/>
        </w:rPr>
        <w:t>将式(3-15)的模值代入定义式(3-14),消去</w:t>
      </w:r>
      <m:oMath>
        <m:sSub>
          <m:sSubPr/>
          <m:e>
            <m:r>
              <m:rPr/>
              <m:t>τ</m:t>
            </m:r>
          </m:e>
          <m:sub>
            <m:r>
              <m:rPr/>
              <m:t>0</m:t>
            </m:r>
          </m:sub>
        </m:sSub>
      </m:oMath>
      <w:r>
        <w:rPr>
          <w:rFonts w:hint="eastAsia"/>
        </w:rPr>
        <w:t>,最终得到</w:t>
      </w:r>
      <m:oMath>
        <m:r>
          <m:rPr/>
          <m:t>η</m:t>
        </m:r>
      </m:oMath>
      <w:r>
        <w:rPr>
          <w:rFonts w:hint="eastAsia"/>
        </w:rPr>
        <w:t>关于探测频率</w:t>
      </w:r>
      <m:oMath>
        <m:r>
          <m:rPr/>
          <m:t>f</m:t>
        </m:r>
      </m:oMath>
      <w:r>
        <w:rPr>
          <w:rFonts w:hint="eastAsia"/>
        </w:rPr>
        <w:t>与截止频率</w:t>
      </w:r>
      <m:oMath>
        <m:sSub>
          <m:sSubPr/>
          <m:e>
            <m:r>
              <m:rPr/>
              <m:t>f</m:t>
            </m:r>
          </m:e>
          <m:sub>
            <m:r>
              <m:rPr/>
              <m:t>p</m:t>
            </m:r>
          </m:sub>
        </m:sSub>
      </m:oMath>
      <w:r>
        <w:rPr>
          <w:rFonts w:hint="eastAsia"/>
        </w:rPr>
        <w:t>的显式解析表达:</w:t>
      </w:r>
    </w:p>
    <w:p w14:paraId="3F19CD15">
      <w:r>
        <w:t xml:space="preserve"> </w:t>
      </w:r>
    </w:p>
    <w:p w14:paraId="312C6521">
      <w:pPr>
        <w:pStyle w:val="44"/>
        <w:spacing w:before="0" w:after="0" w:line="400" w:lineRule="atLeast"/>
      </w:pPr>
      <w:r>
        <w:tab/>
      </w:r>
      <m:oMath>
        <m:r>
          <m:rPr/>
          <m:t>η</m:t>
        </m:r>
        <m:r>
          <m:rPr>
            <m:sty m:val="p"/>
          </m:rPr>
          <m:t>(</m:t>
        </m:r>
        <m:r>
          <m:rPr/>
          <m:t>f</m:t>
        </m:r>
        <m:r>
          <m:rPr>
            <m:sty m:val="p"/>
          </m:rPr>
          <m:t>)=</m:t>
        </m:r>
        <m:f>
          <m:fPr/>
          <m:num>
            <m:r>
              <m:rPr/>
              <m:t>B</m:t>
            </m:r>
          </m:num>
          <m:den>
            <m:r>
              <m:rPr/>
              <m:t>f</m:t>
            </m:r>
          </m:den>
        </m:f>
        <m:r>
          <m:rPr>
            <m:sty m:val="p"/>
          </m:rPr>
          <m:t>⋅</m:t>
        </m:r>
        <m:f>
          <m:fPr/>
          <m:num>
            <m:r>
              <m:rPr>
                <m:sty m:val="p"/>
              </m:rPr>
              <m:t>(</m:t>
            </m:r>
            <m:sSub>
              <m:sSubPr/>
              <m:e>
                <m:r>
                  <m:rPr/>
                  <m:t>f</m:t>
                </m:r>
              </m:e>
              <m:sub>
                <m:r>
                  <m:rPr/>
                  <m:t>p</m:t>
                </m:r>
              </m:sub>
            </m:sSub>
            <m:r>
              <m:rPr>
                <m:sty m:val="p"/>
              </m:rPr>
              <m:t>/</m:t>
            </m:r>
            <m:r>
              <m:rPr/>
              <m:t>f</m:t>
            </m:r>
            <m:sSup>
              <m:sSupPr/>
              <m:e>
                <m:r>
                  <m:rPr>
                    <m:sty m:val="p"/>
                  </m:rPr>
                  <m:t>)</m:t>
                </m:r>
              </m:e>
              <m:sup>
                <m:r>
                  <m:rPr/>
                  <m:t>2</m:t>
                </m:r>
              </m:sup>
            </m:sSup>
          </m:num>
          <m:den>
            <m:sSup>
              <m:sSupPr/>
              <m:e>
                <m:d>
                  <m:dPr>
                    <m:begChr m:val="["/>
                    <m:sepChr m:val=""/>
                    <m:endChr m:val="]"/>
                  </m:dPr>
                  <m:e>
                    <m:r>
                      <m:rPr/>
                      <m:t>1</m:t>
                    </m:r>
                    <m:r>
                      <m:rPr>
                        <m:sty m:val="p"/>
                      </m:rPr>
                      <m:t>−(</m:t>
                    </m:r>
                    <m:sSub>
                      <m:sSubPr/>
                      <m:e>
                        <m:r>
                          <m:rPr/>
                          <m:t>f</m:t>
                        </m:r>
                      </m:e>
                      <m:sub>
                        <m:r>
                          <m:rPr/>
                          <m:t>p</m:t>
                        </m:r>
                      </m:sub>
                    </m:sSub>
                    <m:r>
                      <m:rPr>
                        <m:sty m:val="p"/>
                      </m:rPr>
                      <m:t>/</m:t>
                    </m:r>
                    <m:r>
                      <m:rPr/>
                      <m:t>f</m:t>
                    </m:r>
                    <m:sSup>
                      <m:sSupPr/>
                      <m:e>
                        <m:r>
                          <m:rPr>
                            <m:sty m:val="p"/>
                          </m:rPr>
                          <m:t>)</m:t>
                        </m:r>
                      </m:e>
                      <m:sup>
                        <m:r>
                          <m:rPr/>
                          <m:t>2</m:t>
                        </m:r>
                      </m:sup>
                    </m:sSup>
                  </m:e>
                </m:d>
              </m:e>
              <m:sup>
                <m:f>
                  <m:fPr/>
                  <m:num>
                    <m:r>
                      <m:rPr/>
                      <m:t>3</m:t>
                    </m:r>
                  </m:num>
                  <m:den>
                    <m:r>
                      <m:rPr/>
                      <m:t>2</m:t>
                    </m:r>
                  </m:den>
                </m:f>
              </m:sup>
            </m:sSup>
          </m:den>
        </m:f>
        <m:r>
          <m:rPr>
            <m:sty m:val="p"/>
          </m:rPr>
          <m:t>,(</m:t>
        </m:r>
        <m:r>
          <m:rPr/>
          <m:t>f</m:t>
        </m:r>
        <m:r>
          <m:rPr>
            <m:sty m:val="p"/>
          </m:rPr>
          <m:t>&gt;</m:t>
        </m:r>
        <m:sSub>
          <m:sSubPr/>
          <m:e>
            <m:r>
              <m:rPr/>
              <m:t>f</m:t>
            </m:r>
          </m:e>
          <m:sub>
            <m:r>
              <m:rPr/>
              <m:t>p</m:t>
            </m:r>
          </m:sub>
        </m:sSub>
        <m:r>
          <m:rPr>
            <m:sty m:val="p"/>
          </m:rPr>
          <m:t>)</m:t>
        </m:r>
      </m:oMath>
      <w:r>
        <w:tab/>
      </w:r>
      <w:r>
        <w:t>(3</w:t>
      </w:r>
      <w:r>
        <w:noBreakHyphen/>
      </w:r>
      <w:r>
        <w:t>16)</w:t>
      </w:r>
    </w:p>
    <w:p w14:paraId="7DEF718D">
      <w:r>
        <w:t xml:space="preserve"> </w:t>
      </w:r>
    </w:p>
    <w:p w14:paraId="535E04B3">
      <w:r>
        <w:rPr>
          <w:rFonts w:hint="eastAsia"/>
        </w:rPr>
        <w:t>式(3-16)揭示了信道非线性与介质参数、雷达参数的耦合关系。当探测频率逼近截止频率时,分母趋于零,</w:t>
      </w:r>
      <m:oMath>
        <m:r>
          <m:rPr/>
          <m:t>η</m:t>
        </m:r>
        <m:r>
          <m:rPr>
            <m:sty m:val="p"/>
          </m:rPr>
          <m:t>(</m:t>
        </m:r>
        <m:r>
          <m:rPr/>
          <m:t>f</m:t>
        </m:r>
        <m:r>
          <m:rPr>
            <m:sty m:val="p"/>
          </m:rPr>
          <m:t>)</m:t>
        </m:r>
      </m:oMath>
      <w:r>
        <w:rPr>
          <w:rFonts w:hint="eastAsia"/>
        </w:rPr>
        <w:t>急剧增大,截止区因而成为对电子密度最敏感的频段;当</w:t>
      </w:r>
      <m:oMath>
        <m:r>
          <m:rPr/>
          <m:t>f</m:t>
        </m:r>
        <m:r>
          <m:rPr>
            <m:sty m:val="p"/>
          </m:rPr>
          <m:t>≫</m:t>
        </m:r>
        <m:sSub>
          <m:sSubPr/>
          <m:e>
            <m:r>
              <m:rPr/>
              <m:t>f</m:t>
            </m:r>
          </m:e>
          <m:sub>
            <m:r>
              <m:rPr/>
              <m:t>p</m:t>
            </m:r>
          </m:sub>
        </m:sSub>
      </m:oMath>
      <w:r>
        <w:rPr>
          <w:rFonts w:hint="eastAsia"/>
        </w:rPr>
        <w:t>时,</w:t>
      </w:r>
      <m:oMath>
        <m:r>
          <m:rPr/>
          <m:t>η</m:t>
        </m:r>
        <m:r>
          <m:rPr>
            <m:sty m:val="p"/>
          </m:rPr>
          <m:t>(</m:t>
        </m:r>
        <m:r>
          <m:rPr/>
          <m:t>f</m:t>
        </m:r>
        <m:r>
          <m:rPr>
            <m:sty m:val="p"/>
          </m:rPr>
          <m:t>)≈</m:t>
        </m:r>
        <m:r>
          <m:rPr/>
          <m:t>B</m:t>
        </m:r>
        <m:r>
          <m:rPr>
            <m:sty m:val="p"/>
          </m:rPr>
          <m:t>(</m:t>
        </m:r>
        <m:sSub>
          <m:sSubPr/>
          <m:e>
            <m:r>
              <m:rPr/>
              <m:t>f</m:t>
            </m:r>
          </m:e>
          <m:sub>
            <m:r>
              <m:rPr/>
              <m:t>p</m:t>
            </m:r>
          </m:sub>
        </m:sSub>
        <m:r>
          <m:rPr>
            <m:sty m:val="p"/>
          </m:rPr>
          <m:t>/</m:t>
        </m:r>
        <m:r>
          <m:rPr/>
          <m:t>f</m:t>
        </m:r>
        <m:sSup>
          <m:sSupPr/>
          <m:e>
            <m:r>
              <m:rPr>
                <m:sty m:val="p"/>
              </m:rPr>
              <m:t>)</m:t>
            </m:r>
          </m:e>
          <m:sup>
            <m:r>
              <m:rPr/>
              <m:t>2</m:t>
            </m:r>
          </m:sup>
        </m:sSup>
        <m:r>
          <m:rPr>
            <m:sty m:val="p"/>
          </m:rPr>
          <m:t>/</m:t>
        </m:r>
        <m:r>
          <m:rPr/>
          <m:t>f</m:t>
        </m:r>
        <m:r>
          <m:rPr>
            <m:sty m:val="p"/>
          </m:rPr>
          <m:t>∝</m:t>
        </m:r>
        <m:sSup>
          <m:sSupPr/>
          <m:e>
            <m:r>
              <m:rPr/>
              <m:t>f</m:t>
            </m:r>
          </m:e>
          <m:sup>
            <m:r>
              <m:rPr>
                <m:sty m:val="p"/>
              </m:rPr>
              <m:t>−</m:t>
            </m:r>
            <m:r>
              <m:rPr/>
              <m:t>3</m:t>
            </m:r>
          </m:sup>
        </m:sSup>
      </m:oMath>
      <w:r>
        <w:rPr>
          <w:rFonts w:hint="eastAsia"/>
        </w:rPr>
        <w:t>,非线性迅速衰减。</w:t>
      </w:r>
      <m:oMath>
        <m:r>
          <m:rPr/>
          <m:t>η</m:t>
        </m:r>
      </m:oMath>
      <w:r>
        <w:rPr>
          <w:rFonts w:hint="eastAsia"/>
        </w:rPr>
        <w:t>与带宽</w:t>
      </w:r>
      <m:oMath>
        <m:r>
          <m:rPr/>
          <m:t>B</m:t>
        </m:r>
      </m:oMath>
      <w:r>
        <w:rPr>
          <w:rFonts w:hint="eastAsia"/>
        </w:rPr>
        <w:t>成正比,增大带宽虽能提高理论分辨率,也会同步放大色散畸变。这里的</w:t>
      </w:r>
      <m:oMath>
        <m:r>
          <m:rPr/>
          <m:t>η</m:t>
        </m:r>
        <m:r>
          <m:rPr>
            <m:sty m:val="p"/>
          </m:rPr>
          <m:t>(</m:t>
        </m:r>
        <m:r>
          <m:rPr/>
          <m:t>f</m:t>
        </m:r>
        <m:r>
          <m:rPr>
            <m:sty m:val="p"/>
          </m:rPr>
          <m:t>)</m:t>
        </m:r>
      </m:oMath>
      <w:r>
        <w:rPr>
          <w:rFonts w:hint="eastAsia"/>
        </w:rPr>
        <w:t>是给定候选带宽后的局部非线性指标,后文的</w:t>
      </w:r>
      <m:oMath>
        <m:r>
          <m:rPr/>
          <m:t>B</m:t>
        </m:r>
        <m:r>
          <m:rPr>
            <m:sty m:val="p"/>
          </m:rPr>
          <m:t>⋅</m:t>
        </m:r>
        <m:r>
          <m:rPr/>
          <m:t>η</m:t>
        </m:r>
        <m:r>
          <m:rPr>
            <m:sty m:val="p"/>
          </m:rPr>
          <m:t>(</m:t>
        </m:r>
        <m:sSub>
          <m:sSubPr/>
          <m:e>
            <m:r>
              <m:rPr/>
              <m:t>f</m:t>
            </m:r>
          </m:e>
          <m:sub>
            <m:r>
              <m:rPr/>
              <m:t>c</m:t>
            </m:r>
          </m:sub>
        </m:sSub>
        <m:r>
          <m:rPr>
            <m:sty m:val="p"/>
          </m:rPr>
          <m:t>)⋅</m:t>
        </m:r>
        <m:sSub>
          <m:sSubPr/>
          <m:e>
            <m:r>
              <m:rPr/>
              <m:t>τ</m:t>
            </m:r>
          </m:e>
          <m:sub>
            <m:r>
              <m:rPr/>
              <m:t>0</m:t>
            </m:r>
          </m:sub>
        </m:sSub>
      </m:oMath>
      <w:r>
        <w:rPr>
          <w:rFonts w:hint="eastAsia"/>
        </w:rPr>
        <w:t>应理解为由</w:t>
      </w:r>
      <m:oMath>
        <m:r>
          <m:rPr/>
          <m:t>B</m:t>
        </m:r>
      </m:oMath>
      <w:r>
        <w:t>、</w:t>
      </w:r>
      <m:oMath>
        <m:sSub>
          <m:sSubPr/>
          <m:e>
            <m:r>
              <m:rPr/>
              <m:t>f</m:t>
            </m:r>
          </m:e>
          <m:sub>
            <m:r>
              <m:rPr/>
              <m:t>c</m:t>
            </m:r>
          </m:sub>
        </m:sSub>
      </m:oMath>
      <w:r>
        <w:t>、</w:t>
      </w:r>
      <m:oMath>
        <m:sSub>
          <m:sSubPr/>
          <m:e>
            <m:r>
              <m:rPr/>
              <m:t>f</m:t>
            </m:r>
          </m:e>
          <m:sub>
            <m:r>
              <m:rPr/>
              <m:t>p</m:t>
            </m:r>
          </m:sub>
        </m:sSub>
      </m:oMath>
      <w:r>
        <w:rPr>
          <w:rFonts w:hint="eastAsia"/>
        </w:rPr>
        <w:t>和</w:t>
      </w:r>
      <m:oMath>
        <m:sSub>
          <m:sSubPr/>
          <m:e>
            <m:r>
              <m:rPr/>
              <m:t>τ</m:t>
            </m:r>
          </m:e>
          <m:sub>
            <m:r>
              <m:rPr/>
              <m:t>0</m:t>
            </m:r>
          </m:sub>
        </m:sSub>
      </m:oMath>
      <w:r>
        <w:rPr>
          <w:rFonts w:hint="eastAsia"/>
        </w:rPr>
        <w:t>共同决定的综合判据值。后续3.5.2节将在此基础上给出传统方法的局部工程判据。</w:t>
      </w:r>
    </w:p>
    <w:bookmarkEnd w:id="41"/>
    <w:bookmarkEnd w:id="44"/>
    <w:p w14:paraId="5C07FFF4">
      <w:pPr>
        <w:pStyle w:val="3"/>
      </w:pPr>
      <w:bookmarkStart w:id="45" w:name="色散效应下群时延曲线的非线性演化特征"/>
      <w:r>
        <w:rPr>
          <w:rFonts w:hint="eastAsia"/>
        </w:rPr>
        <w:t>色散效应下群时延曲线的非线性演化特征</w:t>
      </w:r>
    </w:p>
    <w:p w14:paraId="25F6BB9B">
      <w:r>
        <w:rPr>
          <w:rFonts w:hint="eastAsia"/>
        </w:rPr>
        <w:t>3.2节从理论层面建立了色散信道的物理模型,推导了群时延的解析表达式,并揭示了电子密度与碰撞频率对时延观测量的不同控制机理。本节通过数值仿真对这些理论预测进行趋势级对比与一致性检验,重点考察群时延曲线在多维参数空间中的演化规律,并说明截止频率附近群时延的急剧增大以及参数映射的局部非唯一性对后续诊断建模的影响。</w:t>
      </w:r>
    </w:p>
    <w:p w14:paraId="319AE3A2">
      <w:pPr>
        <w:pStyle w:val="4"/>
      </w:pPr>
      <w:bookmarkStart w:id="46" w:name="仿真环境与趋势一致性检验"/>
      <w:r>
        <w:rPr>
          <w:rFonts w:hint="eastAsia"/>
        </w:rPr>
        <w:t>仿真环境与趋势一致性检验</w:t>
      </w:r>
    </w:p>
    <w:p w14:paraId="4FB5E966">
      <w:r>
        <w:rPr>
          <w:rFonts w:hint="eastAsia"/>
        </w:rPr>
        <w:t>为检验3.2节理论模型在主导趋势层面的适用性,本文在与实验系统一致的Ka波段参数下建立了包含电子密度</w:t>
      </w:r>
      <w:r>
        <w:t xml:space="preserve"> </w:t>
      </w:r>
      <m:oMath>
        <m:sSub>
          <m:sSubPr/>
          <m:e>
            <m:r>
              <m:rPr/>
              <m:t>n</m:t>
            </m:r>
          </m:e>
          <m:sub>
            <m:r>
              <m:rPr/>
              <m:t>e</m:t>
            </m:r>
          </m:sub>
        </m:sSub>
      </m:oMath>
      <w:r>
        <w:t xml:space="preserve"> </w:t>
      </w:r>
      <w:r>
        <w:rPr>
          <w:rFonts w:hint="eastAsia"/>
        </w:rPr>
        <w:t>与碰撞频率</w:t>
      </w:r>
      <w:r>
        <w:t xml:space="preserve"> </w:t>
      </w:r>
      <m:oMath>
        <m:sSub>
          <m:sSubPr/>
          <m:e>
            <m:r>
              <m:rPr/>
              <m:t>ν</m:t>
            </m:r>
          </m:e>
          <m:sub>
            <m:r>
              <m:rPr/>
              <m:t>e</m:t>
            </m:r>
          </m:sub>
        </m:sSub>
      </m:oMath>
      <w:r>
        <w:t xml:space="preserve"> </w:t>
      </w:r>
      <w:r>
        <w:rPr>
          <w:rFonts w:hint="eastAsia"/>
        </w:rPr>
        <w:t>的多维参数空间仿真环境。具体采用</w:t>
      </w:r>
      <w:r>
        <w:t xml:space="preserve"> CST Microwave Studio </w:t>
      </w:r>
      <w:r>
        <w:rPr>
          <w:rFonts w:hint="eastAsia"/>
        </w:rPr>
        <w:t>构建全波电磁模型,提取电磁波穿过物理厚度</w:t>
      </w:r>
      <w:r>
        <w:t xml:space="preserve"> </w:t>
      </w:r>
      <m:oMath>
        <m:r>
          <m:rPr/>
          <m:t>d</m:t>
        </m:r>
        <m:r>
          <m:rPr>
            <m:sty m:val="p"/>
          </m:rPr>
          <m:t>=</m:t>
        </m:r>
        <m:r>
          <m:rPr/>
          <m:t>150 </m:t>
        </m:r>
        <m:r>
          <m:rPr>
            <m:nor/>
            <m:sty m:val="p"/>
          </m:rPr>
          <w:rPr>
            <w:b w:val="0"/>
            <w:i w:val="0"/>
          </w:rPr>
          <m:t>mm</m:t>
        </m:r>
      </m:oMath>
      <w:r>
        <w:t xml:space="preserve"> </w:t>
      </w:r>
      <w:r>
        <w:rPr>
          <w:rFonts w:hint="eastAsia"/>
        </w:rPr>
        <w:t>等离子体平板层时的</w:t>
      </w:r>
      <w:r>
        <w:t xml:space="preserve"> </w:t>
      </w:r>
      <m:oMath>
        <m:r>
          <m:rPr/>
          <m:t>S</m:t>
        </m:r>
      </m:oMath>
      <w:r>
        <w:t xml:space="preserve"> </w:t>
      </w:r>
      <w:r>
        <w:rPr>
          <w:rFonts w:hint="eastAsia"/>
        </w:rPr>
        <w:t>参数。</w:t>
      </w:r>
    </w:p>
    <w:p w14:paraId="2A54C57B">
      <w:pPr>
        <w:spacing w:line="240" w:lineRule="auto"/>
        <w:ind w:firstLine="480"/>
        <w:jc w:val="center"/>
        <w:rPr>
          <w:rFonts w:hint="eastAsia" w:ascii="宋体" w:hAnsi="宋体" w:eastAsia="宋体"/>
          <w:szCs w:val="24"/>
          <w:lang w:eastAsia="zh-CN"/>
        </w:rPr>
      </w:pPr>
      <w:r>
        <w:rPr>
          <w:rFonts w:hint="eastAsia" w:ascii="宋体" w:hAnsi="宋体" w:eastAsia="宋体"/>
          <w:szCs w:val="24"/>
          <w:lang w:eastAsia="zh-CN"/>
        </w:rPr>
        <w:drawing>
          <wp:inline distT="0" distB="0" distL="114300" distR="114300">
            <wp:extent cx="4963795" cy="2853690"/>
            <wp:effectExtent l="0" t="0" r="4445" b="11430"/>
            <wp:docPr id="8" name="图片 8" descr="fig_2_2_dispersion_comparison_layout_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_2_2_dispersion_comparison_layout_fixed"/>
                    <pic:cNvPicPr>
                      <a:picLocks noChangeAspect="1"/>
                    </pic:cNvPicPr>
                  </pic:nvPicPr>
                  <pic:blipFill>
                    <a:blip r:embed="rId23"/>
                    <a:stretch>
                      <a:fillRect/>
                    </a:stretch>
                  </pic:blipFill>
                  <pic:spPr>
                    <a:xfrm>
                      <a:off x="0" y="0"/>
                      <a:ext cx="4963795" cy="2853690"/>
                    </a:xfrm>
                    <a:prstGeom prst="rect">
                      <a:avLst/>
                    </a:prstGeom>
                  </pic:spPr>
                </pic:pic>
              </a:graphicData>
            </a:graphic>
          </wp:inline>
        </w:drawing>
      </w:r>
    </w:p>
    <w:p w14:paraId="2AC9C1C9">
      <w:r>
        <w:rPr>
          <w:rFonts w:hint="eastAsia"/>
        </w:rPr>
        <w:t xml:space="preserve"> </w:t>
      </w:r>
    </w:p>
    <w:p w14:paraId="4BE29387">
      <w:pPr>
        <w:pStyle w:val="43"/>
        <w:bidi w:val="0"/>
      </w:pPr>
      <w:r>
        <w:t xml:space="preserve">CST </w:t>
      </w:r>
      <w:r>
        <w:rPr>
          <w:rFonts w:hint="eastAsia"/>
        </w:rPr>
        <w:t>仿真模型</w:t>
      </w:r>
    </w:p>
    <w:p w14:paraId="0F7BBE54">
      <w:pPr>
        <w:spacing w:line="240" w:lineRule="auto"/>
        <w:ind w:firstLine="480"/>
        <w:jc w:val="center"/>
        <w:rPr>
          <w:rFonts w:hint="eastAsia" w:ascii="宋体" w:hAnsi="宋体" w:eastAsia="宋体"/>
          <w:szCs w:val="24"/>
          <w:lang w:eastAsia="zh-CN"/>
        </w:rPr>
      </w:pPr>
      <w:r>
        <w:rPr>
          <w:rFonts w:hint="eastAsia" w:ascii="宋体" w:hAnsi="宋体" w:eastAsia="宋体"/>
          <w:szCs w:val="24"/>
          <w:lang w:eastAsia="zh-CN"/>
        </w:rPr>
        <w:drawing>
          <wp:inline distT="0" distB="0" distL="114300" distR="114300">
            <wp:extent cx="4963795" cy="2853690"/>
            <wp:effectExtent l="0" t="0" r="4445" b="11430"/>
            <wp:docPr id="9" name="图片 9" descr="fig_2_2_dispersion_comparison_layout_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_2_2_dispersion_comparison_layout_fixed"/>
                    <pic:cNvPicPr>
                      <a:picLocks noChangeAspect="1"/>
                    </pic:cNvPicPr>
                  </pic:nvPicPr>
                  <pic:blipFill>
                    <a:blip r:embed="rId23"/>
                    <a:stretch>
                      <a:fillRect/>
                    </a:stretch>
                  </pic:blipFill>
                  <pic:spPr>
                    <a:xfrm>
                      <a:off x="0" y="0"/>
                      <a:ext cx="4963795" cy="2853690"/>
                    </a:xfrm>
                    <a:prstGeom prst="rect">
                      <a:avLst/>
                    </a:prstGeom>
                  </pic:spPr>
                </pic:pic>
              </a:graphicData>
            </a:graphic>
          </wp:inline>
        </w:drawing>
      </w:r>
    </w:p>
    <w:p w14:paraId="54A43B2D">
      <w:r>
        <w:rPr>
          <w:rFonts w:hint="eastAsia"/>
        </w:rPr>
        <w:t xml:space="preserve"> </w:t>
      </w:r>
    </w:p>
    <w:p w14:paraId="5684B2B6">
      <w:pPr>
        <w:pStyle w:val="43"/>
        <w:bidi w:val="0"/>
      </w:pPr>
      <w:r>
        <w:rPr>
          <w:rFonts w:hint="eastAsia"/>
        </w:rPr>
        <w:t>等离子体模型设置界面图</w:t>
      </w:r>
    </w:p>
    <w:p w14:paraId="6B5764D6">
      <w:r>
        <w:rPr>
          <w:rFonts w:hint="eastAsia"/>
        </w:rPr>
        <w:t>探测频段设定为20-40</w:t>
      </w:r>
      <w:r>
        <w:t xml:space="preserve"> </w:t>
      </w:r>
      <w:r>
        <w:rPr>
          <w:rFonts w:hint="eastAsia"/>
        </w:rPr>
        <w:t>GHz,既覆盖近截止强色散区,也覆盖高频弱色散区,并与实际系统可用带宽相匹配。频率采样点数取1000点的线性均匀分布,以满足群时延数值微分所需的频率分辨率。</w:t>
      </w:r>
    </w:p>
    <w:p w14:paraId="6A47326D">
      <w:r>
        <w:rPr>
          <w:rFonts w:hint="eastAsia"/>
        </w:rPr>
        <w:t>等离子体物理参数参考航天再入黑障场景的典型范围。电子密度基准值取</w:t>
      </w:r>
      <w:r>
        <w:t xml:space="preserve"> </w:t>
      </w:r>
      <m:oMath>
        <m:sSub>
          <m:sSubPr/>
          <m:e>
            <m:r>
              <m:rPr/>
              <m:t>n</m:t>
            </m:r>
          </m:e>
          <m:sub>
            <m:r>
              <m:rPr/>
              <m:t>e</m:t>
            </m:r>
          </m:sub>
        </m:sSub>
        <m:r>
          <m:rPr>
            <m:sty m:val="p"/>
          </m:rPr>
          <m:t>=</m:t>
        </m:r>
        <m:r>
          <m:rPr/>
          <m:t>1.04</m:t>
        </m:r>
        <m:r>
          <m:rPr>
            <m:sty m:val="p"/>
          </m:rPr>
          <m:t>×</m:t>
        </m:r>
        <m:sSup>
          <m:sSupPr/>
          <m:e>
            <m:r>
              <m:rPr/>
              <m:t>10</m:t>
            </m:r>
          </m:e>
          <m:sup>
            <m:r>
              <m:rPr/>
              <m:t>19</m:t>
            </m:r>
          </m:sup>
        </m:sSup>
        <m:r>
          <m:rPr/>
          <m:t> </m:t>
        </m:r>
        <m:sSup>
          <m:sSupPr/>
          <m:e>
            <m:r>
              <m:rPr>
                <m:nor/>
                <m:sty m:val="p"/>
              </m:rPr>
              <w:rPr>
                <w:b w:val="0"/>
                <w:i w:val="0"/>
              </w:rPr>
              <m:t>m</m:t>
            </m:r>
          </m:e>
          <m:sup>
            <m:r>
              <m:rPr>
                <m:sty m:val="p"/>
              </m:rPr>
              <m:t>−</m:t>
            </m:r>
            <m:r>
              <m:rPr/>
              <m:t>3</m:t>
            </m:r>
          </m:sup>
        </m:sSup>
      </m:oMath>
      <w:r>
        <w:rPr>
          <w:rFonts w:hint="eastAsia"/>
        </w:rPr>
        <w:t>,对应截止频率</w:t>
      </w:r>
      <w:r>
        <w:t xml:space="preserve"> </w:t>
      </w:r>
      <m:oMath>
        <m:sSub>
          <m:sSubPr/>
          <m:e>
            <m:r>
              <m:rPr/>
              <m:t>f</m:t>
            </m:r>
          </m:e>
          <m:sub>
            <m:r>
              <m:rPr/>
              <m:t>p</m:t>
            </m:r>
          </m:sub>
        </m:sSub>
        <m:r>
          <m:rPr>
            <m:sty m:val="p"/>
          </m:rPr>
          <m:t>≈</m:t>
        </m:r>
        <m:r>
          <m:rPr/>
          <m:t>29 </m:t>
        </m:r>
        <m:r>
          <m:rPr>
            <m:nor/>
            <m:sty m:val="p"/>
          </m:rPr>
          <w:rPr>
            <w:b w:val="0"/>
            <w:i w:val="0"/>
          </w:rPr>
          <m:t>GHz</m:t>
        </m:r>
      </m:oMath>
      <w:r>
        <w:rPr>
          <w:rFonts w:hint="eastAsia"/>
        </w:rPr>
        <w:t>;碰撞频率基准值取</w:t>
      </w:r>
      <w:r>
        <w:t xml:space="preserve"> </w:t>
      </w:r>
      <m:oMath>
        <m:sSub>
          <m:sSubPr/>
          <m:e>
            <m:r>
              <m:rPr/>
              <m:t>ν</m:t>
            </m:r>
          </m:e>
          <m:sub>
            <m:r>
              <m:rPr/>
              <m:t>e</m:t>
            </m:r>
          </m:sub>
        </m:sSub>
        <m:r>
          <m:rPr>
            <m:sty m:val="p"/>
          </m:rPr>
          <m:t>=</m:t>
        </m:r>
        <m:r>
          <m:rPr/>
          <m:t>1.5 </m:t>
        </m:r>
        <m:r>
          <m:rPr>
            <m:nor/>
            <m:sty m:val="p"/>
          </m:rPr>
          <w:rPr>
            <w:b w:val="0"/>
            <w:i w:val="0"/>
          </w:rPr>
          <m:t>GHz</m:t>
        </m:r>
      </m:oMath>
      <w:r>
        <w:rPr>
          <w:rFonts w:hint="eastAsia"/>
        </w:rPr>
        <w:t>;物理厚度取</w:t>
      </w:r>
      <w:r>
        <w:t xml:space="preserve"> </w:t>
      </w:r>
      <m:oMath>
        <m:r>
          <m:rPr/>
          <m:t>d</m:t>
        </m:r>
        <m:r>
          <m:rPr>
            <m:sty m:val="p"/>
          </m:rPr>
          <m:t>=</m:t>
        </m:r>
        <m:r>
          <m:rPr/>
          <m:t>150 </m:t>
        </m:r>
        <m:r>
          <m:rPr>
            <m:nor/>
            <m:sty m:val="p"/>
          </m:rPr>
          <w:rPr>
            <w:b w:val="0"/>
            <w:i w:val="0"/>
          </w:rPr>
          <m:t>mm</m:t>
        </m:r>
      </m:oMath>
      <w:r>
        <w:rPr>
          <w:rFonts w:hint="eastAsia"/>
        </w:rPr>
        <w:t>,对应真空传播基底时延</w:t>
      </w:r>
      <w:r>
        <w:t xml:space="preserve"> </w:t>
      </w:r>
      <m:oMath>
        <m:sSub>
          <m:sSubPr/>
          <m:e>
            <m:r>
              <m:rPr/>
              <m:t>τ</m:t>
            </m:r>
          </m:e>
          <m:sub>
            <m:r>
              <m:rPr/>
              <m:t>0</m:t>
            </m:r>
          </m:sub>
        </m:sSub>
        <m:r>
          <m:rPr>
            <m:sty m:val="p"/>
          </m:rPr>
          <m:t>=</m:t>
        </m:r>
        <m:r>
          <m:rPr/>
          <m:t>d</m:t>
        </m:r>
        <m:r>
          <m:rPr>
            <m:sty m:val="p"/>
          </m:rPr>
          <m:t>/</m:t>
        </m:r>
        <m:r>
          <m:rPr/>
          <m:t>c</m:t>
        </m:r>
        <m:r>
          <m:rPr>
            <m:sty m:val="p"/>
          </m:rPr>
          <m:t>≈</m:t>
        </m:r>
        <m:r>
          <m:rPr/>
          <m:t>0.5</m:t>
        </m:r>
      </m:oMath>
      <w:r>
        <w:t xml:space="preserve"> </w:t>
      </w:r>
      <w:r>
        <w:rPr>
          <w:rFonts w:hint="eastAsia"/>
        </w:rPr>
        <w:t>ns。后文图3-3至图3-8统一讨论相对群时延</w:t>
      </w:r>
      <w:r>
        <w:t xml:space="preserve"> </w:t>
      </w:r>
      <m:oMath>
        <m:r>
          <m:rPr>
            <m:sty m:val="p"/>
          </m:rPr>
          <m:t>Δ</m:t>
        </m:r>
        <m:sSub>
          <m:sSubPr/>
          <m:e>
            <m:r>
              <m:rPr/>
              <m:t>τ</m:t>
            </m:r>
          </m:e>
          <m:sub>
            <m:r>
              <m:rPr/>
              <m:t>g</m:t>
            </m:r>
          </m:sub>
        </m:sSub>
      </m:oMath>
      <w:r>
        <w:t>。</w:t>
      </w:r>
    </w:p>
    <w:p w14:paraId="128580AE">
      <w:r>
        <w:rPr>
          <w:rFonts w:hint="eastAsia"/>
        </w:rPr>
        <w:t>仿真过程中,通过3.2.1节推导的完整Drude模型计算复介电常数</w:t>
      </w:r>
      <w:r>
        <w:t xml:space="preserve"> </w:t>
      </w:r>
      <m:oMath>
        <m:sSub>
          <m:sSubPr/>
          <m:e>
            <m:acc>
              <m:accPr>
                <m:chr m:val="̃"/>
              </m:accPr>
              <m:e>
                <m:r>
                  <m:rPr/>
                  <m:t>ε</m:t>
                </m:r>
              </m:e>
            </m:acc>
          </m:e>
          <m:sub>
            <m:r>
              <m:rPr/>
              <m:t>r</m:t>
            </m:r>
          </m:sub>
        </m:sSub>
        <m:r>
          <m:rPr>
            <m:sty m:val="p"/>
          </m:rPr>
          <m:t>(</m:t>
        </m:r>
        <m:r>
          <m:rPr/>
          <m:t>ω</m:t>
        </m:r>
        <m:r>
          <m:rPr>
            <m:sty m:val="p"/>
          </m:rPr>
          <m:t>)</m:t>
        </m:r>
      </m:oMath>
      <w:r>
        <w:rPr>
          <w:rFonts w:hint="eastAsia"/>
        </w:rPr>
        <w:t>,进而求得复传播常数</w:t>
      </w:r>
      <w:r>
        <w:t xml:space="preserve"> </w:t>
      </w:r>
      <m:oMath>
        <m:acc>
          <m:accPr>
            <m:chr m:val="̃"/>
          </m:accPr>
          <m:e>
            <m:r>
              <m:rPr/>
              <m:t>k</m:t>
            </m:r>
          </m:e>
        </m:acc>
        <m:r>
          <m:rPr>
            <m:sty m:val="p"/>
          </m:rPr>
          <m:t>(</m:t>
        </m:r>
        <m:r>
          <m:rPr/>
          <m:t>ω</m:t>
        </m:r>
        <m:r>
          <m:rPr>
            <m:sty m:val="p"/>
          </m:rPr>
          <m:t>)</m:t>
        </m:r>
      </m:oMath>
      <w:r>
        <w:rPr>
          <w:rFonts w:hint="eastAsia"/>
        </w:rPr>
        <w:t>。为与3.2节的观测模型保持一致,本节统一讨论相对于真空传播时延</w:t>
      </w:r>
      <w:r>
        <w:t xml:space="preserve"> </w:t>
      </w:r>
      <m:oMath>
        <m:sSub>
          <m:sSubPr/>
          <m:e>
            <m:r>
              <m:rPr/>
              <m:t>τ</m:t>
            </m:r>
          </m:e>
          <m:sub>
            <m:r>
              <m:rPr/>
              <m:t>0</m:t>
            </m:r>
          </m:sub>
        </m:sSub>
        <m:r>
          <m:rPr>
            <m:sty m:val="p"/>
          </m:rPr>
          <m:t>=</m:t>
        </m:r>
        <m:r>
          <m:rPr/>
          <m:t>d</m:t>
        </m:r>
        <m:r>
          <m:rPr>
            <m:sty m:val="p"/>
          </m:rPr>
          <m:t>/</m:t>
        </m:r>
        <m:r>
          <m:rPr/>
          <m:t>c</m:t>
        </m:r>
      </m:oMath>
      <w:r>
        <w:t xml:space="preserve"> </w:t>
      </w:r>
      <w:r>
        <w:rPr>
          <w:rFonts w:hint="eastAsia"/>
        </w:rPr>
        <w:t>的相对群时延</w:t>
      </w:r>
      <w:r>
        <w:t xml:space="preserve"> </w:t>
      </w:r>
      <m:oMath>
        <m:r>
          <m:rPr>
            <m:sty m:val="p"/>
          </m:rPr>
          <m:t>Δ</m:t>
        </m:r>
        <m:sSub>
          <m:sSubPr/>
          <m:e>
            <m:r>
              <m:rPr/>
              <m:t>τ</m:t>
            </m:r>
          </m:e>
          <m:sub>
            <m:r>
              <m:rPr/>
              <m:t>g</m:t>
            </m:r>
          </m:sub>
        </m:sSub>
      </m:oMath>
      <w:r>
        <w:rPr>
          <w:rFonts w:hint="eastAsia"/>
        </w:rPr>
        <w:t>;若CST直接输出总群时延,则先减去真空传播基底后再进行比较。采用的前向传播传输函数写为</w:t>
      </w:r>
    </w:p>
    <w:p w14:paraId="32092FEB">
      <m:oMathPara>
        <m:oMathParaPr>
          <m:jc m:val="center"/>
        </m:oMathParaPr>
        <m:oMath>
          <m:r>
            <m:rPr/>
            <m:t>H</m:t>
          </m:r>
          <m:r>
            <m:rPr>
              <m:sty m:val="p"/>
            </m:rPr>
            <m:t>(</m:t>
          </m:r>
          <m:r>
            <m:rPr/>
            <m:t>ω</m:t>
          </m:r>
          <m:r>
            <m:rPr>
              <m:sty m:val="p"/>
            </m:rPr>
            <m:t>)=exp(−</m:t>
          </m:r>
          <m:r>
            <m:rPr/>
            <m:t>j</m:t>
          </m:r>
          <m:acc>
            <m:accPr>
              <m:chr m:val="̃"/>
            </m:accPr>
            <m:e>
              <m:r>
                <m:rPr/>
                <m:t>k</m:t>
              </m:r>
            </m:e>
          </m:acc>
          <m:r>
            <m:rPr/>
            <m:t>d</m:t>
          </m:r>
          <m:r>
            <m:rPr>
              <m:sty m:val="p"/>
            </m:rPr>
            <m:t>)=exp(−</m:t>
          </m:r>
          <m:r>
            <m:rPr/>
            <m:t>αd</m:t>
          </m:r>
          <m:r>
            <m:rPr>
              <m:sty m:val="p"/>
            </m:rPr>
            <m:t>)exp(−</m:t>
          </m:r>
          <m:r>
            <m:rPr/>
            <m:t>jβd</m:t>
          </m:r>
          <m:r>
            <m:rPr>
              <m:sty m:val="p"/>
            </m:rPr>
            <m:t>)</m:t>
          </m:r>
        </m:oMath>
      </m:oMathPara>
    </w:p>
    <w:p w14:paraId="794F2C7F">
      <w:r>
        <w:rPr>
          <w:rFonts w:hint="eastAsia"/>
        </w:rPr>
        <w:t>其中传输相位为</w:t>
      </w:r>
      <w:r>
        <w:t xml:space="preserve"> </w:t>
      </w:r>
      <m:oMath>
        <m:r>
          <m:rPr/>
          <m:t>ϕ</m:t>
        </m:r>
        <m:r>
          <m:rPr>
            <m:sty m:val="p"/>
          </m:rPr>
          <m:t>(</m:t>
        </m:r>
        <m:r>
          <m:rPr/>
          <m:t>ω</m:t>
        </m:r>
        <m:r>
          <m:rPr>
            <m:sty m:val="p"/>
          </m:rPr>
          <m:t>)=arg</m:t>
        </m:r>
        <m:r>
          <m:rPr/>
          <m:t>H</m:t>
        </m:r>
        <m:r>
          <m:rPr>
            <m:sty m:val="p"/>
          </m:rPr>
          <m:t>(</m:t>
        </m:r>
        <m:r>
          <m:rPr/>
          <m:t>ω</m:t>
        </m:r>
        <m:r>
          <m:rPr>
            <m:sty m:val="p"/>
          </m:rPr>
          <m:t>)=−</m:t>
        </m:r>
        <m:r>
          <m:rPr/>
          <m:t>βd</m:t>
        </m:r>
      </m:oMath>
      <w:r>
        <w:t xml:space="preserve"> </w:t>
      </w:r>
      <w:r>
        <w:rPr>
          <w:rFonts w:hint="eastAsia"/>
        </w:rPr>
        <w:t>,这与3.2节对</w:t>
      </w:r>
      <m:oMath>
        <m:acc>
          <m:accPr>
            <m:chr m:val="̃"/>
          </m:accPr>
          <m:e>
            <m:r>
              <m:rPr/>
              <m:t>k</m:t>
            </m:r>
          </m:e>
        </m:acc>
      </m:oMath>
      <w:r>
        <w:rPr>
          <w:rFonts w:hint="eastAsia"/>
        </w:rPr>
        <w:t>的定义保持一致。对相位进行解缠绕(unwrap)处理以消除</w:t>
      </w:r>
      <w:r>
        <w:t xml:space="preserve"> </w:t>
      </w:r>
      <m:oMath>
        <m:r>
          <m:rPr/>
          <m:t>2π</m:t>
        </m:r>
      </m:oMath>
      <w:r>
        <w:t xml:space="preserve"> </w:t>
      </w:r>
      <w:r>
        <w:rPr>
          <w:rFonts w:hint="eastAsia"/>
        </w:rPr>
        <w:t>跳变后,先利用中心差分法计算群时延</w:t>
      </w:r>
    </w:p>
    <w:p w14:paraId="700D211B">
      <m:oMathPara>
        <m:oMathParaPr>
          <m:jc m:val="center"/>
        </m:oMathParaPr>
        <m:oMath>
          <m:sSub>
            <m:sSubPr/>
            <m:e>
              <m:r>
                <m:rPr/>
                <m:t>τ</m:t>
              </m:r>
            </m:e>
            <m:sub>
              <m:r>
                <m:rPr/>
                <m:t>g</m:t>
              </m:r>
            </m:sub>
          </m:sSub>
          <m:r>
            <m:rPr>
              <m:sty m:val="p"/>
            </m:rPr>
            <m:t>=−</m:t>
          </m:r>
          <m:f>
            <m:fPr/>
            <m:num>
              <m:r>
                <m:rPr/>
                <m:t>dϕ</m:t>
              </m:r>
            </m:num>
            <m:den>
              <m:r>
                <m:rPr/>
                <m:t>dω</m:t>
              </m:r>
            </m:den>
          </m:f>
          <m:r>
            <m:rPr>
              <m:sty m:val="p"/>
            </m:rPr>
            <m:t>=</m:t>
          </m:r>
          <m:r>
            <m:rPr/>
            <m:t>d</m:t>
          </m:r>
          <m:f>
            <m:fPr/>
            <m:num>
              <m:r>
                <m:rPr/>
                <m:t>dβ</m:t>
              </m:r>
            </m:num>
            <m:den>
              <m:r>
                <m:rPr/>
                <m:t>dω</m:t>
              </m:r>
            </m:den>
          </m:f>
        </m:oMath>
      </m:oMathPara>
    </w:p>
    <w:p w14:paraId="72B725FC">
      <w:r>
        <w:rPr>
          <w:rFonts w:hint="eastAsia"/>
        </w:rPr>
        <w:t>再通过</w:t>
      </w:r>
    </w:p>
    <w:p w14:paraId="70C1EB2A">
      <m:oMathPara>
        <m:oMathParaPr>
          <m:jc m:val="center"/>
        </m:oMathParaPr>
        <m:oMath>
          <m:r>
            <m:rPr>
              <m:sty m:val="p"/>
            </m:rPr>
            <m:t>Δ</m:t>
          </m:r>
          <m:sSub>
            <m:sSubPr/>
            <m:e>
              <m:r>
                <m:rPr/>
                <m:t>τ</m:t>
              </m:r>
            </m:e>
            <m:sub>
              <m:r>
                <m:rPr/>
                <m:t>g</m:t>
              </m:r>
            </m:sub>
          </m:sSub>
          <m:r>
            <m:rPr>
              <m:sty m:val="p"/>
            </m:rPr>
            <m:t>=</m:t>
          </m:r>
          <m:sSub>
            <m:sSubPr/>
            <m:e>
              <m:r>
                <m:rPr/>
                <m:t>τ</m:t>
              </m:r>
            </m:e>
            <m:sub>
              <m:r>
                <m:rPr/>
                <m:t>g</m:t>
              </m:r>
            </m:sub>
          </m:sSub>
          <m:r>
            <m:rPr>
              <m:sty m:val="p"/>
            </m:rPr>
            <m:t>−</m:t>
          </m:r>
          <m:sSub>
            <m:sSubPr/>
            <m:e>
              <m:r>
                <m:rPr/>
                <m:t>τ</m:t>
              </m:r>
            </m:e>
            <m:sub>
              <m:r>
                <m:rPr/>
                <m:t>0</m:t>
              </m:r>
            </m:sub>
          </m:sSub>
        </m:oMath>
      </m:oMathPara>
    </w:p>
    <w:p w14:paraId="36E219C7">
      <w:r>
        <w:rPr>
          <w:rFonts w:hint="eastAsia"/>
        </w:rPr>
        <w:t>得到与3.2节式(3-9)至式(3-12)一致的相对群时延观测量。除这一中间计算步骤外,后文凡未特别说明的时延曲线均指相对群时延曲线。</w:t>
      </w:r>
    </w:p>
    <w:p w14:paraId="620DD642">
      <w:r>
        <w:rPr>
          <w:rFonts w:hint="eastAsia"/>
        </w:rPr>
        <w:t>为验证碰撞频率对幅度衰减的影响,同时计算透射系数的幅度</w:t>
      </w:r>
      <w:r>
        <w:t xml:space="preserve"> </w:t>
      </w:r>
      <m:oMath>
        <m:r>
          <m:rPr>
            <m:sty m:val="p"/>
          </m:rPr>
          <m:t>|</m:t>
        </m:r>
        <m:r>
          <m:rPr/>
          <m:t>H</m:t>
        </m:r>
        <m:r>
          <m:rPr>
            <m:sty m:val="p"/>
          </m:rPr>
          <m:t>(</m:t>
        </m:r>
        <m:r>
          <m:rPr/>
          <m:t>ω</m:t>
        </m:r>
        <m:r>
          <m:rPr>
            <m:sty m:val="p"/>
          </m:rPr>
          <m:t>)|</m:t>
        </m:r>
      </m:oMath>
      <w:r>
        <w:rPr>
          <w:rFonts w:hint="eastAsia"/>
        </w:rPr>
        <w:t>,并以dB为单位表示。</w:t>
      </w:r>
    </w:p>
    <w:p w14:paraId="2E386601">
      <w:r>
        <w:rPr>
          <w:rFonts w:hint="eastAsia"/>
        </w:rPr>
        <w:t>参数扫描采用单因子变化法。电子密度敏感性分析中固定</w:t>
      </w:r>
      <w:r>
        <w:t xml:space="preserve"> </w:t>
      </w:r>
      <m:oMath>
        <m:sSub>
          <m:sSubPr/>
          <m:e>
            <m:r>
              <m:rPr/>
              <m:t>ν</m:t>
            </m:r>
          </m:e>
          <m:sub>
            <m:r>
              <m:rPr/>
              <m:t>e</m:t>
            </m:r>
          </m:sub>
        </m:sSub>
        <m:r>
          <m:rPr>
            <m:sty m:val="p"/>
          </m:rPr>
          <m:t>=</m:t>
        </m:r>
        <m:r>
          <m:rPr/>
          <m:t>1.5 </m:t>
        </m:r>
        <m:r>
          <m:rPr>
            <m:nor/>
            <m:sty m:val="p"/>
          </m:rPr>
          <w:rPr>
            <w:b w:val="0"/>
            <w:i w:val="0"/>
          </w:rPr>
          <m:t>GHz</m:t>
        </m:r>
      </m:oMath>
      <w:r>
        <w:rPr>
          <w:rFonts w:hint="eastAsia"/>
        </w:rPr>
        <w:t>,令电子密度在基准值附近变化;碰撞频率敏感性分析中固定</w:t>
      </w:r>
      <w:r>
        <w:t xml:space="preserve"> </w:t>
      </w:r>
      <m:oMath>
        <m:sSub>
          <m:sSubPr/>
          <m:e>
            <m:r>
              <m:rPr/>
              <m:t>n</m:t>
            </m:r>
          </m:e>
          <m:sub>
            <m:r>
              <m:rPr/>
              <m:t>e</m:t>
            </m:r>
          </m:sub>
        </m:sSub>
      </m:oMath>
      <w:r>
        <w:t xml:space="preserve"> </w:t>
      </w:r>
      <w:r>
        <w:rPr>
          <w:rFonts w:hint="eastAsia"/>
        </w:rPr>
        <w:t>为基准值,令碰撞频率在0.1-10</w:t>
      </w:r>
      <w:r>
        <w:t xml:space="preserve"> </w:t>
      </w:r>
      <w:r>
        <w:rPr>
          <w:rFonts w:hint="eastAsia"/>
        </w:rPr>
        <w:t>GHz范围内变化。该设置足以分离两类参数的主导效应,并为后续图像比较提供统一基准。</w:t>
      </w:r>
    </w:p>
    <w:bookmarkEnd w:id="46"/>
    <w:p w14:paraId="29606E27">
      <w:pPr>
        <w:pStyle w:val="4"/>
      </w:pPr>
      <w:bookmarkStart w:id="47" w:name="截止频率附近的群时延陡增现象与参数映射非唯一性"/>
      <w:r>
        <w:rPr>
          <w:rFonts w:hint="eastAsia"/>
        </w:rPr>
        <w:t>截止频率附近的群时延陡增现象与参数映射非唯一性</w:t>
      </w:r>
    </w:p>
    <w:p w14:paraId="11954E7A">
      <w:r>
        <w:rPr>
          <w:rFonts w:hint="eastAsia"/>
        </w:rPr>
        <w:t>基于上述仿真环境,本节首先检验3.2节理论推导中的核心预测:当探测频率逼近截止频率</w:t>
      </w:r>
      <w:r>
        <w:t xml:space="preserve"> </w:t>
      </w:r>
      <m:oMath>
        <m:sSub>
          <m:sSubPr/>
          <m:e>
            <m:r>
              <m:rPr/>
              <m:t>f</m:t>
            </m:r>
          </m:e>
          <m:sub>
            <m:r>
              <m:rPr/>
              <m:t>p</m:t>
            </m:r>
          </m:sub>
        </m:sSub>
      </m:oMath>
      <w:r>
        <w:t xml:space="preserve"> </w:t>
      </w:r>
      <w:r>
        <w:rPr>
          <w:rFonts w:hint="eastAsia"/>
        </w:rPr>
        <w:t>时,相对群时延</w:t>
      </w:r>
      <w:r>
        <w:t xml:space="preserve"> </w:t>
      </w:r>
      <m:oMath>
        <m:r>
          <m:rPr>
            <m:sty m:val="p"/>
          </m:rPr>
          <m:t>Δ</m:t>
        </m:r>
        <m:sSub>
          <m:sSubPr/>
          <m:e>
            <m:r>
              <m:rPr/>
              <m:t>τ</m:t>
            </m:r>
          </m:e>
          <m:sub>
            <m:r>
              <m:rPr/>
              <m:t>g</m:t>
            </m:r>
          </m:sub>
        </m:sSub>
      </m:oMath>
      <w:r>
        <w:t xml:space="preserve"> </w:t>
      </w:r>
      <w:r>
        <w:rPr>
          <w:rFonts w:hint="eastAsia"/>
        </w:rPr>
        <w:t>会迅速增大,并在解析极限上满足</w:t>
      </w:r>
      <w:r>
        <w:t xml:space="preserve"> </w:t>
      </w:r>
      <m:oMath>
        <m:sSub>
          <m:sSubPr/>
          <m:e>
            <m:r>
              <m:rPr>
                <m:sty m:val="p"/>
              </m:rPr>
              <m:t>lim</m:t>
            </m:r>
          </m:e>
          <m:sub>
            <m:r>
              <m:rPr/>
              <m:t>f</m:t>
            </m:r>
            <m:r>
              <m:rPr>
                <m:sty m:val="p"/>
              </m:rPr>
              <m:t>→</m:t>
            </m:r>
            <m:sSubSup>
              <m:sSubSupPr/>
              <m:e>
                <m:r>
                  <m:rPr/>
                  <m:t>f</m:t>
                </m:r>
              </m:e>
              <m:sub>
                <m:r>
                  <m:rPr/>
                  <m:t>p</m:t>
                </m:r>
              </m:sub>
              <m:sup>
                <m:r>
                  <m:rPr>
                    <m:sty m:val="p"/>
                  </m:rPr>
                  <m:t>+</m:t>
                </m:r>
              </m:sup>
            </m:sSubSup>
          </m:sub>
        </m:sSub>
        <m:r>
          <m:rPr>
            <m:sty m:val="p"/>
          </m:rPr>
          <m:t>Δ</m:t>
        </m:r>
        <m:sSub>
          <m:sSubPr/>
          <m:e>
            <m:r>
              <m:rPr/>
              <m:t>τ</m:t>
            </m:r>
          </m:e>
          <m:sub>
            <m:r>
              <m:rPr/>
              <m:t>g</m:t>
            </m:r>
          </m:sub>
        </m:sSub>
        <m:r>
          <m:rPr>
            <m:sty m:val="p"/>
          </m:rPr>
          <m:t>=+∞</m:t>
        </m:r>
      </m:oMath>
      <w:r>
        <w:rPr>
          <w:rFonts w:hint="eastAsia"/>
        </w:rPr>
        <w:t>。这说明截止频率附近是相对群时延对电子密度最敏感的频段。</w:t>
      </w:r>
    </w:p>
    <w:p w14:paraId="11B67718">
      <w:pPr>
        <w:spacing w:line="240" w:lineRule="auto"/>
        <w:ind w:firstLine="480"/>
        <w:jc w:val="center"/>
        <w:rPr>
          <w:rFonts w:hint="eastAsia" w:ascii="宋体" w:hAnsi="宋体" w:eastAsia="宋体"/>
          <w:szCs w:val="24"/>
          <w:lang w:eastAsia="zh-CN"/>
        </w:rPr>
      </w:pPr>
      <w:r>
        <w:rPr>
          <w:rFonts w:hint="eastAsia" w:ascii="宋体" w:hAnsi="宋体" w:eastAsia="宋体"/>
          <w:szCs w:val="24"/>
          <w:lang w:eastAsia="zh-CN"/>
        </w:rPr>
        <w:drawing>
          <wp:inline distT="0" distB="0" distL="114300" distR="114300">
            <wp:extent cx="4963795" cy="2853690"/>
            <wp:effectExtent l="0" t="0" r="4445" b="11430"/>
            <wp:docPr id="10" name="图片 10" descr="fig_2_2_dispersion_comparison_layout_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_2_2_dispersion_comparison_layout_fixed"/>
                    <pic:cNvPicPr>
                      <a:picLocks noChangeAspect="1"/>
                    </pic:cNvPicPr>
                  </pic:nvPicPr>
                  <pic:blipFill>
                    <a:blip r:embed="rId23"/>
                    <a:stretch>
                      <a:fillRect/>
                    </a:stretch>
                  </pic:blipFill>
                  <pic:spPr>
                    <a:xfrm>
                      <a:off x="0" y="0"/>
                      <a:ext cx="4963795" cy="2853690"/>
                    </a:xfrm>
                    <a:prstGeom prst="rect">
                      <a:avLst/>
                    </a:prstGeom>
                  </pic:spPr>
                </pic:pic>
              </a:graphicData>
            </a:graphic>
          </wp:inline>
        </w:drawing>
      </w:r>
    </w:p>
    <w:p w14:paraId="55DC8DFC">
      <w:r>
        <w:rPr>
          <w:rFonts w:hint="eastAsia"/>
        </w:rPr>
        <w:t xml:space="preserve"> </w:t>
      </w:r>
    </w:p>
    <w:p w14:paraId="2DF5CF0E">
      <w:pPr>
        <w:pStyle w:val="43"/>
        <w:bidi w:val="0"/>
      </w:pPr>
      <w:r>
        <w:t xml:space="preserve">MATLAB </w:t>
      </w:r>
      <w:r>
        <w:rPr>
          <w:rFonts w:hint="eastAsia"/>
        </w:rPr>
        <w:t>理论计算的</w:t>
      </w:r>
      <w:r>
        <w:t xml:space="preserve"> Drude </w:t>
      </w:r>
      <w:r>
        <w:rPr>
          <w:rFonts w:hint="eastAsia"/>
        </w:rPr>
        <w:t>模型相对群时延曲线</w:t>
      </w:r>
    </w:p>
    <w:p w14:paraId="670AFFDD">
      <w:r>
        <w:rPr>
          <w:rFonts w:hint="eastAsia"/>
          <w:lang w:val="en-US" w:eastAsia="zh-CN"/>
        </w:rPr>
        <w:t>如</w:t>
      </w:r>
      <w:r>
        <w:rPr>
          <w:rFonts w:hint="eastAsia"/>
        </w:rPr>
        <w:t>图展示了基于Drude模型的MATLAB理论计算结果。在固定碰撞频率条件下,电子密度由</w:t>
      </w:r>
      <w:r>
        <w:t xml:space="preserve"> </w:t>
      </w:r>
      <m:oMath>
        <m:r>
          <m:rPr/>
          <m:t>9.4</m:t>
        </m:r>
        <m:r>
          <m:rPr>
            <m:sty m:val="p"/>
          </m:rPr>
          <m:t>×</m:t>
        </m:r>
        <m:sSup>
          <m:sSupPr/>
          <m:e>
            <m:r>
              <m:rPr/>
              <m:t>10</m:t>
            </m:r>
          </m:e>
          <m:sup>
            <m:r>
              <m:rPr/>
              <m:t>18</m:t>
            </m:r>
          </m:sup>
        </m:sSup>
        <m:r>
          <m:rPr/>
          <m:t> </m:t>
        </m:r>
        <m:sSup>
          <m:sSupPr/>
          <m:e>
            <m:r>
              <m:rPr>
                <m:nor/>
                <m:sty m:val="p"/>
              </m:rPr>
              <w:rPr>
                <w:b w:val="0"/>
                <w:i w:val="0"/>
              </w:rPr>
              <m:t>m</m:t>
            </m:r>
          </m:e>
          <m:sup>
            <m:r>
              <m:rPr>
                <m:sty m:val="p"/>
              </m:rPr>
              <m:t>−</m:t>
            </m:r>
            <m:r>
              <m:rPr/>
              <m:t>3</m:t>
            </m:r>
          </m:sup>
        </m:sSup>
      </m:oMath>
      <w:r>
        <w:t xml:space="preserve"> </w:t>
      </w:r>
      <w:r>
        <w:rPr>
          <w:rFonts w:hint="eastAsia"/>
        </w:rPr>
        <w:t>增加至</w:t>
      </w:r>
      <w:r>
        <w:t xml:space="preserve"> </w:t>
      </w:r>
      <m:oMath>
        <m:r>
          <m:rPr/>
          <m:t>1.14</m:t>
        </m:r>
        <m:r>
          <m:rPr>
            <m:sty m:val="p"/>
          </m:rPr>
          <m:t>×</m:t>
        </m:r>
        <m:sSup>
          <m:sSupPr/>
          <m:e>
            <m:r>
              <m:rPr/>
              <m:t>10</m:t>
            </m:r>
          </m:e>
          <m:sup>
            <m:r>
              <m:rPr/>
              <m:t>19</m:t>
            </m:r>
          </m:sup>
        </m:sSup>
        <m:r>
          <m:rPr/>
          <m:t> </m:t>
        </m:r>
        <m:sSup>
          <m:sSupPr/>
          <m:e>
            <m:r>
              <m:rPr>
                <m:nor/>
                <m:sty m:val="p"/>
              </m:rPr>
              <w:rPr>
                <w:b w:val="0"/>
                <w:i w:val="0"/>
              </w:rPr>
              <m:t>m</m:t>
            </m:r>
          </m:e>
          <m:sup>
            <m:r>
              <m:rPr>
                <m:sty m:val="p"/>
              </m:rPr>
              <m:t>−</m:t>
            </m:r>
            <m:r>
              <m:rPr/>
              <m:t>3</m:t>
            </m:r>
          </m:sup>
        </m:sSup>
      </m:oMath>
      <w:r>
        <w:t xml:space="preserve"> </w:t>
      </w:r>
      <w:r>
        <w:rPr>
          <w:rFonts w:hint="eastAsia"/>
        </w:rPr>
        <w:t>时,对应截止频率由约27.6</w:t>
      </w:r>
      <w:r>
        <w:t xml:space="preserve"> </w:t>
      </w:r>
      <w:r>
        <w:rPr>
          <w:rFonts w:hint="eastAsia"/>
        </w:rPr>
        <w:t>GHz上升至30.4</w:t>
      </w:r>
      <w:r>
        <w:t xml:space="preserve"> </w:t>
      </w:r>
      <w:r>
        <w:rPr>
          <w:rFonts w:hint="eastAsia"/>
        </w:rPr>
        <w:t>GHz,群时延曲线在近截止区域出现显著分离,而在高频端趋于接近。这说明电子密度主要通过改变截止位置和色散强度来控制群时延曲线的整体形态。</w:t>
      </w:r>
    </w:p>
    <w:p w14:paraId="7ED1CA10">
      <w:r>
        <w:rPr>
          <w:rFonts w:hint="eastAsia"/>
        </w:rPr>
        <w:t>相比之下,图3-3(b)表明,当截止频率固定为</w:t>
      </w:r>
      <w:r>
        <w:t xml:space="preserve"> </w:t>
      </w:r>
      <m:oMath>
        <m:sSub>
          <m:sSubPr/>
          <m:e>
            <m:r>
              <m:rPr/>
              <m:t>f</m:t>
            </m:r>
          </m:e>
          <m:sub>
            <m:r>
              <m:rPr/>
              <m:t>p</m:t>
            </m:r>
          </m:sub>
        </m:sSub>
        <m:r>
          <m:rPr>
            <m:sty m:val="p"/>
          </m:rPr>
          <m:t>=</m:t>
        </m:r>
        <m:r>
          <m:rPr/>
          <m:t>29.0 </m:t>
        </m:r>
        <m:r>
          <m:rPr>
            <m:nor/>
            <m:sty m:val="p"/>
          </m:rPr>
          <w:rPr>
            <w:b w:val="0"/>
            <w:i w:val="0"/>
          </w:rPr>
          <m:t>GHz</m:t>
        </m:r>
      </m:oMath>
      <w:r>
        <w:t xml:space="preserve"> </w:t>
      </w:r>
      <w:r>
        <w:rPr>
          <w:rFonts w:hint="eastAsia"/>
        </w:rPr>
        <w:t>且碰撞频率由1.5</w:t>
      </w:r>
      <w:r>
        <w:t xml:space="preserve"> </w:t>
      </w:r>
      <w:r>
        <w:rPr>
          <w:rFonts w:hint="eastAsia"/>
        </w:rPr>
        <w:t>GHz变化至5.0</w:t>
      </w:r>
      <w:r>
        <w:t xml:space="preserve"> </w:t>
      </w:r>
      <w:r>
        <w:rPr>
          <w:rFonts w:hint="eastAsia"/>
        </w:rPr>
        <w:t>GHz时,相对群时延曲线几乎保持重合,而透射幅度衰减则明显增强。这表明,在本文关注的Ka波段条件下,群时延与幅度衰减对参数的敏感方向并不相同:前者更适合作为电子密度观测量,后者则更多反映碰撞损耗效应。</w:t>
      </w:r>
    </w:p>
    <w:p w14:paraId="0C5D2EBD">
      <w:r>
        <w:rPr>
          <w:rFonts w:hint="eastAsia"/>
        </w:rPr>
        <w:t>为比较理论模型与真实电磁环境下主导色散行为的一致性,本文采用CST全波仿真平台对相同参数条件进行数值求解。图3-4展示了固定碰撞频率条件下不同电子密度的CST仿真结果,图3-5展示了固定截止频率条件下不同碰撞频率的CST仿真结果。</w:t>
      </w:r>
    </w:p>
    <w:p w14:paraId="69B81833">
      <w:pPr>
        <w:spacing w:line="240" w:lineRule="auto"/>
        <w:ind w:firstLine="480"/>
        <w:jc w:val="center"/>
        <w:rPr>
          <w:rFonts w:hint="eastAsia" w:ascii="宋体" w:hAnsi="宋体" w:eastAsia="宋体"/>
          <w:szCs w:val="24"/>
          <w:lang w:eastAsia="zh-CN"/>
        </w:rPr>
      </w:pPr>
      <w:r>
        <w:rPr>
          <w:rFonts w:hint="eastAsia" w:ascii="宋体" w:hAnsi="宋体" w:eastAsia="宋体"/>
          <w:szCs w:val="24"/>
          <w:lang w:eastAsia="zh-CN"/>
        </w:rPr>
        <w:drawing>
          <wp:inline distT="0" distB="0" distL="114300" distR="114300">
            <wp:extent cx="4963795" cy="2853690"/>
            <wp:effectExtent l="0" t="0" r="4445" b="11430"/>
            <wp:docPr id="11" name="图片 11" descr="fig_2_2_dispersion_comparison_layout_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_2_2_dispersion_comparison_layout_fixed"/>
                    <pic:cNvPicPr>
                      <a:picLocks noChangeAspect="1"/>
                    </pic:cNvPicPr>
                  </pic:nvPicPr>
                  <pic:blipFill>
                    <a:blip r:embed="rId23"/>
                    <a:stretch>
                      <a:fillRect/>
                    </a:stretch>
                  </pic:blipFill>
                  <pic:spPr>
                    <a:xfrm>
                      <a:off x="0" y="0"/>
                      <a:ext cx="4963795" cy="2853690"/>
                    </a:xfrm>
                    <a:prstGeom prst="rect">
                      <a:avLst/>
                    </a:prstGeom>
                  </pic:spPr>
                </pic:pic>
              </a:graphicData>
            </a:graphic>
          </wp:inline>
        </w:drawing>
      </w:r>
    </w:p>
    <w:p w14:paraId="735C0DCA">
      <w:r>
        <w:rPr>
          <w:rFonts w:hint="eastAsia"/>
        </w:rPr>
        <w:t xml:space="preserve"> </w:t>
      </w:r>
    </w:p>
    <w:p w14:paraId="2DE088EF">
      <w:pPr>
        <w:pStyle w:val="43"/>
        <w:bidi w:val="0"/>
      </w:pPr>
      <w:r>
        <w:t xml:space="preserve"> </w:t>
      </w:r>
      <w:r>
        <w:rPr>
          <w:rFonts w:hint="eastAsia"/>
        </w:rPr>
        <w:t>固定碰撞频率条件下不同电子密度的相对群时延曲线（CST</w:t>
      </w:r>
      <w:r>
        <w:t xml:space="preserve"> </w:t>
      </w:r>
      <w:r>
        <w:rPr>
          <w:rFonts w:hint="eastAsia"/>
        </w:rPr>
        <w:t>全波仿真）</w:t>
      </w:r>
    </w:p>
    <w:p w14:paraId="607778A0">
      <w:pPr>
        <w:spacing w:line="240" w:lineRule="auto"/>
        <w:ind w:firstLine="480"/>
        <w:jc w:val="center"/>
        <w:rPr>
          <w:rFonts w:hint="eastAsia" w:ascii="宋体" w:hAnsi="宋体" w:eastAsia="宋体"/>
          <w:szCs w:val="24"/>
          <w:lang w:eastAsia="zh-CN"/>
        </w:rPr>
      </w:pPr>
      <w:r>
        <w:rPr>
          <w:rFonts w:hint="eastAsia" w:ascii="宋体" w:hAnsi="宋体" w:eastAsia="宋体"/>
          <w:szCs w:val="24"/>
          <w:lang w:eastAsia="zh-CN"/>
        </w:rPr>
        <w:drawing>
          <wp:inline distT="0" distB="0" distL="114300" distR="114300">
            <wp:extent cx="4963795" cy="2853690"/>
            <wp:effectExtent l="0" t="0" r="4445" b="11430"/>
            <wp:docPr id="13" name="图片 13" descr="fig_2_2_dispersion_comparison_layout_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ig_2_2_dispersion_comparison_layout_fixed"/>
                    <pic:cNvPicPr>
                      <a:picLocks noChangeAspect="1"/>
                    </pic:cNvPicPr>
                  </pic:nvPicPr>
                  <pic:blipFill>
                    <a:blip r:embed="rId23"/>
                    <a:stretch>
                      <a:fillRect/>
                    </a:stretch>
                  </pic:blipFill>
                  <pic:spPr>
                    <a:xfrm>
                      <a:off x="0" y="0"/>
                      <a:ext cx="4963795" cy="2853690"/>
                    </a:xfrm>
                    <a:prstGeom prst="rect">
                      <a:avLst/>
                    </a:prstGeom>
                  </pic:spPr>
                </pic:pic>
              </a:graphicData>
            </a:graphic>
          </wp:inline>
        </w:drawing>
      </w:r>
    </w:p>
    <w:p w14:paraId="56B4FC1E">
      <w:r>
        <w:rPr>
          <w:rFonts w:hint="eastAsia"/>
        </w:rPr>
        <w:t xml:space="preserve"> </w:t>
      </w:r>
    </w:p>
    <w:p w14:paraId="3529FEE3">
      <w:pPr>
        <w:pStyle w:val="43"/>
        <w:bidi w:val="0"/>
      </w:pPr>
      <w:r>
        <w:t xml:space="preserve"> </w:t>
      </w:r>
      <w:r>
        <w:rPr>
          <w:rFonts w:hint="eastAsia"/>
        </w:rPr>
        <w:t>固定</w:t>
      </w:r>
      <w:r>
        <w:rPr>
          <w:rFonts w:hint="eastAsia"/>
          <w:lang w:val="en-US" w:eastAsia="zh-CN"/>
        </w:rPr>
        <w:t>截止</w:t>
      </w:r>
      <w:r>
        <w:rPr>
          <w:rFonts w:hint="eastAsia"/>
        </w:rPr>
        <w:t>频率条件下不同电子密度的相对群时延曲线（CST</w:t>
      </w:r>
      <w:r>
        <w:t xml:space="preserve"> </w:t>
      </w:r>
      <w:r>
        <w:rPr>
          <w:rFonts w:hint="eastAsia"/>
        </w:rPr>
        <w:t>全波仿真）</w:t>
      </w:r>
    </w:p>
    <w:p w14:paraId="41E11A3E"/>
    <w:p w14:paraId="7C32D09D">
      <w:r>
        <w:rPr>
          <w:rFonts w:hint="eastAsia"/>
        </w:rPr>
        <w:t>对比图3-3与图3-4、图3-5可以发现,CST全波仿真结果与Drude理论在整体趋势与包络层面保持一致:电子密度变化导致相对群时延曲线在截止频率附近显著分离,而碰撞频率变化对相对群时延曲线影响甚微。这说明3.2节建立的单程色散模型能够解释Ka波段等离子体诊断中的主导色散行为与参数敏感方向。</w:t>
      </w:r>
    </w:p>
    <w:p w14:paraId="10E76777">
      <w:r>
        <w:rPr>
          <w:rFonts w:hint="eastAsia"/>
        </w:rPr>
        <w:t>为给出量化口径,对代表性曲线进行适度平滑处理后可作进一步评估。结果表明,包络相对理论值的偏差保持在可接受范围内,同时电子密度变化引起的群时延分离量明显大于碰撞频率变化造成的曲线偏移。</w:t>
      </w:r>
    </w:p>
    <w:p w14:paraId="0AF3FA84">
      <w:r>
        <w:rPr>
          <w:rFonts w:hint="eastAsia"/>
        </w:rPr>
        <w:t>然而,CST曲线与理论曲线之间仍存在一个显著差异,即全波结果在平滑色散包络之上叠加了周期性振荡。该振荡并非数值噪声,而主要来源于有限厚度等离子体层两界面之间的多次反射干涉,可视为典型的法布里–珀罗型附加效应。</w:t>
      </w:r>
    </w:p>
    <w:p w14:paraId="4D14BA7D">
      <w:r>
        <w:rPr>
          <w:rFonts w:hint="eastAsia"/>
        </w:rPr>
        <w:t>因此,图3-4和图3-5所比较的是单程色散模型与含界面多次反射的全波结果在主导趋势上的一致性,而非每个频点的逐点重合。后续分析中,本文更关注群时延曲线的跨频段主导趋势,而不将局部振荡峰谷位置作为唯一判据。</w:t>
      </w:r>
    </w:p>
    <w:p w14:paraId="18AC6330">
      <w:r>
        <w:rPr>
          <w:rFonts w:hint="eastAsia"/>
        </w:rPr>
        <w:t>进一步分析曲线斜率可以揭示群时延色散率的演化规律。根据式(3-15),</w:t>
      </w:r>
      <w:r>
        <w:t xml:space="preserve"> </w:t>
      </w:r>
      <m:oMath>
        <m:r>
          <m:rPr/>
          <m:t>d</m:t>
        </m:r>
        <m:sSub>
          <m:sSubPr/>
          <m:e>
            <m:r>
              <m:rPr/>
              <m:t>τ</m:t>
            </m:r>
          </m:e>
          <m:sub>
            <m:r>
              <m:rPr/>
              <m:t>g</m:t>
            </m:r>
          </m:sub>
        </m:sSub>
        <m:r>
          <m:rPr>
            <m:sty m:val="p"/>
          </m:rPr>
          <m:t>/</m:t>
        </m:r>
        <m:r>
          <m:rPr/>
          <m:t>df</m:t>
        </m:r>
      </m:oMath>
      <w:r>
        <w:t xml:space="preserve"> </w:t>
      </w:r>
      <w:r>
        <w:rPr>
          <w:rFonts w:hint="eastAsia"/>
        </w:rPr>
        <w:t>与</w:t>
      </w:r>
      <w:r>
        <w:t xml:space="preserve"> </w:t>
      </w:r>
      <m:oMath>
        <m:sSup>
          <m:sSupPr/>
          <m:e>
            <m:d>
              <m:dPr>
                <m:begChr m:val="["/>
                <m:sepChr m:val=""/>
                <m:endChr m:val="]"/>
              </m:dPr>
              <m:e>
                <m:r>
                  <m:rPr/>
                  <m:t>1</m:t>
                </m:r>
                <m:r>
                  <m:rPr>
                    <m:sty m:val="p"/>
                  </m:rPr>
                  <m:t>−(</m:t>
                </m:r>
                <m:sSub>
                  <m:sSubPr/>
                  <m:e>
                    <m:r>
                      <m:rPr/>
                      <m:t>f</m:t>
                    </m:r>
                  </m:e>
                  <m:sub>
                    <m:r>
                      <m:rPr/>
                      <m:t>p</m:t>
                    </m:r>
                  </m:sub>
                </m:sSub>
                <m:r>
                  <m:rPr>
                    <m:sty m:val="p"/>
                  </m:rPr>
                  <m:t>/</m:t>
                </m:r>
                <m:r>
                  <m:rPr/>
                  <m:t>f</m:t>
                </m:r>
                <m:sSup>
                  <m:sSupPr/>
                  <m:e>
                    <m:r>
                      <m:rPr>
                        <m:sty m:val="p"/>
                      </m:rPr>
                      <m:t>)</m:t>
                    </m:r>
                  </m:e>
                  <m:sup>
                    <m:r>
                      <m:rPr/>
                      <m:t>2</m:t>
                    </m:r>
                  </m:sup>
                </m:sSup>
              </m:e>
            </m:d>
          </m:e>
          <m:sup>
            <m:r>
              <m:rPr>
                <m:sty m:val="p"/>
              </m:rPr>
              <m:t>−</m:t>
            </m:r>
            <m:r>
              <m:rPr/>
              <m:t>3</m:t>
            </m:r>
            <m:r>
              <m:rPr>
                <m:sty m:val="p"/>
              </m:rPr>
              <m:t>/</m:t>
            </m:r>
            <m:r>
              <m:rPr/>
              <m:t>2</m:t>
            </m:r>
          </m:sup>
        </m:sSup>
      </m:oMath>
      <w:r>
        <w:t xml:space="preserve"> </w:t>
      </w:r>
      <w:r>
        <w:rPr>
          <w:rFonts w:hint="eastAsia"/>
        </w:rPr>
        <w:t>成正比,这意味着曲线斜率在截止频率附近会快速增大。仿真数据表明,对于</w:t>
      </w:r>
      <w:r>
        <w:t xml:space="preserve"> </w:t>
      </w:r>
      <m:oMath>
        <m:sSub>
          <m:sSubPr/>
          <m:e>
            <m:r>
              <m:rPr/>
              <m:t>f</m:t>
            </m:r>
          </m:e>
          <m:sub>
            <m:r>
              <m:rPr/>
              <m:t>p</m:t>
            </m:r>
          </m:sub>
        </m:sSub>
        <m:r>
          <m:rPr>
            <m:sty m:val="p"/>
          </m:rPr>
          <m:t>=</m:t>
        </m:r>
        <m:r>
          <m:rPr/>
          <m:t>29 </m:t>
        </m:r>
        <m:r>
          <m:rPr>
            <m:nor/>
            <m:sty m:val="p"/>
          </m:rPr>
          <w:rPr>
            <w:b w:val="0"/>
            <w:i w:val="0"/>
          </w:rPr>
          <m:t>GHz</m:t>
        </m:r>
      </m:oMath>
      <w:r>
        <w:t xml:space="preserve"> </w:t>
      </w:r>
      <w:r>
        <w:rPr>
          <w:rFonts w:hint="eastAsia"/>
        </w:rPr>
        <w:t>的情况,曲线斜率从高频区的约</w:t>
      </w:r>
      <w:r>
        <w:t xml:space="preserve"> </w:t>
      </w:r>
      <m:oMath>
        <m:r>
          <m:rPr>
            <m:sty m:val="p"/>
          </m:rPr>
          <m:t>−</m:t>
        </m:r>
        <m:r>
          <m:rPr/>
          <m:t>0.02 </m:t>
        </m:r>
        <m:r>
          <m:rPr>
            <m:nor/>
            <m:sty m:val="p"/>
          </m:rPr>
          <w:rPr>
            <w:b w:val="0"/>
            <w:i w:val="0"/>
          </w:rPr>
          <m:t>ns/GHz</m:t>
        </m:r>
      </m:oMath>
      <w:r>
        <w:t xml:space="preserve"> </w:t>
      </w:r>
      <w:r>
        <w:rPr>
          <w:rFonts w:hint="eastAsia"/>
        </w:rPr>
        <w:t>增至近截止区的约</w:t>
      </w:r>
      <w:r>
        <w:t xml:space="preserve"> </w:t>
      </w:r>
      <m:oMath>
        <m:r>
          <m:rPr>
            <m:sty m:val="p"/>
          </m:rPr>
          <m:t>−</m:t>
        </m:r>
        <m:r>
          <m:rPr/>
          <m:t>0.8 </m:t>
        </m:r>
        <m:r>
          <m:rPr>
            <m:nor/>
            <m:sty m:val="p"/>
          </m:rPr>
          <w:rPr>
            <w:b w:val="0"/>
            <w:i w:val="0"/>
          </w:rPr>
          <m:t>ns/GHz</m:t>
        </m:r>
      </m:oMath>
      <w:r>
        <w:t>。</w:t>
      </w:r>
    </w:p>
    <w:p w14:paraId="43BC9DE0">
      <w:r>
        <w:rPr>
          <w:rFonts w:hint="eastAsia"/>
        </w:rPr>
        <w:t>对比不同</w:t>
      </w:r>
      <w:r>
        <w:t xml:space="preserve"> </w:t>
      </w:r>
      <m:oMath>
        <m:sSub>
          <m:sSubPr/>
          <m:e>
            <m:r>
              <m:rPr/>
              <m:t>f</m:t>
            </m:r>
          </m:e>
          <m:sub>
            <m:r>
              <m:rPr/>
              <m:t>p</m:t>
            </m:r>
          </m:sub>
        </m:sSub>
      </m:oMath>
      <w:r>
        <w:t xml:space="preserve"> </w:t>
      </w:r>
      <w:r>
        <w:rPr>
          <w:rFonts w:hint="eastAsia"/>
        </w:rPr>
        <w:t>的曲线族,可以清晰观察到截止频率对群时延曲线拓扑结构的控制作用。</w:t>
      </w:r>
      <m:oMath>
        <m:sSub>
          <m:sSubPr/>
          <m:e>
            <m:r>
              <m:rPr/>
              <m:t>f</m:t>
            </m:r>
          </m:e>
          <m:sub>
            <m:r>
              <m:rPr/>
              <m:t>p</m:t>
            </m:r>
          </m:sub>
        </m:sSub>
      </m:oMath>
      <w:r>
        <w:t xml:space="preserve"> </w:t>
      </w:r>
      <w:r>
        <w:rPr>
          <w:rFonts w:hint="eastAsia"/>
        </w:rPr>
        <w:t>的微小变化(仅6%,从27.6</w:t>
      </w:r>
      <w:r>
        <w:t xml:space="preserve"> </w:t>
      </w:r>
      <w:r>
        <w:rPr>
          <w:rFonts w:hint="eastAsia"/>
        </w:rPr>
        <w:t>GHz到30.4</w:t>
      </w:r>
      <w:r>
        <w:t xml:space="preserve"> </w:t>
      </w:r>
      <w:r>
        <w:rPr>
          <w:rFonts w:hint="eastAsia"/>
        </w:rPr>
        <w:t>GHz)导致曲线在20-32</w:t>
      </w:r>
      <w:r>
        <w:t xml:space="preserve"> </w:t>
      </w:r>
      <w:r>
        <w:rPr>
          <w:rFonts w:hint="eastAsia"/>
        </w:rPr>
        <w:t>GHz频段发生显著分离,最大时延差异超过10</w:t>
      </w:r>
      <w:r>
        <w:t xml:space="preserve"> </w:t>
      </w:r>
      <w:r>
        <w:rPr>
          <w:rFonts w:hint="eastAsia"/>
        </w:rPr>
        <w:t>ns，远大于本文系统所关注的时间分辨量级。这说明截止频率的微小变化即可引起群时延曲线的显著分离，从而为利用群时延特征表征电子密度提供了基础。</w:t>
      </w:r>
    </w:p>
    <w:p w14:paraId="5A7F964D">
      <w:r>
        <w:rPr>
          <w:rFonts w:hint="eastAsia"/>
        </w:rPr>
        <w:t>当</w:t>
      </w:r>
      <w:r>
        <w:t xml:space="preserve"> </w:t>
      </w:r>
      <m:oMath>
        <m:r>
          <m:rPr/>
          <m:t>f</m:t>
        </m:r>
        <m:r>
          <m:rPr>
            <m:sty m:val="p"/>
          </m:rPr>
          <m:t>&lt;</m:t>
        </m:r>
        <m:sSub>
          <m:sSubPr/>
          <m:e>
            <m:r>
              <m:rPr/>
              <m:t>f</m:t>
            </m:r>
          </m:e>
          <m:sub>
            <m:r>
              <m:rPr/>
              <m:t>p</m:t>
            </m:r>
          </m:sub>
        </m:sSub>
      </m:oMath>
      <w:r>
        <w:t xml:space="preserve"> </w:t>
      </w:r>
      <w:r>
        <w:rPr>
          <w:rFonts w:hint="eastAsia"/>
        </w:rPr>
        <w:t>时,根据Drude模型,介电常数</w:t>
      </w:r>
      <w:r>
        <w:t xml:space="preserve"> </w:t>
      </w:r>
      <m:oMath>
        <m:sSub>
          <m:sSubPr/>
          <m:e>
            <m:r>
              <m:rPr/>
              <m:t>ε</m:t>
            </m:r>
          </m:e>
          <m:sub>
            <m:sSup>
              <m:sSupPr/>
              <m:e>
                <m:r>
                  <m:rPr/>
                  <m:t>r</m:t>
                </m:r>
              </m:e>
              <m:sup>
                <m:r>
                  <m:rPr>
                    <m:sty m:val="p"/>
                  </m:rPr>
                  <m:t>′</m:t>
                </m:r>
              </m:sup>
            </m:sSup>
          </m:sub>
        </m:sSub>
      </m:oMath>
      <w:r>
        <w:t xml:space="preserve"> </w:t>
      </w:r>
      <w:r>
        <w:rPr>
          <w:rFonts w:hint="eastAsia"/>
        </w:rPr>
        <w:t>变为负值,等离子体呈现金属特性,电磁波无法透射,此时复传播常数的实部</w:t>
      </w:r>
      <w:r>
        <w:t xml:space="preserve"> </w:t>
      </w:r>
      <m:oMath>
        <m:r>
          <m:rPr/>
          <m:t>β</m:t>
        </m:r>
      </m:oMath>
      <w:r>
        <w:t xml:space="preserve"> </w:t>
      </w:r>
      <w:r>
        <w:rPr>
          <w:rFonts w:hint="eastAsia"/>
        </w:rPr>
        <w:t>转变为虚部,对应倏逝波的指数衰减。仿真中该区域的群时延计算会因数值解缠绕失效而出现奇异值,这在图3-4中表现为曲线在</w:t>
      </w:r>
      <w:r>
        <w:t xml:space="preserve"> </w:t>
      </w:r>
      <m:oMath>
        <m:r>
          <m:rPr/>
          <m:t>f</m:t>
        </m:r>
        <m:r>
          <m:rPr>
            <m:sty m:val="p"/>
          </m:rPr>
          <m:t>&lt;</m:t>
        </m:r>
        <m:sSub>
          <m:sSubPr/>
          <m:e>
            <m:r>
              <m:rPr/>
              <m:t>f</m:t>
            </m:r>
          </m:e>
          <m:sub>
            <m:r>
              <m:rPr/>
              <m:t>p</m:t>
            </m:r>
          </m:sub>
        </m:sSub>
      </m:oMath>
      <w:r>
        <w:t xml:space="preserve"> </w:t>
      </w:r>
      <w:r>
        <w:rPr>
          <w:rFonts w:hint="eastAsia"/>
        </w:rPr>
        <w:t>处的剧烈波动。这一现象与理论预测一致,也说明在实际LFMCW系统设计时,工作带宽的下限频率必须严格高于等离子体的最大预期截止频率,以避免信号截止导致的诊断失效。</w:t>
      </w:r>
    </w:p>
    <w:p w14:paraId="23DB9F53">
      <w:r>
        <w:rPr>
          <w:rFonts w:hint="eastAsia"/>
        </w:rPr>
        <w:t>为系统揭示群时延曲线随电子密度的演化规律,本文利用CST仿真平台在26-40</w:t>
      </w:r>
      <w:r>
        <w:t xml:space="preserve"> </w:t>
      </w:r>
      <w:r>
        <w:rPr>
          <w:rFonts w:hint="eastAsia"/>
        </w:rPr>
        <w:t>GHz频段对不同量级电子密度条件下的群时延响应进行了系统性仿真。根据电子密度的数量级差异,可将演化规律划分为两个典型区间。</w:t>
      </w:r>
    </w:p>
    <w:p w14:paraId="40F9BB2A">
      <w:pPr>
        <w:spacing w:line="240" w:lineRule="auto"/>
        <w:ind w:firstLine="480"/>
        <w:jc w:val="center"/>
        <w:rPr>
          <w:rFonts w:hint="eastAsia" w:ascii="宋体" w:hAnsi="宋体" w:eastAsia="宋体"/>
          <w:szCs w:val="24"/>
          <w:lang w:eastAsia="zh-CN"/>
        </w:rPr>
      </w:pPr>
      <w:r>
        <w:rPr>
          <w:rFonts w:hint="eastAsia" w:ascii="宋体" w:hAnsi="宋体" w:eastAsia="宋体"/>
          <w:szCs w:val="24"/>
          <w:lang w:eastAsia="zh-CN"/>
        </w:rPr>
        <w:drawing>
          <wp:inline distT="0" distB="0" distL="114300" distR="114300">
            <wp:extent cx="4963795" cy="2853690"/>
            <wp:effectExtent l="0" t="0" r="4445" b="11430"/>
            <wp:docPr id="14" name="图片 14" descr="fig_2_2_dispersion_comparison_layout_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ig_2_2_dispersion_comparison_layout_fixed"/>
                    <pic:cNvPicPr>
                      <a:picLocks noChangeAspect="1"/>
                    </pic:cNvPicPr>
                  </pic:nvPicPr>
                  <pic:blipFill>
                    <a:blip r:embed="rId23"/>
                    <a:stretch>
                      <a:fillRect/>
                    </a:stretch>
                  </pic:blipFill>
                  <pic:spPr>
                    <a:xfrm>
                      <a:off x="0" y="0"/>
                      <a:ext cx="4963795" cy="2853690"/>
                    </a:xfrm>
                    <a:prstGeom prst="rect">
                      <a:avLst/>
                    </a:prstGeom>
                  </pic:spPr>
                </pic:pic>
              </a:graphicData>
            </a:graphic>
          </wp:inline>
        </w:drawing>
      </w:r>
    </w:p>
    <w:p w14:paraId="28CCDEB2">
      <w:r>
        <w:rPr>
          <w:rFonts w:hint="eastAsia"/>
        </w:rPr>
        <w:t xml:space="preserve"> </w:t>
      </w:r>
    </w:p>
    <w:p w14:paraId="4AFF80F5">
      <w:pPr>
        <w:pStyle w:val="43"/>
        <w:bidi w:val="0"/>
      </w:pPr>
      <w:r>
        <w:t xml:space="preserve"> </w:t>
      </w:r>
      <w:r>
        <w:rPr>
          <w:rFonts w:hint="eastAsia"/>
        </w:rPr>
        <w:t>固定碰撞频率条件下不同电子密度的相对群时延曲线（CST</w:t>
      </w:r>
      <w:r>
        <w:t xml:space="preserve"> </w:t>
      </w:r>
      <w:r>
        <w:rPr>
          <w:rFonts w:hint="eastAsia"/>
        </w:rPr>
        <w:t>全波仿真）</w:t>
      </w:r>
    </w:p>
    <w:p w14:paraId="2A44E664"/>
    <w:p w14:paraId="4DAD6D59">
      <w:r>
        <w:rPr>
          <w:rFonts w:hint="eastAsia"/>
        </w:rPr>
        <w:t>图</w:t>
      </w:r>
      <w:r>
        <w:t xml:space="preserve"> 3-6 </w:t>
      </w:r>
      <w:r>
        <w:rPr>
          <w:rFonts w:hint="eastAsia"/>
        </w:rPr>
        <w:t>低电子密度区间</w:t>
      </w:r>
      <w:r>
        <w:t xml:space="preserve"> CST </w:t>
      </w:r>
      <w:r>
        <w:rPr>
          <w:rFonts w:hint="eastAsia"/>
        </w:rPr>
        <w:t>仿真相对群时延曲线</w:t>
      </w:r>
    </w:p>
    <w:p w14:paraId="66CCAF53">
      <w:r>
        <w:rPr>
          <w:rFonts w:hint="eastAsia"/>
        </w:rPr>
        <w:t>低电子密度区间(</w:t>
      </w:r>
      <m:oMath>
        <m:sSub>
          <m:sSubPr/>
          <m:e>
            <m:r>
              <m:rPr/>
              <m:t>n</m:t>
            </m:r>
          </m:e>
          <m:sub>
            <m:r>
              <m:rPr/>
              <m:t>e</m:t>
            </m:r>
          </m:sub>
        </m:sSub>
        <m:r>
          <m:rPr>
            <m:sty m:val="p"/>
          </m:rPr>
          <m:t>≤</m:t>
        </m:r>
        <m:r>
          <m:rPr/>
          <m:t>5</m:t>
        </m:r>
        <m:r>
          <m:rPr>
            <m:sty m:val="p"/>
          </m:rPr>
          <m:t>×</m:t>
        </m:r>
        <m:sSup>
          <m:sSupPr/>
          <m:e>
            <m:r>
              <m:rPr/>
              <m:t>10</m:t>
            </m:r>
          </m:e>
          <m:sup>
            <m:r>
              <m:rPr/>
              <m:t>18</m:t>
            </m:r>
          </m:sup>
        </m:sSup>
        <m:r>
          <m:rPr/>
          <m:t> </m:t>
        </m:r>
        <m:sSup>
          <m:sSupPr/>
          <m:e>
            <m:r>
              <m:rPr>
                <m:nor/>
                <m:sty m:val="p"/>
              </m:rPr>
              <w:rPr>
                <w:b w:val="0"/>
                <w:i w:val="0"/>
              </w:rPr>
              <m:t>m</m:t>
            </m:r>
          </m:e>
          <m:sup>
            <m:r>
              <m:rPr>
                <m:sty m:val="p"/>
              </m:rPr>
              <m:t>−</m:t>
            </m:r>
            <m:r>
              <m:rPr/>
              <m:t>3</m:t>
            </m:r>
          </m:sup>
        </m:sSup>
      </m:oMath>
      <w:r>
        <w:rPr>
          <w:rFonts w:hint="eastAsia"/>
        </w:rPr>
        <w:t>):如图3-6所示,当电子密度较低时,相对群时延曲线在整个观测频段内近似平坦,整体保持在较低水平,且各曲线之间的差异很小。这是因为此时</w:t>
      </w:r>
      <w:r>
        <w:t xml:space="preserve"> </w:t>
      </w:r>
      <m:oMath>
        <m:sSub>
          <m:sSubPr/>
          <m:e>
            <m:r>
              <m:rPr/>
              <m:t>f</m:t>
            </m:r>
          </m:e>
          <m:sub>
            <m:r>
              <m:rPr/>
              <m:t>p</m:t>
            </m:r>
          </m:sub>
        </m:sSub>
      </m:oMath>
      <w:r>
        <w:t xml:space="preserve"> </w:t>
      </w:r>
      <w:r>
        <w:rPr>
          <w:rFonts w:hint="eastAsia"/>
        </w:rPr>
        <w:t>明显低于探测频段下限,根据式(3-12)的渐近展开,色散效应退化为弱非线性传播,非线性度因子</w:t>
      </w:r>
      <w:r>
        <w:t xml:space="preserve"> </w:t>
      </w:r>
      <m:oMath>
        <m:r>
          <m:rPr/>
          <m:t>η</m:t>
        </m:r>
        <m:r>
          <m:rPr>
            <m:sty m:val="p"/>
          </m:rPr>
          <m:t>≪</m:t>
        </m:r>
        <m:r>
          <m:rPr/>
          <m:t>1</m:t>
        </m:r>
      </m:oMath>
      <w:r>
        <w:t>。</w:t>
      </w:r>
    </w:p>
    <w:p w14:paraId="7B8B6D75">
      <w:pPr>
        <w:spacing w:line="240" w:lineRule="auto"/>
        <w:ind w:firstLine="480"/>
        <w:jc w:val="center"/>
        <w:rPr>
          <w:rFonts w:hint="eastAsia" w:ascii="宋体" w:hAnsi="宋体" w:eastAsia="宋体"/>
          <w:szCs w:val="24"/>
          <w:lang w:eastAsia="zh-CN"/>
        </w:rPr>
      </w:pPr>
      <w:r>
        <w:rPr>
          <w:rFonts w:hint="eastAsia" w:ascii="宋体" w:hAnsi="宋体" w:eastAsia="宋体"/>
          <w:szCs w:val="24"/>
          <w:lang w:eastAsia="zh-CN"/>
        </w:rPr>
        <w:drawing>
          <wp:inline distT="0" distB="0" distL="114300" distR="114300">
            <wp:extent cx="4963795" cy="2853690"/>
            <wp:effectExtent l="0" t="0" r="4445" b="11430"/>
            <wp:docPr id="15" name="图片 15" descr="fig_2_2_dispersion_comparison_layout_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_2_2_dispersion_comparison_layout_fixed"/>
                    <pic:cNvPicPr>
                      <a:picLocks noChangeAspect="1"/>
                    </pic:cNvPicPr>
                  </pic:nvPicPr>
                  <pic:blipFill>
                    <a:blip r:embed="rId23"/>
                    <a:stretch>
                      <a:fillRect/>
                    </a:stretch>
                  </pic:blipFill>
                  <pic:spPr>
                    <a:xfrm>
                      <a:off x="0" y="0"/>
                      <a:ext cx="4963795" cy="2853690"/>
                    </a:xfrm>
                    <a:prstGeom prst="rect">
                      <a:avLst/>
                    </a:prstGeom>
                  </pic:spPr>
                </pic:pic>
              </a:graphicData>
            </a:graphic>
          </wp:inline>
        </w:drawing>
      </w:r>
    </w:p>
    <w:p w14:paraId="2E6DAD62">
      <w:r>
        <w:rPr>
          <w:rFonts w:hint="eastAsia"/>
        </w:rPr>
        <w:t xml:space="preserve"> </w:t>
      </w:r>
    </w:p>
    <w:p w14:paraId="143F2BD2">
      <w:pPr>
        <w:pStyle w:val="43"/>
        <w:bidi w:val="0"/>
      </w:pPr>
      <w:r>
        <w:t xml:space="preserve"> </w:t>
      </w:r>
      <w:r>
        <w:rPr>
          <w:rFonts w:hint="eastAsia"/>
        </w:rPr>
        <w:t>固定碰撞频率条件下不同电子密度的相对群时延曲线（CST</w:t>
      </w:r>
      <w:r>
        <w:t xml:space="preserve"> </w:t>
      </w:r>
      <w:r>
        <w:rPr>
          <w:rFonts w:hint="eastAsia"/>
        </w:rPr>
        <w:t>全波仿真）</w:t>
      </w:r>
    </w:p>
    <w:p w14:paraId="4540A32C"/>
    <w:p w14:paraId="7123DFEE">
      <w:r>
        <w:rPr>
          <w:rFonts w:hint="eastAsia"/>
        </w:rPr>
        <w:t>图</w:t>
      </w:r>
      <w:r>
        <w:t xml:space="preserve"> 3-7 </w:t>
      </w:r>
      <w:r>
        <w:rPr>
          <w:rFonts w:hint="eastAsia"/>
        </w:rPr>
        <w:t>高电子密度区间</w:t>
      </w:r>
      <w:r>
        <w:t xml:space="preserve"> CST </w:t>
      </w:r>
      <w:r>
        <w:rPr>
          <w:rFonts w:hint="eastAsia"/>
        </w:rPr>
        <w:t>仿真相对群时延曲线</w:t>
      </w:r>
    </w:p>
    <w:p w14:paraId="6168AB06">
      <w:r>
        <w:rPr>
          <w:rFonts w:hint="eastAsia"/>
        </w:rPr>
        <w:t>高电子密度区间(</w:t>
      </w:r>
      <m:oMath>
        <m:sSub>
          <m:sSubPr/>
          <m:e>
            <m:r>
              <m:rPr/>
              <m:t>n</m:t>
            </m:r>
          </m:e>
          <m:sub>
            <m:r>
              <m:rPr/>
              <m:t>e</m:t>
            </m:r>
          </m:sub>
        </m:sSub>
        <m:r>
          <m:rPr>
            <m:sty m:val="p"/>
          </m:rPr>
          <m:t>≥</m:t>
        </m:r>
        <m:r>
          <m:rPr/>
          <m:t>7</m:t>
        </m:r>
        <m:r>
          <m:rPr>
            <m:sty m:val="p"/>
          </m:rPr>
          <m:t>×</m:t>
        </m:r>
        <m:sSup>
          <m:sSupPr/>
          <m:e>
            <m:r>
              <m:rPr/>
              <m:t>10</m:t>
            </m:r>
          </m:e>
          <m:sup>
            <m:r>
              <m:rPr/>
              <m:t>18</m:t>
            </m:r>
          </m:sup>
        </m:sSup>
        <m:r>
          <m:rPr/>
          <m:t> </m:t>
        </m:r>
        <m:sSup>
          <m:sSupPr/>
          <m:e>
            <m:r>
              <m:rPr>
                <m:nor/>
                <m:sty m:val="p"/>
              </m:rPr>
              <w:rPr>
                <w:b w:val="0"/>
                <w:i w:val="0"/>
              </w:rPr>
              <m:t>m</m:t>
            </m:r>
          </m:e>
          <m:sup>
            <m:r>
              <m:rPr>
                <m:sty m:val="p"/>
              </m:rPr>
              <m:t>−</m:t>
            </m:r>
            <m:r>
              <m:rPr/>
              <m:t>3</m:t>
            </m:r>
          </m:sup>
        </m:sSup>
      </m:oMath>
      <w:r>
        <w:rPr>
          <w:rFonts w:hint="eastAsia"/>
        </w:rPr>
        <w:t>):如图3-7所示,当电子密度升高后,群时延曲线呈现显著的非线性特征。低频段内不同</w:t>
      </w:r>
      <w:r>
        <w:t xml:space="preserve"> </w:t>
      </w:r>
      <m:oMath>
        <m:sSub>
          <m:sSubPr/>
          <m:e>
            <m:r>
              <m:rPr/>
              <m:t>n</m:t>
            </m:r>
          </m:e>
          <m:sub>
            <m:r>
              <m:rPr/>
              <m:t>e</m:t>
            </m:r>
          </m:sub>
        </m:sSub>
      </m:oMath>
      <w:r>
        <w:t xml:space="preserve"> </w:t>
      </w:r>
      <w:r>
        <w:rPr>
          <w:rFonts w:hint="eastAsia"/>
        </w:rPr>
        <w:t>对应的曲线明显分离,而当探测频率逼近截止频率(</w:t>
      </w:r>
      <m:oMath>
        <m:r>
          <m:rPr/>
          <m:t>f</m:t>
        </m:r>
        <m:r>
          <m:rPr>
            <m:sty m:val="p"/>
          </m:rPr>
          <m:t>→</m:t>
        </m:r>
        <m:sSub>
          <m:sSubPr/>
          <m:e>
            <m:r>
              <m:rPr/>
              <m:t>f</m:t>
            </m:r>
          </m:e>
          <m:sub>
            <m:r>
              <m:rPr/>
              <m:t>p</m:t>
            </m:r>
          </m:sub>
        </m:sSub>
      </m:oMath>
      <w:r>
        <w:rPr>
          <w:rFonts w:hint="eastAsia"/>
        </w:rPr>
        <w:t>)时,曲线斜率迅速增大并出现明显上翘,这与式(3-12)中分母</w:t>
      </w:r>
      <w:r>
        <w:t xml:space="preserve"> </w:t>
      </w:r>
      <m:oMath>
        <m:rad>
          <m:radPr>
            <m:degHide m:val="1"/>
          </m:radPr>
          <m:deg/>
          <m:e>
            <m:r>
              <m:rPr/>
              <m:t>1</m:t>
            </m:r>
            <m:r>
              <m:rPr>
                <m:sty m:val="p"/>
              </m:rPr>
              <m:t>−(</m:t>
            </m:r>
            <m:sSub>
              <m:sSubPr/>
              <m:e>
                <m:r>
                  <m:rPr/>
                  <m:t>f</m:t>
                </m:r>
              </m:e>
              <m:sub>
                <m:r>
                  <m:rPr/>
                  <m:t>p</m:t>
                </m:r>
              </m:sub>
            </m:sSub>
            <m:r>
              <m:rPr>
                <m:sty m:val="p"/>
              </m:rPr>
              <m:t>/</m:t>
            </m:r>
            <m:r>
              <m:rPr/>
              <m:t>f</m:t>
            </m:r>
            <m:sSup>
              <m:sSupPr/>
              <m:e>
                <m:r>
                  <m:rPr>
                    <m:sty m:val="p"/>
                  </m:rPr>
                  <m:t>)</m:t>
                </m:r>
              </m:e>
              <m:sup>
                <m:r>
                  <m:rPr/>
                  <m:t>2</m:t>
                </m:r>
              </m:sup>
            </m:sSup>
          </m:e>
        </m:rad>
      </m:oMath>
      <w:r>
        <w:t xml:space="preserve"> </w:t>
      </w:r>
      <w:r>
        <w:rPr>
          <w:rFonts w:hint="eastAsia"/>
        </w:rPr>
        <w:t>趋零一致;在高频段(</w:t>
      </w:r>
      <m:oMath>
        <m:r>
          <m:rPr/>
          <m:t>f</m:t>
        </m:r>
        <m:r>
          <m:rPr>
            <m:sty m:val="p"/>
          </m:rPr>
          <m:t>&gt;</m:t>
        </m:r>
        <m:r>
          <m:rPr/>
          <m:t>36</m:t>
        </m:r>
      </m:oMath>
      <w:r>
        <w:t xml:space="preserve"> </w:t>
      </w:r>
      <w:r>
        <w:rPr>
          <w:rFonts w:hint="eastAsia"/>
        </w:rPr>
        <w:t>GHz),各曲线又逐渐收敛,验证了色散效应在</w:t>
      </w:r>
      <w:r>
        <w:t xml:space="preserve"> </w:t>
      </w:r>
      <m:oMath>
        <m:r>
          <m:rPr/>
          <m:t>f</m:t>
        </m:r>
        <m:r>
          <m:rPr>
            <m:sty m:val="p"/>
          </m:rPr>
          <m:t>≫</m:t>
        </m:r>
        <m:sSub>
          <m:sSubPr/>
          <m:e>
            <m:r>
              <m:rPr/>
              <m:t>f</m:t>
            </m:r>
          </m:e>
          <m:sub>
            <m:r>
              <m:rPr/>
              <m:t>p</m:t>
            </m:r>
          </m:sub>
        </m:sSub>
      </m:oMath>
      <w:r>
        <w:t xml:space="preserve"> </w:t>
      </w:r>
      <w:r>
        <w:rPr>
          <w:rFonts w:hint="eastAsia"/>
        </w:rPr>
        <w:t>时的弱化规律。</w:t>
      </w:r>
    </w:p>
    <w:p w14:paraId="26A1BE32">
      <w:r>
        <w:rPr>
          <w:rFonts w:hint="eastAsia"/>
        </w:rPr>
        <w:t>对比图3-6与图3-7还可以发现,法布里-珀罗振荡效应与电子密度存在明显的关联规律。在低电子密度区间,当</w:t>
      </w:r>
      <w:r>
        <w:t xml:space="preserve"> </w:t>
      </w:r>
      <m:oMath>
        <m:sSub>
          <m:sSubPr/>
          <m:e>
            <m:r>
              <m:rPr/>
              <m:t>f</m:t>
            </m:r>
          </m:e>
          <m:sub>
            <m:r>
              <m:rPr/>
              <m:t>p</m:t>
            </m:r>
          </m:sub>
        </m:sSub>
        <m:r>
          <m:rPr>
            <m:sty m:val="p"/>
          </m:rPr>
          <m:t>≪</m:t>
        </m:r>
        <m:r>
          <m:rPr/>
          <m:t>f</m:t>
        </m:r>
      </m:oMath>
      <w:r>
        <w:t xml:space="preserve"> </w:t>
      </w:r>
      <w:r>
        <w:rPr>
          <w:rFonts w:hint="eastAsia"/>
        </w:rPr>
        <w:t>时,波阻抗失配较小,界面反射系数</w:t>
      </w:r>
      <w:r>
        <w:t xml:space="preserve"> </w:t>
      </w:r>
      <m:oMath>
        <m:r>
          <m:rPr>
            <m:sty m:val="p"/>
          </m:rPr>
          <m:t>Γ≈</m:t>
        </m:r>
        <m:r>
          <m:rPr/>
          <m:t>0</m:t>
        </m:r>
      </m:oMath>
      <w:r>
        <w:rPr>
          <w:rFonts w:hint="eastAsia"/>
        </w:rPr>
        <w:t>,多径效应很弱,曲线呈现光滑特征,振荡幅度仅约0.1</w:t>
      </w:r>
      <w:r>
        <w:t xml:space="preserve"> </w:t>
      </w:r>
      <w:r>
        <w:rPr>
          <w:rFonts w:hint="eastAsia"/>
        </w:rPr>
        <w:t>ns。然而在高电子密度区间,当</w:t>
      </w:r>
      <w:r>
        <w:t xml:space="preserve"> </w:t>
      </w:r>
      <m:oMath>
        <m:sSub>
          <m:sSubPr/>
          <m:e>
            <m:r>
              <m:rPr/>
              <m:t>f</m:t>
            </m:r>
          </m:e>
          <m:sub>
            <m:r>
              <m:rPr/>
              <m:t>p</m:t>
            </m:r>
          </m:sub>
        </m:sSub>
      </m:oMath>
      <w:r>
        <w:t xml:space="preserve"> </w:t>
      </w:r>
      <w:r>
        <w:rPr>
          <w:rFonts w:hint="eastAsia"/>
        </w:rPr>
        <w:t>接近观测频段时,波阻抗失配急剧加大,界面反射显著增强,形成强烈的驻波干涉,曲线振荡幅度可达0.5-1</w:t>
      </w:r>
      <w:r>
        <w:t xml:space="preserve"> </w:t>
      </w:r>
      <w:r>
        <w:rPr>
          <w:rFonts w:hint="eastAsia"/>
        </w:rPr>
        <w:t>ns,且在截止频率附近尤为剧烈。</w:t>
      </w:r>
    </w:p>
    <w:p w14:paraId="707E5A5E">
      <w:r>
        <w:rPr>
          <w:rFonts w:hint="eastAsia"/>
        </w:rPr>
        <w:t>这一干涉现象对参数反演算法设计具有直接影响:振荡引入的局部极值点会严重干扰传统基于峰值检测或过零点检测的测距算法,导致虚假目标或测量跳变。因此，在存在明显界面多径效应时，诊断过程不宜继续依赖单点读数，而更适合利用跨频段整体趋势特征进行表征。</w:t>
      </w:r>
    </w:p>
    <w:p w14:paraId="35D7D4F2">
      <w:r>
        <w:rPr>
          <w:rFonts w:hint="eastAsia"/>
        </w:rPr>
        <w:t>近截止区的高敏感性虽然提高了曲线对电子密度变化的响应,却并不意味着单点观测即可稳定完成参数辨识。若只使用某一频点上的时延值,不同未知量之间仍可能出现等效替代。这里暂时将电子密度</w:t>
      </w:r>
      <w:r>
        <w:t xml:space="preserve"> </w:t>
      </w:r>
      <m:oMath>
        <m:sSub>
          <m:sSubPr/>
          <m:e>
            <m:r>
              <m:rPr/>
              <m:t>n</m:t>
            </m:r>
          </m:e>
          <m:sub>
            <m:r>
              <m:rPr/>
              <m:t>e</m:t>
            </m:r>
          </m:sub>
        </m:sSub>
      </m:oMath>
      <w:r>
        <w:t xml:space="preserve"> </w:t>
      </w:r>
      <w:r>
        <w:rPr>
          <w:rFonts w:hint="eastAsia"/>
        </w:rPr>
        <w:t>与等离子体层厚度</w:t>
      </w:r>
      <w:r>
        <w:t xml:space="preserve"> </w:t>
      </w:r>
      <m:oMath>
        <m:r>
          <m:rPr/>
          <m:t>d</m:t>
        </m:r>
      </m:oMath>
      <w:r>
        <w:t xml:space="preserve"> </w:t>
      </w:r>
      <w:r>
        <w:rPr>
          <w:rFonts w:hint="eastAsia"/>
        </w:rPr>
        <w:t>同时视为未知,其目的并非建立本文后续的联合反演问题,而只是从一般辨识角度说明单点观测为何不足。本文后续仍以</w:t>
      </w:r>
      <w:r>
        <w:t xml:space="preserve"> </w:t>
      </w:r>
      <m:oMath>
        <m:r>
          <m:rPr/>
          <m:t>d</m:t>
        </m:r>
      </m:oMath>
      <w:r>
        <w:t xml:space="preserve"> </w:t>
      </w:r>
      <w:r>
        <w:rPr>
          <w:rFonts w:hint="eastAsia"/>
        </w:rPr>
        <w:t>已知、</w:t>
      </w:r>
      <m:oMath>
        <m:sSub>
          <m:sSubPr/>
          <m:e>
            <m:r>
              <m:rPr/>
              <m:t>ν</m:t>
            </m:r>
          </m:e>
          <m:sub>
            <m:r>
              <m:rPr/>
              <m:t>e</m:t>
            </m:r>
          </m:sub>
        </m:sSub>
      </m:oMath>
      <w:r>
        <w:t xml:space="preserve"> </w:t>
      </w:r>
      <w:r>
        <w:rPr>
          <w:rFonts w:hint="eastAsia"/>
        </w:rPr>
        <w:t>固定、仅反演</w:t>
      </w:r>
      <w:r>
        <w:t xml:space="preserve"> </w:t>
      </w:r>
      <m:oMath>
        <m:sSub>
          <m:sSubPr/>
          <m:e>
            <m:r>
              <m:rPr/>
              <m:t>n</m:t>
            </m:r>
          </m:e>
          <m:sub>
            <m:r>
              <m:rPr/>
              <m:t>e</m:t>
            </m:r>
          </m:sub>
        </m:sSub>
      </m:oMath>
      <w:r>
        <w:t xml:space="preserve"> </w:t>
      </w:r>
      <w:r>
        <w:rPr>
          <w:rFonts w:hint="eastAsia"/>
        </w:rPr>
        <w:t>为主。</w:t>
      </w:r>
    </w:p>
    <w:p w14:paraId="0CF08BA6">
      <w:r>
        <w:rPr>
          <w:rFonts w:hint="eastAsia"/>
        </w:rPr>
        <w:t>为系统探究这一问题,设计如下多参数扫描仿真实验:在</w:t>
      </w:r>
      <w:r>
        <w:t xml:space="preserve"> </w:t>
      </w:r>
      <m:oMath>
        <m:r>
          <m:rPr/>
          <m:t>f</m:t>
        </m:r>
        <m:r>
          <m:rPr>
            <m:sty m:val="p"/>
          </m:rPr>
          <m:t>∈[</m:t>
        </m:r>
        <m:r>
          <m:rPr/>
          <m:t>34</m:t>
        </m:r>
        <m:r>
          <m:rPr>
            <m:sty m:val="p"/>
          </m:rPr>
          <m:t>,</m:t>
        </m:r>
        <m:r>
          <m:rPr/>
          <m:t>37.5</m:t>
        </m:r>
        <m:r>
          <m:rPr>
            <m:sty m:val="p"/>
          </m:rPr>
          <m:t>]</m:t>
        </m:r>
        <m:r>
          <m:rPr/>
          <m:t> </m:t>
        </m:r>
        <m:r>
          <m:rPr>
            <m:nor/>
            <m:sty m:val="p"/>
          </m:rPr>
          <w:rPr>
            <w:b w:val="0"/>
            <w:i w:val="0"/>
          </w:rPr>
          <m:t>GHz</m:t>
        </m:r>
      </m:oMath>
      <w:r>
        <w:t xml:space="preserve"> </w:t>
      </w:r>
      <w:r>
        <w:rPr>
          <w:rFonts w:hint="eastAsia"/>
        </w:rPr>
        <w:t>频段,固定碰撞频率</w:t>
      </w:r>
      <w:r>
        <w:t xml:space="preserve"> </w:t>
      </w:r>
      <m:oMath>
        <m:sSub>
          <m:sSubPr/>
          <m:e>
            <m:r>
              <m:rPr/>
              <m:t>ν</m:t>
            </m:r>
          </m:e>
          <m:sub>
            <m:r>
              <m:rPr/>
              <m:t>e</m:t>
            </m:r>
          </m:sub>
        </m:sSub>
        <m:r>
          <m:rPr>
            <m:sty m:val="p"/>
          </m:rPr>
          <m:t>=</m:t>
        </m:r>
        <m:r>
          <m:rPr/>
          <m:t>1.5 </m:t>
        </m:r>
        <m:r>
          <m:rPr>
            <m:nor/>
            <m:sty m:val="p"/>
          </m:rPr>
          <w:rPr>
            <w:b w:val="0"/>
            <w:i w:val="0"/>
          </w:rPr>
          <m:t>GHz</m:t>
        </m:r>
      </m:oMath>
      <w:r>
        <w:rPr>
          <w:rFonts w:hint="eastAsia"/>
        </w:rPr>
        <w:t>,构建二维参数空间。电子密度</w:t>
      </w:r>
      <w:r>
        <w:t xml:space="preserve"> </w:t>
      </w:r>
      <m:oMath>
        <m:sSub>
          <m:sSubPr/>
          <m:e>
            <m:r>
              <m:rPr/>
              <m:t>n</m:t>
            </m:r>
          </m:e>
          <m:sub>
            <m:r>
              <m:rPr/>
              <m:t>e</m:t>
            </m:r>
          </m:sub>
        </m:sSub>
      </m:oMath>
      <w:r>
        <w:t xml:space="preserve"> </w:t>
      </w:r>
      <w:r>
        <w:rPr>
          <w:rFonts w:hint="eastAsia"/>
        </w:rPr>
        <w:t>在</w:t>
      </w:r>
      <w:r>
        <w:t xml:space="preserve"> </w:t>
      </w:r>
      <m:oMath>
        <m:r>
          <m:rPr>
            <m:sty m:val="p"/>
          </m:rPr>
          <m:t>[</m:t>
        </m:r>
        <m:r>
          <m:rPr/>
          <m:t>1.4</m:t>
        </m:r>
        <m:r>
          <m:rPr>
            <m:sty m:val="p"/>
          </m:rPr>
          <m:t>,</m:t>
        </m:r>
        <m:r>
          <m:rPr/>
          <m:t>1.5</m:t>
        </m:r>
        <m:r>
          <m:rPr>
            <m:sty m:val="p"/>
          </m:rPr>
          <m:t>]×</m:t>
        </m:r>
        <m:sSup>
          <m:sSupPr/>
          <m:e>
            <m:r>
              <m:rPr/>
              <m:t>10</m:t>
            </m:r>
          </m:e>
          <m:sup>
            <m:r>
              <m:rPr/>
              <m:t>19</m:t>
            </m:r>
          </m:sup>
        </m:sSup>
        <m:r>
          <m:rPr/>
          <m:t> </m:t>
        </m:r>
        <m:sSup>
          <m:sSupPr/>
          <m:e>
            <m:r>
              <m:rPr>
                <m:nor/>
                <m:sty m:val="p"/>
              </m:rPr>
              <w:rPr>
                <w:b w:val="0"/>
                <w:i w:val="0"/>
              </w:rPr>
              <m:t>m</m:t>
            </m:r>
          </m:e>
          <m:sup>
            <m:r>
              <m:rPr>
                <m:sty m:val="p"/>
              </m:rPr>
              <m:t>−</m:t>
            </m:r>
            <m:r>
              <m:rPr/>
              <m:t>3</m:t>
            </m:r>
          </m:sup>
        </m:sSup>
      </m:oMath>
      <w:r>
        <w:t xml:space="preserve"> </w:t>
      </w:r>
      <w:r>
        <w:rPr>
          <w:rFonts w:hint="eastAsia"/>
        </w:rPr>
        <w:t>范围内均匀取10个值,对应截止频率</w:t>
      </w:r>
      <w:r>
        <w:t xml:space="preserve"> </w:t>
      </w:r>
      <m:oMath>
        <m:sSub>
          <m:sSubPr/>
          <m:e>
            <m:r>
              <m:rPr/>
              <m:t>f</m:t>
            </m:r>
          </m:e>
          <m:sub>
            <m:r>
              <m:rPr/>
              <m:t>p</m:t>
            </m:r>
          </m:sub>
        </m:sSub>
      </m:oMath>
      <w:r>
        <w:t xml:space="preserve"> </w:t>
      </w:r>
      <w:r>
        <w:rPr>
          <w:rFonts w:hint="eastAsia"/>
        </w:rPr>
        <w:t>约为33.7-34.9</w:t>
      </w:r>
      <w:r>
        <w:t xml:space="preserve"> </w:t>
      </w:r>
      <w:r>
        <w:rPr>
          <w:rFonts w:hint="eastAsia"/>
        </w:rPr>
        <w:t>GHz;等离子体层厚度</w:t>
      </w:r>
      <w:r>
        <w:t xml:space="preserve"> </w:t>
      </w:r>
      <m:oMath>
        <m:r>
          <m:rPr/>
          <m:t>d</m:t>
        </m:r>
      </m:oMath>
      <w:r>
        <w:t xml:space="preserve"> </w:t>
      </w:r>
      <w:r>
        <w:rPr>
          <w:rFonts w:hint="eastAsia"/>
        </w:rPr>
        <w:t>在</w:t>
      </w:r>
      <w:r>
        <w:t xml:space="preserve"> </w:t>
      </w:r>
      <m:oMath>
        <m:r>
          <m:rPr>
            <m:sty m:val="p"/>
          </m:rPr>
          <m:t>[</m:t>
        </m:r>
        <m:r>
          <m:rPr/>
          <m:t>0.20</m:t>
        </m:r>
        <m:r>
          <m:rPr>
            <m:sty m:val="p"/>
          </m:rPr>
          <m:t>,</m:t>
        </m:r>
        <m:r>
          <m:rPr/>
          <m:t>0.30</m:t>
        </m:r>
        <m:r>
          <m:rPr>
            <m:sty m:val="p"/>
          </m:rPr>
          <m:t>]</m:t>
        </m:r>
        <m:r>
          <m:rPr/>
          <m:t> </m:t>
        </m:r>
        <m:r>
          <m:rPr>
            <m:nor/>
            <m:sty m:val="p"/>
          </m:rPr>
          <w:rPr>
            <w:b w:val="0"/>
            <w:i w:val="0"/>
          </w:rPr>
          <m:t>m</m:t>
        </m:r>
      </m:oMath>
      <w:r>
        <w:t xml:space="preserve"> </w:t>
      </w:r>
      <w:r>
        <w:rPr>
          <w:rFonts w:hint="eastAsia"/>
        </w:rPr>
        <w:t>范围内均匀取20个值,共计生成</w:t>
      </w:r>
      <w:r>
        <w:t xml:space="preserve"> </w:t>
      </w:r>
      <m:oMath>
        <m:r>
          <m:rPr/>
          <m:t>10</m:t>
        </m:r>
        <m:r>
          <m:rPr>
            <m:sty m:val="p"/>
          </m:rPr>
          <m:t>×</m:t>
        </m:r>
        <m:r>
          <m:rPr/>
          <m:t>20</m:t>
        </m:r>
        <m:r>
          <m:rPr>
            <m:sty m:val="p"/>
          </m:rPr>
          <m:t>=</m:t>
        </m:r>
        <m:r>
          <m:rPr/>
          <m:t>200</m:t>
        </m:r>
      </m:oMath>
      <w:r>
        <w:t xml:space="preserve"> </w:t>
      </w:r>
      <w:r>
        <w:rPr>
          <w:rFonts w:hint="eastAsia"/>
        </w:rPr>
        <w:t>条群时延曲线。每条曲线由Drude模型计算得到</w:t>
      </w:r>
    </w:p>
    <w:p w14:paraId="06ECF173">
      <m:oMathPara>
        <m:oMathParaPr>
          <m:jc m:val="center"/>
        </m:oMathParaPr>
        <m:oMath>
          <m:r>
            <m:rPr>
              <m:sty m:val="p"/>
            </m:rPr>
            <m:t>Δ</m:t>
          </m:r>
          <m:sSub>
            <m:sSubPr/>
            <m:e>
              <m:r>
                <m:rPr/>
                <m:t>τ</m:t>
              </m:r>
            </m:e>
            <m:sub>
              <m:r>
                <m:rPr/>
                <m:t>g</m:t>
              </m:r>
            </m:sub>
          </m:sSub>
          <m:r>
            <m:rPr>
              <m:sty m:val="p"/>
            </m:rPr>
            <m:t>(</m:t>
          </m:r>
          <m:r>
            <m:rPr/>
            <m:t>f</m:t>
          </m:r>
          <m:r>
            <m:rPr>
              <m:sty m:val="p"/>
            </m:rPr>
            <m:t>)=</m:t>
          </m:r>
          <m:f>
            <m:fPr/>
            <m:num>
              <m:r>
                <m:rPr/>
                <m:t>d</m:t>
              </m:r>
            </m:num>
            <m:den>
              <m:r>
                <m:rPr/>
                <m:t>c</m:t>
              </m:r>
            </m:den>
          </m:f>
          <m:d>
            <m:dPr>
              <m:begChr m:val="["/>
              <m:sepChr m:val=""/>
              <m:endChr m:val="]"/>
            </m:dPr>
            <m:e>
              <m:f>
                <m:fPr/>
                <m:num>
                  <m:r>
                    <m:rPr/>
                    <m:t>1</m:t>
                  </m:r>
                </m:num>
                <m:den>
                  <m:rad>
                    <m:radPr>
                      <m:degHide m:val="1"/>
                    </m:radPr>
                    <m:deg/>
                    <m:e>
                      <m:r>
                        <m:rPr/>
                        <m:t>1</m:t>
                      </m:r>
                      <m:r>
                        <m:rPr>
                          <m:sty m:val="p"/>
                        </m:rPr>
                        <m:t>−(</m:t>
                      </m:r>
                      <m:sSub>
                        <m:sSubPr/>
                        <m:e>
                          <m:r>
                            <m:rPr/>
                            <m:t>f</m:t>
                          </m:r>
                        </m:e>
                        <m:sub>
                          <m:r>
                            <m:rPr/>
                            <m:t>p</m:t>
                          </m:r>
                        </m:sub>
                      </m:sSub>
                      <m:r>
                        <m:rPr>
                          <m:sty m:val="p"/>
                        </m:rPr>
                        <m:t>/</m:t>
                      </m:r>
                      <m:r>
                        <m:rPr/>
                        <m:t>f</m:t>
                      </m:r>
                      <m:sSup>
                        <m:sSupPr/>
                        <m:e>
                          <m:r>
                            <m:rPr>
                              <m:sty m:val="p"/>
                            </m:rPr>
                            <m:t>)</m:t>
                          </m:r>
                        </m:e>
                        <m:sup>
                          <m:r>
                            <m:rPr/>
                            <m:t>2</m:t>
                          </m:r>
                        </m:sup>
                      </m:sSup>
                    </m:e>
                  </m:rad>
                </m:den>
              </m:f>
              <m:r>
                <m:rPr>
                  <m:sty m:val="p"/>
                </m:rPr>
                <m:t>−</m:t>
              </m:r>
              <m:r>
                <m:rPr/>
                <m:t>1</m:t>
              </m:r>
            </m:e>
          </m:d>
        </m:oMath>
      </m:oMathPara>
    </w:p>
    <w:p w14:paraId="3CC5CA40">
      <w:pPr>
        <w:rPr>
          <w:rFonts w:hint="eastAsia"/>
        </w:rPr>
      </w:pPr>
    </w:p>
    <w:p w14:paraId="5DCE7613">
      <w:pPr>
        <w:ind w:left="0" w:leftChars="0" w:firstLine="0" w:firstLineChars="0"/>
      </w:pPr>
      <w:r>
        <w:rPr>
          <w:rFonts w:hint="eastAsia"/>
        </w:rPr>
        <w:t>其中相对群时延</w:t>
      </w:r>
      <w:r>
        <w:t xml:space="preserve"> </w:t>
      </w:r>
      <m:oMath>
        <m:r>
          <m:rPr>
            <m:sty m:val="p"/>
          </m:rPr>
          <m:t>Δ</m:t>
        </m:r>
        <m:sSub>
          <m:sSubPr/>
          <m:e>
            <m:r>
              <m:rPr/>
              <m:t>τ</m:t>
            </m:r>
          </m:e>
          <m:sub>
            <m:r>
              <m:rPr/>
              <m:t>g</m:t>
            </m:r>
          </m:sub>
        </m:sSub>
      </m:oMath>
      <w:r>
        <w:t xml:space="preserve"> </w:t>
      </w:r>
      <w:r>
        <w:rPr>
          <w:rFonts w:hint="eastAsia"/>
        </w:rPr>
        <w:t>表示相对于真空传播时延的额外延迟。</w:t>
      </w:r>
    </w:p>
    <w:p w14:paraId="0FCC0E16">
      <w:pPr>
        <w:spacing w:line="240" w:lineRule="auto"/>
        <w:ind w:firstLine="480"/>
        <w:jc w:val="center"/>
        <w:rPr>
          <w:rFonts w:hint="eastAsia" w:ascii="宋体" w:hAnsi="宋体" w:eastAsia="宋体"/>
          <w:szCs w:val="24"/>
          <w:lang w:eastAsia="zh-CN"/>
        </w:rPr>
      </w:pPr>
      <w:r>
        <w:rPr>
          <w:rFonts w:hint="eastAsia" w:ascii="宋体" w:hAnsi="宋体" w:eastAsia="宋体"/>
          <w:szCs w:val="24"/>
          <w:lang w:eastAsia="zh-CN"/>
        </w:rPr>
        <w:drawing>
          <wp:inline distT="0" distB="0" distL="114300" distR="114300">
            <wp:extent cx="4963795" cy="2853690"/>
            <wp:effectExtent l="0" t="0" r="4445" b="11430"/>
            <wp:docPr id="16" name="图片 16" descr="fig_2_2_dispersion_comparison_layout_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ig_2_2_dispersion_comparison_layout_fixed"/>
                    <pic:cNvPicPr>
                      <a:picLocks noChangeAspect="1"/>
                    </pic:cNvPicPr>
                  </pic:nvPicPr>
                  <pic:blipFill>
                    <a:blip r:embed="rId23"/>
                    <a:stretch>
                      <a:fillRect/>
                    </a:stretch>
                  </pic:blipFill>
                  <pic:spPr>
                    <a:xfrm>
                      <a:off x="0" y="0"/>
                      <a:ext cx="4963795" cy="2853690"/>
                    </a:xfrm>
                    <a:prstGeom prst="rect">
                      <a:avLst/>
                    </a:prstGeom>
                  </pic:spPr>
                </pic:pic>
              </a:graphicData>
            </a:graphic>
          </wp:inline>
        </w:drawing>
      </w:r>
    </w:p>
    <w:p w14:paraId="08557C90">
      <w:r>
        <w:rPr>
          <w:rFonts w:hint="eastAsia"/>
        </w:rPr>
        <w:t xml:space="preserve"> </w:t>
      </w:r>
    </w:p>
    <w:p w14:paraId="2F77BB3A">
      <w:pPr>
        <w:pStyle w:val="43"/>
        <w:bidi w:val="0"/>
      </w:pPr>
      <w:r>
        <w:t xml:space="preserve"> </w:t>
      </w:r>
      <w:r>
        <w:rPr>
          <w:rFonts w:hint="eastAsia"/>
        </w:rPr>
        <w:t>固定碰撞频率条件下不同电子密度的相对群时延曲线（CST</w:t>
      </w:r>
      <w:r>
        <w:t xml:space="preserve"> </w:t>
      </w:r>
      <w:r>
        <w:rPr>
          <w:rFonts w:hint="eastAsia"/>
        </w:rPr>
        <w:t>全波仿真）</w:t>
      </w:r>
    </w:p>
    <w:p w14:paraId="4E8879AC"/>
    <w:p w14:paraId="7625AF54">
      <w:r>
        <w:rPr>
          <w:rFonts w:hint="eastAsia"/>
        </w:rPr>
        <w:t>图</w:t>
      </w:r>
      <w:r>
        <w:t xml:space="preserve"> 3-8 </w:t>
      </w:r>
      <w:r>
        <w:rPr>
          <w:rFonts w:hint="eastAsia"/>
        </w:rPr>
        <w:t>不同参数组合下群时延曲线的相交现象</w:t>
      </w:r>
    </w:p>
    <w:p w14:paraId="62FE37CA">
      <w:r>
        <w:rPr>
          <w:rFonts w:hint="eastAsia"/>
        </w:rPr>
        <w:t>仿真结果如图3-8所示,图中灰色曲线代表200组不同</w:t>
      </w:r>
      <w:r>
        <w:t xml:space="preserve"> </w:t>
      </w:r>
      <m:oMath>
        <m:r>
          <m:rPr>
            <m:sty m:val="p"/>
          </m:rPr>
          <m:t>(</m:t>
        </m:r>
        <m:sSub>
          <m:sSubPr/>
          <m:e>
            <m:r>
              <m:rPr/>
              <m:t>n</m:t>
            </m:r>
          </m:e>
          <m:sub>
            <m:r>
              <m:rPr/>
              <m:t>e</m:t>
            </m:r>
          </m:sub>
        </m:sSub>
        <m:r>
          <m:rPr>
            <m:sty m:val="p"/>
          </m:rPr>
          <m:t>,</m:t>
        </m:r>
        <m:r>
          <m:rPr/>
          <m:t>d</m:t>
        </m:r>
        <m:r>
          <m:rPr>
            <m:sty m:val="p"/>
          </m:rPr>
          <m:t>)</m:t>
        </m:r>
      </m:oMath>
      <w:r>
        <w:t xml:space="preserve"> </w:t>
      </w:r>
      <w:r>
        <w:rPr>
          <w:rFonts w:hint="eastAsia"/>
        </w:rPr>
        <w:t>参数组合生成的群时延曲线,红色圆点标记了物理有效的曲线交点。交点的筛选遵循两个准则:一是交点频率必须高于两条曲线中较大的截止频率,确保交点处于可传播频段;二是两组参数的差异度均超过5%,排除参数近似相等导致的无效交点。仿真结果显示,在可传播频段内存在大量物理有效交点,它们密集分布在35.5-37</w:t>
      </w:r>
      <w:r>
        <w:t xml:space="preserve"> </w:t>
      </w:r>
      <w:r>
        <w:rPr>
          <w:rFonts w:hint="eastAsia"/>
        </w:rPr>
        <w:t>GHz的频率区间,对应的时延值约在1.0-2.0</w:t>
      </w:r>
      <w:r>
        <w:t xml:space="preserve"> </w:t>
      </w:r>
      <w:r>
        <w:rPr>
          <w:rFonts w:hint="eastAsia"/>
        </w:rPr>
        <w:t>ns范围内。</w:t>
      </w:r>
    </w:p>
    <w:p w14:paraId="2EFE72A3">
      <w:r>
        <w:rPr>
          <w:rFonts w:hint="eastAsia"/>
        </w:rPr>
        <w:t>图3-8表明,在可传播频段内确实存在多组</w:t>
      </w:r>
      <w:r>
        <w:t xml:space="preserve"> </w:t>
      </w:r>
      <m:oMath>
        <m:r>
          <m:rPr>
            <m:sty m:val="p"/>
          </m:rPr>
          <m:t>(</m:t>
        </m:r>
        <m:sSub>
          <m:sSubPr/>
          <m:e>
            <m:r>
              <m:rPr/>
              <m:t>n</m:t>
            </m:r>
          </m:e>
          <m:sub>
            <m:r>
              <m:rPr/>
              <m:t>e</m:t>
            </m:r>
          </m:sub>
        </m:sSub>
        <m:r>
          <m:rPr>
            <m:sty m:val="p"/>
          </m:rPr>
          <m:t>,</m:t>
        </m:r>
        <m:r>
          <m:rPr/>
          <m:t>d</m:t>
        </m:r>
        <m:r>
          <m:rPr>
            <m:sty m:val="p"/>
          </m:rPr>
          <m:t>)</m:t>
        </m:r>
      </m:oMath>
      <w:r>
        <w:t xml:space="preserve"> </w:t>
      </w:r>
      <w:r>
        <w:rPr>
          <w:rFonts w:hint="eastAsia"/>
        </w:rPr>
        <w:t>组合在孤立频点产生相同的相对群时延值。其原因在于式(3-12)中</w:t>
      </w:r>
      <m:oMath>
        <m:r>
          <m:rPr/>
          <m:t>d</m:t>
        </m:r>
      </m:oMath>
      <w:r>
        <w:rPr>
          <w:rFonts w:hint="eastAsia"/>
        </w:rPr>
        <w:t>主要以线性尺度因子影响曲线高度,而</w:t>
      </w:r>
      <m:oMath>
        <m:sSub>
          <m:sSubPr/>
          <m:e>
            <m:r>
              <m:rPr/>
              <m:t>n</m:t>
            </m:r>
          </m:e>
          <m:sub>
            <m:r>
              <m:rPr/>
              <m:t>e</m:t>
            </m:r>
          </m:sub>
        </m:sSub>
      </m:oMath>
      <w:r>
        <w:rPr>
          <w:rFonts w:hint="eastAsia"/>
        </w:rPr>
        <w:t>通过</w:t>
      </w:r>
      <m:oMath>
        <m:sSub>
          <m:sSubPr/>
          <m:e>
            <m:r>
              <m:rPr/>
              <m:t>f</m:t>
            </m:r>
          </m:e>
          <m:sub>
            <m:r>
              <m:rPr/>
              <m:t>p</m:t>
            </m:r>
          </m:sub>
        </m:sSub>
      </m:oMath>
      <w:r>
        <w:rPr>
          <w:rFonts w:hint="eastAsia"/>
        </w:rPr>
        <w:t>主导曲线弯曲程度;因此,增大</w:t>
      </w:r>
      <m:oMath>
        <m:sSub>
          <m:sSubPr/>
          <m:e>
            <m:r>
              <m:rPr/>
              <m:t>n</m:t>
            </m:r>
          </m:e>
          <m:sub>
            <m:r>
              <m:rPr/>
              <m:t>e</m:t>
            </m:r>
          </m:sub>
        </m:sSub>
      </m:oMath>
      <w:r>
        <w:rPr>
          <w:rFonts w:hint="eastAsia"/>
        </w:rPr>
        <w:t>带来的时延增量在某些频点上可以被减小</w:t>
      </w:r>
      <m:oMath>
        <m:r>
          <m:rPr/>
          <m:t>d</m:t>
        </m:r>
      </m:oMath>
      <w:r>
        <w:rPr>
          <w:rFonts w:hint="eastAsia"/>
        </w:rPr>
        <w:t>部分抵消。于是,若雷达系统仅依赖单个频点上的时延值,则观测约束会呈现局部欠定,这正是单点测量不适合强色散诊断的根本原因。</w:t>
      </w:r>
    </w:p>
    <w:p w14:paraId="4323F26B">
      <w:r>
        <w:rPr>
          <w:rFonts w:hint="eastAsia"/>
        </w:rPr>
        <w:t>单点相交并不意味着全频段曲线一致。跨频段观察时,</w:t>
      </w:r>
      <m:oMath>
        <m:sSub>
          <m:sSubPr/>
          <m:e>
            <m:r>
              <m:rPr/>
              <m:t>n</m:t>
            </m:r>
          </m:e>
          <m:sub>
            <m:r>
              <m:rPr/>
              <m:t>e</m:t>
            </m:r>
          </m:sub>
        </m:sSub>
      </m:oMath>
      <w:r>
        <w:rPr>
          <w:rFonts w:hint="eastAsia"/>
        </w:rPr>
        <w:t>改变的是曲线形状,</w:t>
      </w:r>
      <m:oMath>
        <m:r>
          <m:rPr/>
          <m:t>d</m:t>
        </m:r>
      </m:oMath>
      <w:r>
        <w:rPr>
          <w:rFonts w:hint="eastAsia"/>
        </w:rPr>
        <w:t>改变的是整体尺度,两条曲线即使在某一频点相交,其斜率和曲率通常仍不同。宽带LFMCW提供的并非单个时延值，而是一组跨频段的曲线形状信息，因此后续诊断应更多依赖整体轨迹特征而非孤立频点读数。本文并不将</w:t>
      </w:r>
      <m:oMath>
        <m:r>
          <m:rPr>
            <m:sty m:val="p"/>
          </m:rPr>
          <m:t>(</m:t>
        </m:r>
        <m:sSub>
          <m:sSubPr/>
          <m:e>
            <m:r>
              <m:rPr/>
              <m:t>n</m:t>
            </m:r>
          </m:e>
          <m:sub>
            <m:r>
              <m:rPr/>
              <m:t>e</m:t>
            </m:r>
          </m:sub>
        </m:sSub>
        <m:r>
          <m:rPr>
            <m:sty m:val="p"/>
          </m:rPr>
          <m:t>,</m:t>
        </m:r>
        <m:r>
          <m:rPr/>
          <m:t>d</m:t>
        </m:r>
        <m:r>
          <m:rPr>
            <m:sty m:val="p"/>
          </m:rPr>
          <m:t>)</m:t>
        </m:r>
      </m:oMath>
      <w:r>
        <w:rPr>
          <w:rFonts w:hint="eastAsia"/>
        </w:rPr>
        <w:t>联合作为后续反演目标,本段只用于说明单点观测不足,从而为第四章在已知</w:t>
      </w:r>
      <w:r>
        <w:t xml:space="preserve"> </w:t>
      </w:r>
      <m:oMath>
        <m:r>
          <m:rPr/>
          <m:t>d</m:t>
        </m:r>
      </m:oMath>
      <w:r>
        <w:rPr>
          <w:rFonts w:hint="eastAsia"/>
        </w:rPr>
        <w:t>、固定</w:t>
      </w:r>
      <w:r>
        <w:t xml:space="preserve"> </w:t>
      </w:r>
      <m:oMath>
        <m:sSub>
          <m:sSubPr/>
          <m:e>
            <m:r>
              <m:rPr/>
              <m:t>ν</m:t>
            </m:r>
          </m:e>
          <m:sub>
            <m:r>
              <m:rPr/>
              <m:t>e</m:t>
            </m:r>
          </m:sub>
        </m:sSub>
      </m:oMath>
      <w:r>
        <w:t xml:space="preserve"> </w:t>
      </w:r>
      <w:r>
        <w:rPr>
          <w:rFonts w:hint="eastAsia"/>
        </w:rPr>
        <w:t>条件下开展电子密度反演提供动机。</w:t>
      </w:r>
    </w:p>
    <w:bookmarkEnd w:id="45"/>
    <w:bookmarkEnd w:id="47"/>
    <w:p w14:paraId="146E517E">
      <w:pPr>
        <w:pStyle w:val="3"/>
      </w:pPr>
      <w:bookmarkStart w:id="48" w:name="色散效应对差频信号的调制机理与误差解析"/>
      <w:r>
        <w:rPr>
          <w:rFonts w:hint="eastAsia"/>
        </w:rPr>
        <w:t>色散效应对差频信号的调制机理与误差解析</w:t>
      </w:r>
    </w:p>
    <w:p w14:paraId="23CED1AB">
      <w:r>
        <w:rPr>
          <w:rFonts w:hint="eastAsia"/>
        </w:rPr>
        <w:t>3.2节建立了色散信道的物理模型,揭示了群时延随频率的非线性演化规律;3.3节通过MATLAB理论曲线与CST全波结果的趋势对比,展示了近截止区群时延急剧增大以及参数映射非唯一性的现象。然而,这些分析均基于静态的频率与时延关系,尚未回答一个核心问题:在LFMCW雷达的动态扫频工作模式下,色散效应如何具体影响差频信号的波形与频谱?传统LFMCW差频解析理论假设群时延为常数,此时差频信号为单频正弦波,FFT可准确反算传播时延并进一步驱动电子密度反演。但在色散介质中,式(3-13)已揭示群时延</w:t>
      </w:r>
      <m:oMath>
        <m:sSub>
          <m:sSubPr/>
          <m:e>
            <m:r>
              <m:rPr/>
              <m:t>τ</m:t>
            </m:r>
          </m:e>
          <m:sub>
            <m:r>
              <m:rPr/>
              <m:t>g</m:t>
            </m:r>
          </m:sub>
        </m:sSub>
        <m:r>
          <m:rPr>
            <m:sty m:val="p"/>
          </m:rPr>
          <m:t>(</m:t>
        </m:r>
        <m:r>
          <m:rPr/>
          <m:t>t</m:t>
        </m:r>
        <m:r>
          <m:rPr>
            <m:sty m:val="p"/>
          </m:rPr>
          <m:t>)</m:t>
        </m:r>
      </m:oMath>
      <w:r>
        <w:rPr>
          <w:rFonts w:hint="eastAsia"/>
        </w:rPr>
        <w:t>是时变函数,这必然导致差频信号相位的非线性畸变,进而引发频谱特征的根本性变化。本节将基于局部泰勒级数展开,推导色散条件下差频信号的时域与频域表达式,定量分析二阶色散导致的频谱散焦效应及其与系统带宽的耦合机制,为理解传统方法的失效机理以及后续特征提取思路提供理论依据。</w:t>
      </w:r>
    </w:p>
    <w:p w14:paraId="439E54EF">
      <w:pPr>
        <w:pStyle w:val="4"/>
      </w:pPr>
      <w:bookmarkStart w:id="49" w:name="群时延的二阶泰勒级数展开与时变时延模型"/>
      <w:r>
        <w:rPr>
          <w:rFonts w:hint="eastAsia"/>
        </w:rPr>
        <w:t>群时延的二阶泰勒级数展开与时变时延模型</w:t>
      </w:r>
    </w:p>
    <w:p w14:paraId="7D418895">
      <w:r>
        <w:rPr>
          <w:rFonts w:hint="eastAsia"/>
        </w:rPr>
        <w:t>为建立色散条件下差频信号的解析表达式,首先需将时变群时延</w:t>
      </w:r>
      <m:oMath>
        <m:r>
          <m:rPr/>
          <m:t>τ</m:t>
        </m:r>
        <m:r>
          <m:rPr>
            <m:sty m:val="p"/>
          </m:rPr>
          <m:t>(</m:t>
        </m:r>
        <m:r>
          <m:rPr/>
          <m:t>ω</m:t>
        </m:r>
        <m:r>
          <m:rPr>
            <m:sty m:val="p"/>
          </m:rPr>
          <m:t>)</m:t>
        </m:r>
      </m:oMath>
      <w:r>
        <w:rPr>
          <w:rFonts w:hint="eastAsia"/>
        </w:rPr>
        <w:t>在角频率轴上展开。LFMCW发射信号的瞬时角频率</w:t>
      </w:r>
      <m:oMath>
        <m:r>
          <m:rPr/>
          <m:t>ω</m:t>
        </m:r>
        <m:r>
          <m:rPr>
            <m:sty m:val="p"/>
          </m:rPr>
          <m:t>(</m:t>
        </m:r>
        <m:r>
          <m:rPr/>
          <m:t>t</m:t>
        </m:r>
        <m:r>
          <m:rPr>
            <m:sty m:val="p"/>
          </m:rPr>
          <m:t>)</m:t>
        </m:r>
      </m:oMath>
      <w:r>
        <w:rPr>
          <w:rFonts w:hint="eastAsia"/>
        </w:rPr>
        <w:t>随时间线性变化:</w:t>
      </w:r>
      <m:oMath>
        <m:r>
          <m:rPr/>
          <m:t>ω</m:t>
        </m:r>
        <m:r>
          <m:rPr>
            <m:sty m:val="p"/>
          </m:rPr>
          <m:t>(</m:t>
        </m:r>
        <m:r>
          <m:rPr/>
          <m:t>t</m:t>
        </m:r>
        <m:r>
          <m:rPr>
            <m:sty m:val="p"/>
          </m:rPr>
          <m:t>)=</m:t>
        </m:r>
        <m:sSub>
          <m:sSubPr/>
          <m:e>
            <m:r>
              <m:rPr/>
              <m:t>ω</m:t>
            </m:r>
          </m:e>
          <m:sub>
            <m:r>
              <m:rPr/>
              <m:t>0</m:t>
            </m:r>
          </m:sub>
        </m:sSub>
        <m:r>
          <m:rPr>
            <m:sty m:val="p"/>
          </m:rPr>
          <m:t>+</m:t>
        </m:r>
        <m:sSup>
          <m:sSupPr/>
          <m:e>
            <m:r>
              <m:rPr/>
              <m:t>K</m:t>
            </m:r>
          </m:e>
          <m:sup>
            <m:r>
              <m:rPr>
                <m:sty m:val="p"/>
              </m:rPr>
              <m:t>′</m:t>
            </m:r>
          </m:sup>
        </m:sSup>
        <m:r>
          <m:rPr/>
          <m:t>t</m:t>
        </m:r>
      </m:oMath>
      <w:r>
        <w:rPr>
          <w:rFonts w:hint="eastAsia"/>
        </w:rPr>
        <w:t>,其中</w:t>
      </w:r>
      <m:oMath>
        <m:sSub>
          <m:sSubPr/>
          <m:e>
            <m:r>
              <m:rPr/>
              <m:t>ω</m:t>
            </m:r>
          </m:e>
          <m:sub>
            <m:r>
              <m:rPr/>
              <m:t>0</m:t>
            </m:r>
          </m:sub>
        </m:sSub>
        <m:r>
          <m:rPr>
            <m:sty m:val="p"/>
          </m:rPr>
          <m:t>=</m:t>
        </m:r>
        <m:r>
          <m:rPr/>
          <m:t>2π</m:t>
        </m:r>
        <m:sSub>
          <m:sSubPr/>
          <m:e>
            <m:r>
              <m:rPr/>
              <m:t>f</m:t>
            </m:r>
          </m:e>
          <m:sub>
            <m:r>
              <m:rPr/>
              <m:t>0</m:t>
            </m:r>
          </m:sub>
        </m:sSub>
      </m:oMath>
      <w:r>
        <w:rPr>
          <w:rFonts w:hint="eastAsia"/>
        </w:rPr>
        <w:t>为起始角频率,</w:t>
      </w:r>
      <m:oMath>
        <m:sSup>
          <m:sSupPr/>
          <m:e>
            <m:r>
              <m:rPr/>
              <m:t>K</m:t>
            </m:r>
          </m:e>
          <m:sup>
            <m:r>
              <m:rPr>
                <m:sty m:val="p"/>
              </m:rPr>
              <m:t>′</m:t>
            </m:r>
          </m:sup>
        </m:sSup>
        <m:r>
          <m:rPr>
            <m:sty m:val="p"/>
          </m:rPr>
          <m:t>=</m:t>
        </m:r>
        <m:r>
          <m:rPr/>
          <m:t>2πB</m:t>
        </m:r>
        <m:r>
          <m:rPr>
            <m:sty m:val="p"/>
          </m:rPr>
          <m:t>/</m:t>
        </m:r>
        <m:sSub>
          <m:sSubPr/>
          <m:e>
            <m:r>
              <m:rPr/>
              <m:t>T</m:t>
            </m:r>
          </m:e>
          <m:sub>
            <m:r>
              <m:rPr/>
              <m:t>m</m:t>
            </m:r>
          </m:sub>
        </m:sSub>
      </m:oMath>
      <w:r>
        <w:rPr>
          <w:rFonts w:hint="eastAsia"/>
        </w:rPr>
        <w:t>为角频率调制斜率,</w:t>
      </w:r>
      <m:oMath>
        <m:r>
          <m:rPr/>
          <m:t>B</m:t>
        </m:r>
      </m:oMath>
      <w:r>
        <w:rPr>
          <w:rFonts w:hint="eastAsia"/>
        </w:rPr>
        <w:t>为带宽,</w:t>
      </w:r>
      <m:oMath>
        <m:sSub>
          <m:sSubPr/>
          <m:e>
            <m:r>
              <m:rPr/>
              <m:t>T</m:t>
            </m:r>
          </m:e>
          <m:sub>
            <m:r>
              <m:rPr/>
              <m:t>m</m:t>
            </m:r>
          </m:sub>
        </m:sSub>
      </m:oMath>
      <w:r>
        <w:rPr>
          <w:rFonts w:hint="eastAsia"/>
        </w:rPr>
        <w:t>为扫频周期。</w:t>
      </w:r>
    </w:p>
    <w:p w14:paraId="66DEC5C3">
      <w:r>
        <w:rPr>
          <w:rFonts w:hint="eastAsia"/>
        </w:rPr>
        <w:t>在等离子体介质中传播时,电磁波的群时延</w:t>
      </w:r>
      <m:oMath>
        <m:r>
          <m:rPr/>
          <m:t>τ</m:t>
        </m:r>
        <m:r>
          <m:rPr>
            <m:sty m:val="p"/>
          </m:rPr>
          <m:t>(</m:t>
        </m:r>
        <m:r>
          <m:rPr/>
          <m:t>ω</m:t>
        </m:r>
        <m:r>
          <m:rPr>
            <m:sty m:val="p"/>
          </m:rPr>
          <m:t>)</m:t>
        </m:r>
      </m:oMath>
      <w:r>
        <w:rPr>
          <w:rFonts w:hint="eastAsia"/>
        </w:rPr>
        <w:t>是角频率</w:t>
      </w:r>
      <m:oMath>
        <m:r>
          <m:rPr/>
          <m:t>ω</m:t>
        </m:r>
      </m:oMath>
      <w:r>
        <w:rPr>
          <w:rFonts w:hint="eastAsia"/>
        </w:rPr>
        <w:t>的函数。为避免与3.2节中真空基底时延</w:t>
      </w:r>
      <m:oMath>
        <m:sSub>
          <m:sSubPr/>
          <m:e>
            <m:r>
              <m:rPr/>
              <m:t>τ</m:t>
            </m:r>
          </m:e>
          <m:sub>
            <m:r>
              <m:rPr/>
              <m:t>0</m:t>
            </m:r>
          </m:sub>
        </m:sSub>
        <m:r>
          <m:rPr>
            <m:sty m:val="p"/>
          </m:rPr>
          <m:t>=</m:t>
        </m:r>
        <m:r>
          <m:rPr/>
          <m:t>d</m:t>
        </m:r>
        <m:r>
          <m:rPr>
            <m:sty m:val="p"/>
          </m:rPr>
          <m:t>/</m:t>
        </m:r>
        <m:r>
          <m:rPr/>
          <m:t>c</m:t>
        </m:r>
      </m:oMath>
      <w:r>
        <w:rPr>
          <w:rFonts w:hint="eastAsia"/>
        </w:rPr>
        <w:t>混淆,本文将扫频起始角频率</w:t>
      </w:r>
      <m:oMath>
        <m:sSub>
          <m:sSubPr/>
          <m:e>
            <m:r>
              <m:rPr/>
              <m:t>ω</m:t>
            </m:r>
          </m:e>
          <m:sub>
            <m:r>
              <m:rPr/>
              <m:t>0</m:t>
            </m:r>
          </m:sub>
        </m:sSub>
      </m:oMath>
      <w:r>
        <w:rPr>
          <w:rFonts w:hint="eastAsia"/>
        </w:rPr>
        <w:t>处的总群时延记为</w:t>
      </w:r>
      <m:oMath>
        <m:sSub>
          <m:sSubPr/>
          <m:e>
            <m:r>
              <m:rPr/>
              <m:t>τ</m:t>
            </m:r>
          </m:e>
          <m:sub>
            <m:r>
              <m:rPr/>
              <m:t>g</m:t>
            </m:r>
            <m:r>
              <m:rPr>
                <m:sty m:val="p"/>
              </m:rPr>
              <m:t>,</m:t>
            </m:r>
            <m:r>
              <m:rPr/>
              <m:t>0</m:t>
            </m:r>
          </m:sub>
        </m:sSub>
        <m:r>
          <m:rPr>
            <m:sty m:val="p"/>
          </m:rPr>
          <m:t>≜</m:t>
        </m:r>
        <m:r>
          <m:rPr/>
          <m:t>τ</m:t>
        </m:r>
        <m:r>
          <m:rPr>
            <m:sty m:val="p"/>
          </m:rPr>
          <m:t>(</m:t>
        </m:r>
        <m:sSub>
          <m:sSubPr/>
          <m:e>
            <m:r>
              <m:rPr/>
              <m:t>ω</m:t>
            </m:r>
          </m:e>
          <m:sub>
            <m:r>
              <m:rPr/>
              <m:t>0</m:t>
            </m:r>
          </m:sub>
        </m:sSub>
        <m:r>
          <m:rPr>
            <m:sty m:val="p"/>
          </m:rPr>
          <m:t>)</m:t>
        </m:r>
      </m:oMath>
      <w:r>
        <w:rPr>
          <w:rFonts w:hint="eastAsia"/>
        </w:rPr>
        <w:t>。在</w:t>
      </w:r>
      <m:oMath>
        <m:sSub>
          <m:sSubPr/>
          <m:e>
            <m:r>
              <m:rPr/>
              <m:t>ω</m:t>
            </m:r>
          </m:e>
          <m:sub>
            <m:r>
              <m:rPr/>
              <m:t>0</m:t>
            </m:r>
          </m:sub>
        </m:sSub>
      </m:oMath>
      <w:r>
        <w:rPr>
          <w:rFonts w:hint="eastAsia"/>
        </w:rPr>
        <w:t>附近对</w:t>
      </w:r>
      <m:oMath>
        <m:r>
          <m:rPr/>
          <m:t>τ</m:t>
        </m:r>
        <m:r>
          <m:rPr>
            <m:sty m:val="p"/>
          </m:rPr>
          <m:t>(</m:t>
        </m:r>
        <m:r>
          <m:rPr/>
          <m:t>ω</m:t>
        </m:r>
        <m:r>
          <m:rPr>
            <m:sty m:val="p"/>
          </m:rPr>
          <m:t>)</m:t>
        </m:r>
      </m:oMath>
      <w:r>
        <w:rPr>
          <w:rFonts w:hint="eastAsia"/>
        </w:rPr>
        <w:t>进行二阶泰勒级数展开:</w:t>
      </w:r>
    </w:p>
    <w:p w14:paraId="297603D2">
      <w:r>
        <w:t xml:space="preserve"> </w:t>
      </w:r>
    </w:p>
    <w:p w14:paraId="326F857C">
      <w:pPr>
        <w:pStyle w:val="44"/>
        <w:spacing w:before="0" w:after="0" w:line="400" w:lineRule="atLeast"/>
      </w:pPr>
      <w:r>
        <w:tab/>
      </w:r>
      <m:oMath>
        <m:r>
          <m:rPr/>
          <m:t>τ</m:t>
        </m:r>
        <m:r>
          <m:rPr>
            <m:sty m:val="p"/>
          </m:rPr>
          <m:t>(</m:t>
        </m:r>
        <m:r>
          <m:rPr/>
          <m:t>ω</m:t>
        </m:r>
        <m:r>
          <m:rPr>
            <m:sty m:val="p"/>
          </m:rPr>
          <m:t>)=</m:t>
        </m:r>
        <m:sSub>
          <m:sSubPr/>
          <m:e>
            <m:r>
              <m:rPr/>
              <m:t>τ</m:t>
            </m:r>
          </m:e>
          <m:sub>
            <m:r>
              <m:rPr/>
              <m:t>g</m:t>
            </m:r>
            <m:r>
              <m:rPr>
                <m:sty m:val="p"/>
              </m:rPr>
              <m:t>,</m:t>
            </m:r>
            <m:r>
              <m:rPr/>
              <m:t>0</m:t>
            </m:r>
          </m:sub>
        </m:sSub>
        <m:r>
          <m:rPr>
            <m:sty m:val="p"/>
          </m:rPr>
          <m:t>+</m:t>
        </m:r>
        <m:sSub>
          <m:sSubPr/>
          <m:e>
            <m:r>
              <m:rPr/>
              <m:t>τ</m:t>
            </m:r>
          </m:e>
          <m:sub>
            <m:r>
              <m:rPr/>
              <m:t>1</m:t>
            </m:r>
          </m:sub>
        </m:sSub>
        <m:r>
          <m:rPr>
            <m:sty m:val="p"/>
          </m:rPr>
          <m:t>[</m:t>
        </m:r>
        <m:r>
          <m:rPr/>
          <m:t>ω</m:t>
        </m:r>
        <m:r>
          <m:rPr>
            <m:sty m:val="p"/>
          </m:rPr>
          <m:t>−</m:t>
        </m:r>
        <m:sSub>
          <m:sSubPr/>
          <m:e>
            <m:r>
              <m:rPr/>
              <m:t>ω</m:t>
            </m:r>
          </m:e>
          <m:sub>
            <m:r>
              <m:rPr/>
              <m:t>0</m:t>
            </m:r>
          </m:sub>
        </m:sSub>
        <m:r>
          <m:rPr>
            <m:sty m:val="p"/>
          </m:rPr>
          <m:t>]+</m:t>
        </m:r>
        <m:f>
          <m:fPr/>
          <m:num>
            <m:r>
              <m:rPr/>
              <m:t>1</m:t>
            </m:r>
          </m:num>
          <m:den>
            <m:r>
              <m:rPr/>
              <m:t>2</m:t>
            </m:r>
          </m:den>
        </m:f>
        <m:sSub>
          <m:sSubPr/>
          <m:e>
            <m:r>
              <m:rPr/>
              <m:t>τ</m:t>
            </m:r>
          </m:e>
          <m:sub>
            <m:r>
              <m:rPr/>
              <m:t>2</m:t>
            </m:r>
          </m:sub>
        </m:sSub>
        <m:r>
          <m:rPr>
            <m:sty m:val="p"/>
          </m:rPr>
          <m:t>[</m:t>
        </m:r>
        <m:r>
          <m:rPr/>
          <m:t>ω</m:t>
        </m:r>
        <m:r>
          <m:rPr>
            <m:sty m:val="p"/>
          </m:rPr>
          <m:t>−</m:t>
        </m:r>
        <m:sSub>
          <m:sSubPr/>
          <m:e>
            <m:r>
              <m:rPr/>
              <m:t>ω</m:t>
            </m:r>
          </m:e>
          <m:sub>
            <m:r>
              <m:rPr/>
              <m:t>0</m:t>
            </m:r>
          </m:sub>
        </m:sSub>
        <m:sSup>
          <m:sSupPr/>
          <m:e>
            <m:r>
              <m:rPr>
                <m:sty m:val="p"/>
              </m:rPr>
              <m:t>]</m:t>
            </m:r>
          </m:e>
          <m:sup>
            <m:r>
              <m:rPr/>
              <m:t>2</m:t>
            </m:r>
          </m:sup>
        </m:sSup>
        <m:r>
          <m:rPr>
            <m:sty m:val="p"/>
          </m:rPr>
          <m:t>+⋯</m:t>
        </m:r>
      </m:oMath>
      <w:r>
        <w:tab/>
      </w:r>
      <w:r>
        <w:t>(3</w:t>
      </w:r>
      <w:r>
        <w:noBreakHyphen/>
      </w:r>
      <w:r>
        <w:t>17)</w:t>
      </w:r>
    </w:p>
    <w:p w14:paraId="710A919D">
      <w:r>
        <w:t xml:space="preserve"> </w:t>
      </w:r>
    </w:p>
    <w:p w14:paraId="53959236">
      <w:r>
        <w:rPr>
          <w:rFonts w:hint="eastAsia"/>
        </w:rPr>
        <w:t>其中,</w:t>
      </w:r>
      <m:oMath>
        <m:sSub>
          <m:sSubPr/>
          <m:e>
            <m:r>
              <m:rPr/>
              <m:t>τ</m:t>
            </m:r>
          </m:e>
          <m:sub>
            <m:r>
              <m:rPr/>
              <m:t>g</m:t>
            </m:r>
            <m:r>
              <m:rPr>
                <m:sty m:val="p"/>
              </m:rPr>
              <m:t>,</m:t>
            </m:r>
            <m:r>
              <m:rPr/>
              <m:t>0</m:t>
            </m:r>
          </m:sub>
        </m:sSub>
        <m:r>
          <m:rPr>
            <m:sty m:val="p"/>
          </m:rPr>
          <m:t>=</m:t>
        </m:r>
        <m:r>
          <m:rPr/>
          <m:t>τ</m:t>
        </m:r>
        <m:r>
          <m:rPr>
            <m:sty m:val="p"/>
          </m:rPr>
          <m:t>(</m:t>
        </m:r>
        <m:sSub>
          <m:sSubPr/>
          <m:e>
            <m:r>
              <m:rPr/>
              <m:t>ω</m:t>
            </m:r>
          </m:e>
          <m:sub>
            <m:r>
              <m:rPr/>
              <m:t>0</m:t>
            </m:r>
          </m:sub>
        </m:sSub>
        <m:r>
          <m:rPr>
            <m:sty m:val="p"/>
          </m:rPr>
          <m:t>)</m:t>
        </m:r>
      </m:oMath>
      <w:r>
        <w:rPr>
          <w:rFonts w:hint="eastAsia"/>
        </w:rPr>
        <w:t>为扫频起点处的总群时延,</w:t>
      </w:r>
      <m:oMath>
        <m:sSub>
          <m:sSubPr/>
          <m:e>
            <m:r>
              <m:rPr/>
              <m:t>τ</m:t>
            </m:r>
          </m:e>
          <m:sub>
            <m:r>
              <m:rPr/>
              <m:t>1</m:t>
            </m:r>
          </m:sub>
        </m:sSub>
        <m:r>
          <m:rPr>
            <m:sty m:val="p"/>
          </m:rPr>
          <m:t>=</m:t>
        </m:r>
        <m:r>
          <m:rPr/>
          <m:t>dτ</m:t>
        </m:r>
        <m:r>
          <m:rPr>
            <m:sty m:val="p"/>
          </m:rPr>
          <m:t>/</m:t>
        </m:r>
        <m:r>
          <m:rPr/>
          <m:t>dω</m:t>
        </m:r>
        <m:sSub>
          <m:sSubPr/>
          <m:e>
            <m:r>
              <m:rPr>
                <m:sty m:val="p"/>
              </m:rPr>
              <m:t>|</m:t>
            </m:r>
          </m:e>
          <m:sub>
            <m:r>
              <m:rPr/>
              <m:t>ω</m:t>
            </m:r>
            <m:r>
              <m:rPr>
                <m:sty m:val="p"/>
              </m:rPr>
              <m:t>=</m:t>
            </m:r>
            <m:sSub>
              <m:sSubPr/>
              <m:e>
                <m:r>
                  <m:rPr/>
                  <m:t>ω</m:t>
                </m:r>
              </m:e>
              <m:sub>
                <m:r>
                  <m:rPr/>
                  <m:t>0</m:t>
                </m:r>
              </m:sub>
            </m:sSub>
          </m:sub>
        </m:sSub>
      </m:oMath>
      <w:r>
        <w:rPr>
          <w:rFonts w:hint="eastAsia"/>
        </w:rPr>
        <w:t>为一阶导数,</w:t>
      </w:r>
      <m:oMath>
        <m:sSub>
          <m:sSubPr/>
          <m:e>
            <m:r>
              <m:rPr/>
              <m:t>τ</m:t>
            </m:r>
          </m:e>
          <m:sub>
            <m:r>
              <m:rPr/>
              <m:t>2</m:t>
            </m:r>
          </m:sub>
        </m:sSub>
        <m:r>
          <m:rPr>
            <m:sty m:val="p"/>
          </m:rPr>
          <m:t>=</m:t>
        </m:r>
        <m:sSup>
          <m:sSupPr/>
          <m:e>
            <m:r>
              <m:rPr/>
              <m:t>d</m:t>
            </m:r>
          </m:e>
          <m:sup>
            <m:r>
              <m:rPr/>
              <m:t>2</m:t>
            </m:r>
          </m:sup>
        </m:sSup>
        <m:r>
          <m:rPr/>
          <m:t>τ</m:t>
        </m:r>
        <m:r>
          <m:rPr>
            <m:sty m:val="p"/>
          </m:rPr>
          <m:t>/</m:t>
        </m:r>
        <m:r>
          <m:rPr/>
          <m:t>d</m:t>
        </m:r>
        <m:sSup>
          <m:sSupPr/>
          <m:e>
            <m:r>
              <m:rPr/>
              <m:t>ω</m:t>
            </m:r>
          </m:e>
          <m:sup>
            <m:r>
              <m:rPr/>
              <m:t>2</m:t>
            </m:r>
          </m:sup>
        </m:sSup>
        <m:sSub>
          <m:sSubPr/>
          <m:e>
            <m:r>
              <m:rPr>
                <m:sty m:val="p"/>
              </m:rPr>
              <m:t>|</m:t>
            </m:r>
          </m:e>
          <m:sub>
            <m:r>
              <m:rPr/>
              <m:t>ω</m:t>
            </m:r>
            <m:r>
              <m:rPr>
                <m:sty m:val="p"/>
              </m:rPr>
              <m:t>=</m:t>
            </m:r>
            <m:sSub>
              <m:sSubPr/>
              <m:e>
                <m:r>
                  <m:rPr/>
                  <m:t>ω</m:t>
                </m:r>
              </m:e>
              <m:sub>
                <m:r>
                  <m:rPr/>
                  <m:t>0</m:t>
                </m:r>
              </m:sub>
            </m:sSub>
          </m:sub>
        </m:sSub>
      </m:oMath>
      <w:r>
        <w:rPr>
          <w:rFonts w:hint="eastAsia"/>
        </w:rPr>
        <w:t>为二阶导数。该截断仅用于刻画展开点附近的局部主导机理,其成立前提是分析窗口内的频偏</w:t>
      </w:r>
      <m:oMath>
        <m:r>
          <m:rPr>
            <m:sty m:val="p"/>
          </m:rPr>
          <m:t>|</m:t>
        </m:r>
        <m:r>
          <m:rPr/>
          <m:t>ω</m:t>
        </m:r>
        <m:r>
          <m:rPr>
            <m:sty m:val="p"/>
          </m:rPr>
          <m:t>−</m:t>
        </m:r>
        <m:sSub>
          <m:sSubPr/>
          <m:e>
            <m:r>
              <m:rPr/>
              <m:t>ω</m:t>
            </m:r>
          </m:e>
          <m:sub>
            <m:r>
              <m:rPr/>
              <m:t>0</m:t>
            </m:r>
          </m:sub>
        </m:sSub>
        <m:r>
          <m:rPr>
            <m:sty m:val="p"/>
          </m:rPr>
          <m:t>|=|</m:t>
        </m:r>
        <m:sSup>
          <m:sSupPr/>
          <m:e>
            <m:r>
              <m:rPr/>
              <m:t>K</m:t>
            </m:r>
          </m:e>
          <m:sup>
            <m:r>
              <m:rPr>
                <m:sty m:val="p"/>
              </m:rPr>
              <m:t>′</m:t>
            </m:r>
          </m:sup>
        </m:sSup>
        <m:r>
          <m:rPr/>
          <m:t>t</m:t>
        </m:r>
        <m:r>
          <m:rPr>
            <m:sty m:val="p"/>
          </m:rPr>
          <m:t>|</m:t>
        </m:r>
      </m:oMath>
      <w:r>
        <w:rPr>
          <w:rFonts w:hint="eastAsia"/>
        </w:rPr>
        <w:t>足够小,且工作点与截止奇异点保持一定裕量。若将三阶余项写为</w:t>
      </w:r>
      <m:oMath>
        <m:sSub>
          <m:sSubPr/>
          <m:e>
            <m:r>
              <m:rPr/>
              <m:t>R</m:t>
            </m:r>
          </m:e>
          <m:sub>
            <m:r>
              <m:rPr/>
              <m:t>3</m:t>
            </m:r>
          </m:sub>
        </m:sSub>
        <m:r>
          <m:rPr>
            <m:sty m:val="p"/>
          </m:rPr>
          <m:t>(</m:t>
        </m:r>
        <m:r>
          <m:rPr/>
          <m:t>ω</m:t>
        </m:r>
        <m:r>
          <m:rPr>
            <m:sty m:val="p"/>
          </m:rPr>
          <m:t>)=</m:t>
        </m:r>
        <m:sSub>
          <m:sSubPr/>
          <m:e>
            <m:r>
              <m:rPr/>
              <m:t>τ</m:t>
            </m:r>
          </m:e>
          <m:sub>
            <m:r>
              <m:rPr/>
              <m:t>3</m:t>
            </m:r>
          </m:sub>
        </m:sSub>
        <m:r>
          <m:rPr>
            <m:sty m:val="p"/>
          </m:rPr>
          <m:t>(</m:t>
        </m:r>
        <m:r>
          <m:rPr/>
          <m:t>ξ</m:t>
        </m:r>
        <m:r>
          <m:rPr>
            <m:sty m:val="p"/>
          </m:rPr>
          <m:t>)(</m:t>
        </m:r>
        <m:r>
          <m:rPr/>
          <m:t>ω</m:t>
        </m:r>
        <m:r>
          <m:rPr>
            <m:sty m:val="p"/>
          </m:rPr>
          <m:t>−</m:t>
        </m:r>
        <m:sSub>
          <m:sSubPr/>
          <m:e>
            <m:r>
              <m:rPr/>
              <m:t>ω</m:t>
            </m:r>
          </m:e>
          <m:sub>
            <m:r>
              <m:rPr/>
              <m:t>0</m:t>
            </m:r>
          </m:sub>
        </m:sSub>
        <m:sSup>
          <m:sSupPr/>
          <m:e>
            <m:r>
              <m:rPr>
                <m:sty m:val="p"/>
              </m:rPr>
              <m:t>)</m:t>
            </m:r>
          </m:e>
          <m:sup>
            <m:r>
              <m:rPr/>
              <m:t>3</m:t>
            </m:r>
          </m:sup>
        </m:sSup>
        <m:r>
          <m:rPr>
            <m:sty m:val="p"/>
          </m:rPr>
          <m:t>/</m:t>
        </m:r>
        <m:r>
          <m:rPr/>
          <m:t>6</m:t>
        </m:r>
      </m:oMath>
      <w:r>
        <w:rPr>
          <w:rFonts w:hint="eastAsia"/>
        </w:rPr>
        <w:t>,则要求分析区间内满足</w:t>
      </w:r>
      <m:oMath>
        <m:r>
          <m:rPr>
            <m:sty m:val="p"/>
          </m:rPr>
          <m:t>|</m:t>
        </m:r>
        <m:sSub>
          <m:sSubPr/>
          <m:e>
            <m:r>
              <m:rPr/>
              <m:t>R</m:t>
            </m:r>
          </m:e>
          <m:sub>
            <m:r>
              <m:rPr/>
              <m:t>3</m:t>
            </m:r>
          </m:sub>
        </m:sSub>
        <m:r>
          <m:rPr>
            <m:sty m:val="p"/>
          </m:rPr>
          <m:t>(</m:t>
        </m:r>
        <m:r>
          <m:rPr/>
          <m:t>ω</m:t>
        </m:r>
        <m:r>
          <m:rPr>
            <m:sty m:val="p"/>
          </m:rPr>
          <m:t>)|≪|</m:t>
        </m:r>
        <m:sSub>
          <m:sSubPr/>
          <m:e>
            <m:r>
              <m:rPr/>
              <m:t>τ</m:t>
            </m:r>
          </m:e>
          <m:sub>
            <m:r>
              <m:rPr/>
              <m:t>2</m:t>
            </m:r>
          </m:sub>
        </m:sSub>
        <m:r>
          <m:rPr>
            <m:sty m:val="p"/>
          </m:rPr>
          <m:t>(</m:t>
        </m:r>
        <m:r>
          <m:rPr/>
          <m:t>ω</m:t>
        </m:r>
        <m:r>
          <m:rPr>
            <m:sty m:val="p"/>
          </m:rPr>
          <m:t>−</m:t>
        </m:r>
        <m:sSub>
          <m:sSubPr/>
          <m:e>
            <m:r>
              <m:rPr/>
              <m:t>ω</m:t>
            </m:r>
          </m:e>
          <m:sub>
            <m:r>
              <m:rPr/>
              <m:t>0</m:t>
            </m:r>
          </m:sub>
        </m:sSub>
        <m:sSup>
          <m:sSupPr/>
          <m:e>
            <m:r>
              <m:rPr>
                <m:sty m:val="p"/>
              </m:rPr>
              <m:t>)</m:t>
            </m:r>
          </m:e>
          <m:sup>
            <m:r>
              <m:rPr/>
              <m:t>2</m:t>
            </m:r>
          </m:sup>
        </m:sSup>
        <m:r>
          <m:rPr>
            <m:sty m:val="p"/>
          </m:rPr>
          <m:t>|/</m:t>
        </m:r>
        <m:r>
          <m:rPr/>
          <m:t>2</m:t>
        </m:r>
      </m:oMath>
      <w:r>
        <w:rPr>
          <w:rFonts w:hint="eastAsia"/>
        </w:rPr>
        <w:t>。若扫频带宽过大或工作区间进一步逼近截止频率,则该二阶模型只能视为局部近似,不能替代全频段精确描述。</w:t>
      </w:r>
    </w:p>
    <w:p w14:paraId="0DAEB6DF">
      <w:r>
        <w:rPr>
          <w:rFonts w:hint="eastAsia"/>
        </w:rPr>
        <w:t>将瞬时角频率</w:t>
      </w:r>
      <m:oMath>
        <m:r>
          <m:rPr/>
          <m:t>ω</m:t>
        </m:r>
        <m:r>
          <m:rPr>
            <m:sty m:val="p"/>
          </m:rPr>
          <m:t>(</m:t>
        </m:r>
        <m:r>
          <m:rPr/>
          <m:t>t</m:t>
        </m:r>
        <m:r>
          <m:rPr>
            <m:sty m:val="p"/>
          </m:rPr>
          <m:t>)=</m:t>
        </m:r>
        <m:sSub>
          <m:sSubPr/>
          <m:e>
            <m:r>
              <m:rPr/>
              <m:t>ω</m:t>
            </m:r>
          </m:e>
          <m:sub>
            <m:r>
              <m:rPr/>
              <m:t>0</m:t>
            </m:r>
          </m:sub>
        </m:sSub>
        <m:r>
          <m:rPr>
            <m:sty m:val="p"/>
          </m:rPr>
          <m:t>+</m:t>
        </m:r>
        <m:sSup>
          <m:sSupPr/>
          <m:e>
            <m:r>
              <m:rPr/>
              <m:t>K</m:t>
            </m:r>
          </m:e>
          <m:sup>
            <m:r>
              <m:rPr>
                <m:sty m:val="p"/>
              </m:rPr>
              <m:t>′</m:t>
            </m:r>
          </m:sup>
        </m:sSup>
        <m:r>
          <m:rPr/>
          <m:t>t</m:t>
        </m:r>
      </m:oMath>
      <w:r>
        <w:rPr>
          <w:rFonts w:hint="eastAsia"/>
        </w:rPr>
        <w:t>代入式(3-17),得到时延随时间的演化:</w:t>
      </w:r>
    </w:p>
    <w:p w14:paraId="20EACC33">
      <w:r>
        <w:t xml:space="preserve"> </w:t>
      </w:r>
    </w:p>
    <w:p w14:paraId="0D1E55B6">
      <w:pPr>
        <w:pStyle w:val="44"/>
        <w:spacing w:before="0" w:after="0" w:line="400" w:lineRule="atLeast"/>
      </w:pPr>
      <w:r>
        <w:tab/>
      </w:r>
      <m:oMath>
        <m:r>
          <m:rPr/>
          <m:t>τ</m:t>
        </m:r>
        <m:r>
          <m:rPr>
            <m:sty m:val="p"/>
          </m:rPr>
          <m:t>(</m:t>
        </m:r>
        <m:r>
          <m:rPr/>
          <m:t>t</m:t>
        </m:r>
        <m:r>
          <m:rPr>
            <m:sty m:val="p"/>
          </m:rPr>
          <m:t>)=</m:t>
        </m:r>
        <m:r>
          <m:rPr/>
          <m:t>τ</m:t>
        </m:r>
        <m:r>
          <m:rPr>
            <m:sty m:val="p"/>
          </m:rPr>
          <m:t>(</m:t>
        </m:r>
        <m:r>
          <m:rPr/>
          <m:t>ω</m:t>
        </m:r>
        <m:r>
          <m:rPr>
            <m:sty m:val="p"/>
          </m:rPr>
          <m:t>(</m:t>
        </m:r>
        <m:r>
          <m:rPr/>
          <m:t>t</m:t>
        </m:r>
        <m:r>
          <m:rPr>
            <m:sty m:val="p"/>
          </m:rPr>
          <m:t>))=</m:t>
        </m:r>
        <m:sSub>
          <m:sSubPr/>
          <m:e>
            <m:r>
              <m:rPr/>
              <m:t>τ</m:t>
            </m:r>
          </m:e>
          <m:sub>
            <m:r>
              <m:rPr/>
              <m:t>g</m:t>
            </m:r>
            <m:r>
              <m:rPr>
                <m:sty m:val="p"/>
              </m:rPr>
              <m:t>,</m:t>
            </m:r>
            <m:r>
              <m:rPr/>
              <m:t>0</m:t>
            </m:r>
          </m:sub>
        </m:sSub>
        <m:r>
          <m:rPr>
            <m:sty m:val="p"/>
          </m:rPr>
          <m:t>+</m:t>
        </m:r>
        <m:sSub>
          <m:sSubPr/>
          <m:e>
            <m:r>
              <m:rPr/>
              <m:t>τ</m:t>
            </m:r>
          </m:e>
          <m:sub>
            <m:r>
              <m:rPr/>
              <m:t>1</m:t>
            </m:r>
          </m:sub>
        </m:sSub>
        <m:sSup>
          <m:sSupPr/>
          <m:e>
            <m:r>
              <m:rPr/>
              <m:t>K</m:t>
            </m:r>
          </m:e>
          <m:sup>
            <m:r>
              <m:rPr>
                <m:sty m:val="p"/>
              </m:rPr>
              <m:t>′</m:t>
            </m:r>
          </m:sup>
        </m:sSup>
        <m:r>
          <m:rPr/>
          <m:t>t</m:t>
        </m:r>
        <m:r>
          <m:rPr>
            <m:sty m:val="p"/>
          </m:rPr>
          <m:t>+</m:t>
        </m:r>
        <m:f>
          <m:fPr/>
          <m:num>
            <m:r>
              <m:rPr/>
              <m:t>1</m:t>
            </m:r>
          </m:num>
          <m:den>
            <m:r>
              <m:rPr/>
              <m:t>2</m:t>
            </m:r>
          </m:den>
        </m:f>
        <m:sSub>
          <m:sSubPr/>
          <m:e>
            <m:r>
              <m:rPr/>
              <m:t>τ</m:t>
            </m:r>
          </m:e>
          <m:sub>
            <m:r>
              <m:rPr/>
              <m:t>2</m:t>
            </m:r>
          </m:sub>
        </m:sSub>
        <m:r>
          <m:rPr>
            <m:sty m:val="p"/>
          </m:rPr>
          <m:t>(</m:t>
        </m:r>
        <m:sSup>
          <m:sSupPr/>
          <m:e>
            <m:r>
              <m:rPr/>
              <m:t>K</m:t>
            </m:r>
          </m:e>
          <m:sup>
            <m:r>
              <m:rPr>
                <m:sty m:val="p"/>
              </m:rPr>
              <m:t>′</m:t>
            </m:r>
          </m:sup>
        </m:sSup>
        <m:sSup>
          <m:sSupPr/>
          <m:e>
            <m:r>
              <m:rPr>
                <m:sty m:val="p"/>
              </m:rPr>
              <m:t>)</m:t>
            </m:r>
          </m:e>
          <m:sup>
            <m:r>
              <m:rPr/>
              <m:t>2</m:t>
            </m:r>
          </m:sup>
        </m:sSup>
        <m:sSup>
          <m:sSupPr/>
          <m:e>
            <m:r>
              <m:rPr/>
              <m:t>t</m:t>
            </m:r>
          </m:e>
          <m:sup>
            <m:r>
              <m:rPr/>
              <m:t>2</m:t>
            </m:r>
          </m:sup>
        </m:sSup>
      </m:oMath>
      <w:r>
        <w:tab/>
      </w:r>
      <w:r>
        <w:t>(3</w:t>
      </w:r>
      <w:r>
        <w:noBreakHyphen/>
      </w:r>
      <w:r>
        <w:t>18)</w:t>
      </w:r>
    </w:p>
    <w:p w14:paraId="4E832128">
      <w:r>
        <w:t xml:space="preserve"> </w:t>
      </w:r>
    </w:p>
    <w:p w14:paraId="247F1266">
      <w:r>
        <w:rPr>
          <w:rFonts w:hint="eastAsia"/>
        </w:rPr>
        <w:t>为简化后续推导,引入中间变量:</w:t>
      </w:r>
    </w:p>
    <w:p w14:paraId="4ABA8B88">
      <m:oMathPara>
        <m:oMathParaPr>
          <m:jc m:val="center"/>
        </m:oMathParaPr>
        <m:oMath>
          <m:sSub>
            <m:sSubPr/>
            <m:e>
              <m:r>
                <m:rPr/>
                <m:t>A</m:t>
              </m:r>
            </m:e>
            <m:sub>
              <m:r>
                <m:rPr/>
                <m:t>0</m:t>
              </m:r>
            </m:sub>
          </m:sSub>
          <m:r>
            <m:rPr>
              <m:sty m:val="p"/>
            </m:rPr>
            <m:t>=</m:t>
          </m:r>
          <m:sSub>
            <m:sSubPr/>
            <m:e>
              <m:r>
                <m:rPr/>
                <m:t>τ</m:t>
              </m:r>
            </m:e>
            <m:sub>
              <m:r>
                <m:rPr/>
                <m:t>g</m:t>
              </m:r>
              <m:r>
                <m:rPr>
                  <m:sty m:val="p"/>
                </m:rPr>
                <m:t>,</m:t>
              </m:r>
              <m:r>
                <m:rPr/>
                <m:t>0</m:t>
              </m:r>
            </m:sub>
          </m:sSub>
          <m:r>
            <m:rPr>
              <m:sty m:val="p"/>
            </m:rPr>
            <m:t>,</m:t>
          </m:r>
          <m:sSub>
            <m:sSubPr/>
            <m:e>
              <m:r>
                <m:rPr/>
                <m:t>A</m:t>
              </m:r>
            </m:e>
            <m:sub>
              <m:r>
                <m:rPr/>
                <m:t>1</m:t>
              </m:r>
            </m:sub>
          </m:sSub>
          <m:r>
            <m:rPr>
              <m:sty m:val="p"/>
            </m:rPr>
            <m:t>=</m:t>
          </m:r>
          <m:sSub>
            <m:sSubPr/>
            <m:e>
              <m:r>
                <m:rPr/>
                <m:t>τ</m:t>
              </m:r>
            </m:e>
            <m:sub>
              <m:r>
                <m:rPr/>
                <m:t>1</m:t>
              </m:r>
            </m:sub>
          </m:sSub>
          <m:sSup>
            <m:sSupPr/>
            <m:e>
              <m:r>
                <m:rPr/>
                <m:t>K</m:t>
              </m:r>
            </m:e>
            <m:sup>
              <m:r>
                <m:rPr>
                  <m:sty m:val="p"/>
                </m:rPr>
                <m:t>′</m:t>
              </m:r>
            </m:sup>
          </m:sSup>
          <m:r>
            <m:rPr>
              <m:sty m:val="p"/>
            </m:rPr>
            <m:t>,</m:t>
          </m:r>
          <m:sSub>
            <m:sSubPr/>
            <m:e>
              <m:r>
                <m:rPr/>
                <m:t>A</m:t>
              </m:r>
            </m:e>
            <m:sub>
              <m:r>
                <m:rPr/>
                <m:t>2</m:t>
              </m:r>
            </m:sub>
          </m:sSub>
          <m:r>
            <m:rPr>
              <m:sty m:val="p"/>
            </m:rPr>
            <m:t>=</m:t>
          </m:r>
          <m:f>
            <m:fPr/>
            <m:num>
              <m:r>
                <m:rPr/>
                <m:t>1</m:t>
              </m:r>
            </m:num>
            <m:den>
              <m:r>
                <m:rPr/>
                <m:t>2</m:t>
              </m:r>
            </m:den>
          </m:f>
          <m:sSub>
            <m:sSubPr/>
            <m:e>
              <m:r>
                <m:rPr/>
                <m:t>τ</m:t>
              </m:r>
            </m:e>
            <m:sub>
              <m:r>
                <m:rPr/>
                <m:t>2</m:t>
              </m:r>
            </m:sub>
          </m:sSub>
          <m:r>
            <m:rPr>
              <m:sty m:val="p"/>
            </m:rPr>
            <m:t>(</m:t>
          </m:r>
          <m:sSup>
            <m:sSupPr/>
            <m:e>
              <m:r>
                <m:rPr/>
                <m:t>K</m:t>
              </m:r>
            </m:e>
            <m:sup>
              <m:r>
                <m:rPr>
                  <m:sty m:val="p"/>
                </m:rPr>
                <m:t>′</m:t>
              </m:r>
            </m:sup>
          </m:sSup>
          <m:sSup>
            <m:sSupPr/>
            <m:e>
              <m:r>
                <m:rPr>
                  <m:sty m:val="p"/>
                </m:rPr>
                <m:t>)</m:t>
              </m:r>
            </m:e>
            <m:sup>
              <m:r>
                <m:rPr/>
                <m:t>2</m:t>
              </m:r>
            </m:sup>
          </m:sSup>
        </m:oMath>
      </m:oMathPara>
    </w:p>
    <w:p w14:paraId="31A8A0E3">
      <w:r>
        <w:rPr>
          <w:rFonts w:hint="eastAsia"/>
        </w:rPr>
        <w:t>则时变时延可紧凑地表示为:</w:t>
      </w:r>
    </w:p>
    <w:p w14:paraId="06C4C969">
      <w:r>
        <w:t xml:space="preserve"> </w:t>
      </w:r>
    </w:p>
    <w:p w14:paraId="67B0BE51">
      <w:pPr>
        <w:pStyle w:val="44"/>
        <w:spacing w:before="0" w:after="0" w:line="400" w:lineRule="atLeast"/>
      </w:pPr>
      <w:r>
        <w:tab/>
      </w:r>
      <m:oMath>
        <m:r>
          <m:rPr/>
          <m:t>τ</m:t>
        </m:r>
        <m:r>
          <m:rPr>
            <m:sty m:val="p"/>
          </m:rPr>
          <m:t>(</m:t>
        </m:r>
        <m:r>
          <m:rPr/>
          <m:t>t</m:t>
        </m:r>
        <m:r>
          <m:rPr>
            <m:sty m:val="p"/>
          </m:rPr>
          <m:t>)=</m:t>
        </m:r>
        <m:sSub>
          <m:sSubPr/>
          <m:e>
            <m:r>
              <m:rPr/>
              <m:t>A</m:t>
            </m:r>
          </m:e>
          <m:sub>
            <m:r>
              <m:rPr/>
              <m:t>0</m:t>
            </m:r>
          </m:sub>
        </m:sSub>
        <m:r>
          <m:rPr>
            <m:sty m:val="p"/>
          </m:rPr>
          <m:t>+</m:t>
        </m:r>
        <m:sSub>
          <m:sSubPr/>
          <m:e>
            <m:r>
              <m:rPr/>
              <m:t>A</m:t>
            </m:r>
          </m:e>
          <m:sub>
            <m:r>
              <m:rPr/>
              <m:t>1</m:t>
            </m:r>
          </m:sub>
        </m:sSub>
        <m:r>
          <m:rPr/>
          <m:t>t</m:t>
        </m:r>
        <m:r>
          <m:rPr>
            <m:sty m:val="p"/>
          </m:rPr>
          <m:t>+</m:t>
        </m:r>
        <m:sSub>
          <m:sSubPr/>
          <m:e>
            <m:r>
              <m:rPr/>
              <m:t>A</m:t>
            </m:r>
          </m:e>
          <m:sub>
            <m:r>
              <m:rPr/>
              <m:t>2</m:t>
            </m:r>
          </m:sub>
        </m:sSub>
        <m:sSup>
          <m:sSupPr/>
          <m:e>
            <m:r>
              <m:rPr/>
              <m:t>t</m:t>
            </m:r>
          </m:e>
          <m:sup>
            <m:r>
              <m:rPr/>
              <m:t>2</m:t>
            </m:r>
          </m:sup>
        </m:sSup>
      </m:oMath>
      <w:r>
        <w:tab/>
      </w:r>
      <w:r>
        <w:t>(3</w:t>
      </w:r>
      <w:r>
        <w:noBreakHyphen/>
      </w:r>
      <w:r>
        <w:t>19)</w:t>
      </w:r>
    </w:p>
    <w:p w14:paraId="37330263">
      <w:r>
        <w:t xml:space="preserve"> </w:t>
      </w:r>
    </w:p>
    <w:p w14:paraId="6E23E70B">
      <w:r>
        <w:rPr>
          <w:rFonts w:hint="eastAsia"/>
        </w:rPr>
        <w:t>式(3-19)揭示了时延演化的三个层次：</w:t>
      </w:r>
      <m:oMath>
        <m:sSub>
          <m:sSubPr/>
          <m:e>
            <m:r>
              <m:rPr/>
              <m:t>A</m:t>
            </m:r>
          </m:e>
          <m:sub>
            <m:r>
              <m:rPr/>
              <m:t>0</m:t>
            </m:r>
          </m:sub>
        </m:sSub>
      </m:oMath>
      <w:r>
        <w:rPr>
          <w:rFonts w:hint="eastAsia"/>
        </w:rPr>
        <w:t>表示展开点处的总群时延，</w:t>
      </w:r>
      <m:oMath>
        <m:sSub>
          <m:sSubPr/>
          <m:e>
            <m:r>
              <m:rPr/>
              <m:t>A</m:t>
            </m:r>
          </m:e>
          <m:sub>
            <m:r>
              <m:rPr/>
              <m:t>1</m:t>
            </m:r>
          </m:sub>
        </m:sSub>
      </m:oMath>
      <w:r>
        <w:rPr>
          <w:rFonts w:hint="eastAsia"/>
        </w:rPr>
        <w:t>表示群时延的线性漂移项，</w:t>
      </w:r>
      <m:oMath>
        <m:sSub>
          <m:sSubPr/>
          <m:e>
            <m:r>
              <m:rPr/>
              <m:t>A</m:t>
            </m:r>
          </m:e>
          <m:sub>
            <m:r>
              <m:rPr/>
              <m:t>2</m:t>
            </m:r>
          </m:sub>
        </m:sSub>
      </m:oMath>
      <w:r>
        <w:rPr>
          <w:rFonts w:hint="eastAsia"/>
        </w:rPr>
        <w:t>则表征色散曲率导致的非线性漂移。特别地，</w:t>
      </w:r>
      <m:oMath>
        <m:sSub>
          <m:sSubPr/>
          <m:e>
            <m:r>
              <m:rPr/>
              <m:t>A</m:t>
            </m:r>
          </m:e>
          <m:sub>
            <m:r>
              <m:rPr/>
              <m:t>2</m:t>
            </m:r>
          </m:sub>
        </m:sSub>
        <m:r>
          <m:rPr>
            <m:sty m:val="p"/>
          </m:rPr>
          <m:t>∝(</m:t>
        </m:r>
        <m:sSup>
          <m:sSupPr/>
          <m:e>
            <m:r>
              <m:rPr/>
              <m:t>K</m:t>
            </m:r>
          </m:e>
          <m:sup>
            <m:r>
              <m:rPr>
                <m:sty m:val="p"/>
              </m:rPr>
              <m:t>′</m:t>
            </m:r>
          </m:sup>
        </m:sSup>
        <m:sSup>
          <m:sSupPr/>
          <m:e>
            <m:r>
              <m:rPr>
                <m:sty m:val="p"/>
              </m:rPr>
              <m:t>)</m:t>
            </m:r>
          </m:e>
          <m:sup>
            <m:r>
              <m:rPr/>
              <m:t>2</m:t>
            </m:r>
          </m:sup>
        </m:sSup>
        <m:r>
          <m:rPr>
            <m:sty m:val="p"/>
          </m:rPr>
          <m:t>∝</m:t>
        </m:r>
        <m:sSup>
          <m:sSupPr/>
          <m:e>
            <m:r>
              <m:rPr/>
              <m:t>B</m:t>
            </m:r>
          </m:e>
          <m:sup>
            <m:r>
              <m:rPr/>
              <m:t>2</m:t>
            </m:r>
          </m:sup>
        </m:sSup>
        <m:r>
          <m:rPr>
            <m:sty m:val="p"/>
          </m:rPr>
          <m:t>/</m:t>
        </m:r>
        <m:sSubSup>
          <m:sSubSupPr/>
          <m:e>
            <m:r>
              <m:rPr/>
              <m:t>T</m:t>
            </m:r>
          </m:e>
          <m:sub>
            <m:r>
              <m:rPr/>
              <m:t>m</m:t>
            </m:r>
          </m:sub>
          <m:sup>
            <m:r>
              <m:rPr/>
              <m:t>2</m:t>
            </m:r>
          </m:sup>
        </m:sSubSup>
      </m:oMath>
      <w:r>
        <w:rPr>
          <w:rFonts w:hint="eastAsia"/>
        </w:rPr>
        <w:t>，说明带宽会显著放大二阶色散效应。此处</w:t>
      </w:r>
      <m:oMath>
        <m:sSub>
          <m:sSubPr/>
          <m:e>
            <m:r>
              <m:rPr/>
              <m:t>τ</m:t>
            </m:r>
          </m:e>
          <m:sub>
            <m:r>
              <m:rPr/>
              <m:t>g</m:t>
            </m:r>
            <m:r>
              <m:rPr>
                <m:sty m:val="p"/>
              </m:rPr>
              <m:t>,</m:t>
            </m:r>
            <m:r>
              <m:rPr/>
              <m:t>0</m:t>
            </m:r>
          </m:sub>
        </m:sSub>
      </m:oMath>
      <w:r>
        <w:rPr>
          <w:rFonts w:hint="eastAsia"/>
        </w:rPr>
        <w:t>与3.2节用于归一化和工程判据的真空基底时延</w:t>
      </w:r>
      <m:oMath>
        <m:sSub>
          <m:sSubPr/>
          <m:e>
            <m:r>
              <m:rPr/>
              <m:t>τ</m:t>
            </m:r>
          </m:e>
          <m:sub>
            <m:r>
              <m:rPr/>
              <m:t>0</m:t>
            </m:r>
          </m:sub>
        </m:sSub>
        <m:r>
          <m:rPr>
            <m:sty m:val="p"/>
          </m:rPr>
          <m:t>=</m:t>
        </m:r>
        <m:r>
          <m:rPr/>
          <m:t>d</m:t>
        </m:r>
        <m:r>
          <m:rPr>
            <m:sty m:val="p"/>
          </m:rPr>
          <m:t>/</m:t>
        </m:r>
        <m:r>
          <m:rPr/>
          <m:t>c</m:t>
        </m:r>
      </m:oMath>
      <w:r>
        <w:rPr>
          <w:rFonts w:hint="eastAsia"/>
        </w:rPr>
        <w:t>含义不同，后者仅出现在群时延解析式及非线性度因子的定义中。</w:t>
      </w:r>
    </w:p>
    <w:p w14:paraId="4C245320">
      <w:r>
        <w:rPr>
          <w:rFonts w:hint="eastAsia"/>
        </w:rPr>
        <w:t>根据3.2节式(3-12)的物理模型,可计算</w:t>
      </w:r>
      <m:oMath>
        <m:sSub>
          <m:sSubPr/>
          <m:e>
            <m:r>
              <m:rPr/>
              <m:t>τ</m:t>
            </m:r>
          </m:e>
          <m:sub>
            <m:r>
              <m:rPr/>
              <m:t>1</m:t>
            </m:r>
          </m:sub>
        </m:sSub>
      </m:oMath>
      <w:r>
        <w:rPr>
          <w:rFonts w:hint="eastAsia"/>
        </w:rPr>
        <w:t>和</w:t>
      </w:r>
      <m:oMath>
        <m:sSub>
          <m:sSubPr/>
          <m:e>
            <m:r>
              <m:rPr/>
              <m:t>τ</m:t>
            </m:r>
          </m:e>
          <m:sub>
            <m:r>
              <m:rPr/>
              <m:t>2</m:t>
            </m:r>
          </m:sub>
        </m:sSub>
      </m:oMath>
      <w:r>
        <w:rPr>
          <w:rFonts w:hint="eastAsia"/>
        </w:rPr>
        <w:t>的显式表达。利用</w:t>
      </w:r>
      <m:oMath>
        <m:sSub>
          <m:sSubPr/>
          <m:e>
            <m:r>
              <m:rPr/>
              <m:t>τ</m:t>
            </m:r>
          </m:e>
          <m:sub>
            <m:r>
              <m:rPr/>
              <m:t>g</m:t>
            </m:r>
          </m:sub>
        </m:sSub>
        <m:r>
          <m:rPr>
            <m:sty m:val="p"/>
          </m:rPr>
          <m:t>(</m:t>
        </m:r>
        <m:r>
          <m:rPr/>
          <m:t>f</m:t>
        </m:r>
        <m:r>
          <m:rPr>
            <m:sty m:val="p"/>
          </m:rPr>
          <m:t>)=</m:t>
        </m:r>
        <m:f>
          <m:fPr/>
          <m:num>
            <m:r>
              <m:rPr/>
              <m:t>d</m:t>
            </m:r>
          </m:num>
          <m:den>
            <m:r>
              <m:rPr/>
              <m:t>c</m:t>
            </m:r>
          </m:den>
        </m:f>
        <m:r>
          <m:rPr>
            <m:sty m:val="p"/>
          </m:rPr>
          <m:t>[</m:t>
        </m:r>
        <m:r>
          <m:rPr/>
          <m:t>1</m:t>
        </m:r>
        <m:r>
          <m:rPr>
            <m:sty m:val="p"/>
          </m:rPr>
          <m:t>−(</m:t>
        </m:r>
        <m:sSub>
          <m:sSubPr/>
          <m:e>
            <m:r>
              <m:rPr/>
              <m:t>f</m:t>
            </m:r>
          </m:e>
          <m:sub>
            <m:r>
              <m:rPr/>
              <m:t>p</m:t>
            </m:r>
          </m:sub>
        </m:sSub>
        <m:r>
          <m:rPr>
            <m:sty m:val="p"/>
          </m:rPr>
          <m:t>/</m:t>
        </m:r>
        <m:r>
          <m:rPr/>
          <m:t>f</m:t>
        </m:r>
        <m:sSup>
          <m:sSupPr/>
          <m:e>
            <m:r>
              <m:rPr>
                <m:sty m:val="p"/>
              </m:rPr>
              <m:t>)</m:t>
            </m:r>
          </m:e>
          <m:sup>
            <m:r>
              <m:rPr/>
              <m:t>2</m:t>
            </m:r>
          </m:sup>
        </m:sSup>
        <m:sSup>
          <m:sSupPr/>
          <m:e>
            <m:r>
              <m:rPr>
                <m:sty m:val="p"/>
              </m:rPr>
              <m:t>]</m:t>
            </m:r>
          </m:e>
          <m:sup>
            <m:r>
              <m:rPr>
                <m:sty m:val="p"/>
              </m:rPr>
              <m:t>−</m:t>
            </m:r>
            <m:r>
              <m:rPr/>
              <m:t>1</m:t>
            </m:r>
            <m:r>
              <m:rPr>
                <m:sty m:val="p"/>
              </m:rPr>
              <m:t>/</m:t>
            </m:r>
            <m:r>
              <m:rPr/>
              <m:t>2</m:t>
            </m:r>
          </m:sup>
        </m:sSup>
      </m:oMath>
      <w:r>
        <w:rPr>
          <w:rFonts w:hint="eastAsia"/>
        </w:rPr>
        <w:t>,通过链式法则</w:t>
      </w:r>
      <m:oMath>
        <m:r>
          <m:rPr/>
          <m:t>dτ</m:t>
        </m:r>
        <m:r>
          <m:rPr>
            <m:sty m:val="p"/>
          </m:rPr>
          <m:t>/</m:t>
        </m:r>
        <m:r>
          <m:rPr/>
          <m:t>dω</m:t>
        </m:r>
        <m:r>
          <m:rPr>
            <m:sty m:val="p"/>
          </m:rPr>
          <m:t>=(</m:t>
        </m:r>
        <m:r>
          <m:rPr/>
          <m:t>dτ</m:t>
        </m:r>
        <m:r>
          <m:rPr>
            <m:sty m:val="p"/>
          </m:rPr>
          <m:t>/</m:t>
        </m:r>
        <m:r>
          <m:rPr/>
          <m:t>df</m:t>
        </m:r>
        <m:r>
          <m:rPr>
            <m:sty m:val="p"/>
          </m:rPr>
          <m:t>)⋅(</m:t>
        </m:r>
        <m:r>
          <m:rPr/>
          <m:t>df</m:t>
        </m:r>
        <m:r>
          <m:rPr>
            <m:sty m:val="p"/>
          </m:rPr>
          <m:t>/</m:t>
        </m:r>
        <m:r>
          <m:rPr/>
          <m:t>dω</m:t>
        </m:r>
        <m:r>
          <m:rPr>
            <m:sty m:val="p"/>
          </m:rPr>
          <m:t>)=(</m:t>
        </m:r>
        <m:r>
          <m:rPr/>
          <m:t>1</m:t>
        </m:r>
        <m:r>
          <m:rPr>
            <m:sty m:val="p"/>
          </m:rPr>
          <m:t>/</m:t>
        </m:r>
        <m:r>
          <m:rPr/>
          <m:t>2π</m:t>
        </m:r>
        <m:r>
          <m:rPr>
            <m:sty m:val="p"/>
          </m:rPr>
          <m:t>)(</m:t>
        </m:r>
        <m:r>
          <m:rPr/>
          <m:t>dτ</m:t>
        </m:r>
        <m:r>
          <m:rPr>
            <m:sty m:val="p"/>
          </m:rPr>
          <m:t>/</m:t>
        </m:r>
        <m:r>
          <m:rPr/>
          <m:t>df</m:t>
        </m:r>
        <m:r>
          <m:rPr>
            <m:sty m:val="p"/>
          </m:rPr>
          <m:t>)</m:t>
        </m:r>
      </m:oMath>
      <w:r>
        <w:rPr>
          <w:rFonts w:hint="eastAsia"/>
        </w:rPr>
        <w:t>,在</w:t>
      </w:r>
      <m:oMath>
        <m:r>
          <m:rPr/>
          <m:t>ω</m:t>
        </m:r>
        <m:r>
          <m:rPr>
            <m:sty m:val="p"/>
          </m:rPr>
          <m:t>=</m:t>
        </m:r>
        <m:sSub>
          <m:sSubPr/>
          <m:e>
            <m:r>
              <m:rPr/>
              <m:t>ω</m:t>
            </m:r>
          </m:e>
          <m:sub>
            <m:r>
              <m:rPr/>
              <m:t>0</m:t>
            </m:r>
          </m:sub>
        </m:sSub>
      </m:oMath>
      <w:r>
        <w:rPr>
          <w:rFonts w:hint="eastAsia"/>
        </w:rPr>
        <w:t>(即</w:t>
      </w:r>
      <m:oMath>
        <m:r>
          <m:rPr/>
          <m:t>f</m:t>
        </m:r>
        <m:r>
          <m:rPr>
            <m:sty m:val="p"/>
          </m:rPr>
          <m:t>=</m:t>
        </m:r>
        <m:sSub>
          <m:sSubPr/>
          <m:e>
            <m:r>
              <m:rPr/>
              <m:t>f</m:t>
            </m:r>
          </m:e>
          <m:sub>
            <m:r>
              <m:rPr/>
              <m:t>0</m:t>
            </m:r>
          </m:sub>
        </m:sSub>
      </m:oMath>
      <w:r>
        <w:rPr>
          <w:rFonts w:hint="eastAsia"/>
        </w:rPr>
        <w:t>)处计算,由式(3-12)直接求导并结合链式法则可得:</w:t>
      </w:r>
    </w:p>
    <w:p w14:paraId="5BD01B6F">
      <w:r>
        <w:t xml:space="preserve"> </w:t>
      </w:r>
    </w:p>
    <w:p w14:paraId="5EB08602">
      <w:pPr>
        <w:pStyle w:val="44"/>
        <w:spacing w:before="0" w:after="0" w:line="400" w:lineRule="atLeast"/>
      </w:pPr>
      <w:r>
        <w:tab/>
      </w:r>
      <m:oMath>
        <m:sSub>
          <m:sSubPr/>
          <m:e>
            <m:r>
              <m:rPr/>
              <m:t>τ</m:t>
            </m:r>
          </m:e>
          <m:sub>
            <m:r>
              <m:rPr/>
              <m:t>1</m:t>
            </m:r>
          </m:sub>
        </m:sSub>
        <m:r>
          <m:rPr>
            <m:sty m:val="p"/>
          </m:rPr>
          <m:t>=</m:t>
        </m:r>
        <m:f>
          <m:fPr/>
          <m:num>
            <m:r>
              <m:rPr/>
              <m:t>1</m:t>
            </m:r>
          </m:num>
          <m:den>
            <m:r>
              <m:rPr/>
              <m:t>2π</m:t>
            </m:r>
          </m:den>
        </m:f>
        <m:r>
          <m:rPr>
            <m:sty m:val="p"/>
          </m:rPr>
          <m:t>⋅</m:t>
        </m:r>
        <m:d>
          <m:dPr>
            <m:sepChr m:val=""/>
          </m:dPr>
          <m:e>
            <m:r>
              <m:rPr>
                <m:sty m:val="p"/>
              </m:rPr>
              <m:t>−</m:t>
            </m:r>
            <m:f>
              <m:fPr/>
              <m:num>
                <m:sSub>
                  <m:sSubPr/>
                  <m:e>
                    <m:r>
                      <m:rPr/>
                      <m:t>τ</m:t>
                    </m:r>
                  </m:e>
                  <m:sub>
                    <m:r>
                      <m:rPr/>
                      <m:t>0</m:t>
                    </m:r>
                  </m:sub>
                </m:sSub>
              </m:num>
              <m:den>
                <m:sSub>
                  <m:sSubPr/>
                  <m:e>
                    <m:r>
                      <m:rPr/>
                      <m:t>f</m:t>
                    </m:r>
                  </m:e>
                  <m:sub>
                    <m:r>
                      <m:rPr/>
                      <m:t>0</m:t>
                    </m:r>
                  </m:sub>
                </m:sSub>
              </m:den>
            </m:f>
            <m:r>
              <m:rPr>
                <m:sty m:val="p"/>
              </m:rPr>
              <m:t>⋅</m:t>
            </m:r>
            <m:f>
              <m:fPr/>
              <m:num>
                <m:r>
                  <m:rPr>
                    <m:sty m:val="p"/>
                  </m:rPr>
                  <m:t>(</m:t>
                </m:r>
                <m:sSub>
                  <m:sSubPr/>
                  <m:e>
                    <m:r>
                      <m:rPr/>
                      <m:t>f</m:t>
                    </m:r>
                  </m:e>
                  <m:sub>
                    <m:r>
                      <m:rPr/>
                      <m:t>p</m:t>
                    </m:r>
                  </m:sub>
                </m:sSub>
                <m:r>
                  <m:rPr>
                    <m:sty m:val="p"/>
                  </m:rPr>
                  <m:t>/</m:t>
                </m:r>
                <m:sSub>
                  <m:sSubPr/>
                  <m:e>
                    <m:r>
                      <m:rPr/>
                      <m:t>f</m:t>
                    </m:r>
                  </m:e>
                  <m:sub>
                    <m:r>
                      <m:rPr/>
                      <m:t>0</m:t>
                    </m:r>
                  </m:sub>
                </m:sSub>
                <m:sSup>
                  <m:sSupPr/>
                  <m:e>
                    <m:r>
                      <m:rPr>
                        <m:sty m:val="p"/>
                      </m:rPr>
                      <m:t>)</m:t>
                    </m:r>
                  </m:e>
                  <m:sup>
                    <m:r>
                      <m:rPr/>
                      <m:t>2</m:t>
                    </m:r>
                  </m:sup>
                </m:sSup>
              </m:num>
              <m:den>
                <m:r>
                  <m:rPr>
                    <m:sty m:val="p"/>
                  </m:rPr>
                  <m:t>[</m:t>
                </m:r>
                <m:r>
                  <m:rPr/>
                  <m:t>1</m:t>
                </m:r>
                <m:r>
                  <m:rPr>
                    <m:sty m:val="p"/>
                  </m:rPr>
                  <m:t>−(</m:t>
                </m:r>
                <m:sSub>
                  <m:sSubPr/>
                  <m:e>
                    <m:r>
                      <m:rPr/>
                      <m:t>f</m:t>
                    </m:r>
                  </m:e>
                  <m:sub>
                    <m:r>
                      <m:rPr/>
                      <m:t>p</m:t>
                    </m:r>
                  </m:sub>
                </m:sSub>
                <m:r>
                  <m:rPr>
                    <m:sty m:val="p"/>
                  </m:rPr>
                  <m:t>/</m:t>
                </m:r>
                <m:sSub>
                  <m:sSubPr/>
                  <m:e>
                    <m:r>
                      <m:rPr/>
                      <m:t>f</m:t>
                    </m:r>
                  </m:e>
                  <m:sub>
                    <m:r>
                      <m:rPr/>
                      <m:t>0</m:t>
                    </m:r>
                  </m:sub>
                </m:sSub>
                <m:sSup>
                  <m:sSupPr/>
                  <m:e>
                    <m:r>
                      <m:rPr>
                        <m:sty m:val="p"/>
                      </m:rPr>
                      <m:t>)</m:t>
                    </m:r>
                  </m:e>
                  <m:sup>
                    <m:r>
                      <m:rPr/>
                      <m:t>2</m:t>
                    </m:r>
                  </m:sup>
                </m:sSup>
                <m:sSup>
                  <m:sSupPr/>
                  <m:e>
                    <m:r>
                      <m:rPr>
                        <m:sty m:val="p"/>
                      </m:rPr>
                      <m:t>]</m:t>
                    </m:r>
                  </m:e>
                  <m:sup>
                    <m:r>
                      <m:rPr/>
                      <m:t>3</m:t>
                    </m:r>
                    <m:r>
                      <m:rPr>
                        <m:sty m:val="p"/>
                      </m:rPr>
                      <m:t>/</m:t>
                    </m:r>
                    <m:r>
                      <m:rPr/>
                      <m:t>2</m:t>
                    </m:r>
                  </m:sup>
                </m:sSup>
              </m:den>
            </m:f>
          </m:e>
        </m:d>
      </m:oMath>
      <w:r>
        <w:tab/>
      </w:r>
      <w:r>
        <w:t>(3</w:t>
      </w:r>
      <w:r>
        <w:noBreakHyphen/>
      </w:r>
      <w:r>
        <w:t>20)</w:t>
      </w:r>
    </w:p>
    <w:p w14:paraId="49456AD0">
      <w:r>
        <w:t xml:space="preserve"> </w:t>
      </w:r>
    </w:p>
    <w:p w14:paraId="02F671BB">
      <w:r>
        <w:rPr>
          <w:rFonts w:hint="eastAsia"/>
        </w:rPr>
        <w:t>其符号为负(</w:t>
      </w:r>
      <m:oMath>
        <m:sSub>
          <m:sSubPr/>
          <m:e>
            <m:r>
              <m:rPr/>
              <m:t>τ</m:t>
            </m:r>
          </m:e>
          <m:sub>
            <m:r>
              <m:rPr/>
              <m:t>1</m:t>
            </m:r>
          </m:sub>
        </m:sSub>
        <m:r>
          <m:rPr>
            <m:sty m:val="p"/>
          </m:rPr>
          <m:t>&lt;</m:t>
        </m:r>
        <m:r>
          <m:rPr/>
          <m:t>0</m:t>
        </m:r>
      </m:oMath>
      <w:r>
        <w:rPr>
          <w:rFonts w:hint="eastAsia"/>
        </w:rPr>
        <w:t>),表明瞬时频率上升时时延单调下降,反映高频信号在色散介质中传播更快的物理本质。对于二阶项,先直接对物理频率</w:t>
      </w:r>
      <m:oMath>
        <m:r>
          <m:rPr/>
          <m:t>f</m:t>
        </m:r>
      </m:oMath>
      <w:r>
        <w:rPr>
          <w:rFonts w:hint="eastAsia"/>
        </w:rPr>
        <w:t>求二阶导数,在</w:t>
      </w:r>
      <m:oMath>
        <m:r>
          <m:rPr/>
          <m:t>f</m:t>
        </m:r>
        <m:r>
          <m:rPr>
            <m:sty m:val="p"/>
          </m:rPr>
          <m:t>=</m:t>
        </m:r>
        <m:sSub>
          <m:sSubPr/>
          <m:e>
            <m:r>
              <m:rPr/>
              <m:t>f</m:t>
            </m:r>
          </m:e>
          <m:sub>
            <m:r>
              <m:rPr/>
              <m:t>0</m:t>
            </m:r>
          </m:sub>
        </m:sSub>
      </m:oMath>
      <w:r>
        <w:rPr>
          <w:rFonts w:hint="eastAsia"/>
        </w:rPr>
        <w:t>处可化简得到单项主式:</w:t>
      </w:r>
    </w:p>
    <w:p w14:paraId="2A85B803">
      <m:oMathPara>
        <m:oMathParaPr>
          <m:jc m:val="center"/>
        </m:oMathParaPr>
        <m:oMath>
          <m:sSub>
            <m:sSubPr/>
            <m:e>
              <m:d>
                <m:dPr>
                  <m:begChr m:val=""/>
                  <m:sepChr m:val=""/>
                  <m:endChr m:val="|"/>
                </m:dPr>
                <m:e>
                  <m:f>
                    <m:fPr/>
                    <m:num>
                      <m:sSup>
                        <m:sSupPr/>
                        <m:e>
                          <m:r>
                            <m:rPr/>
                            <m:t>d</m:t>
                          </m:r>
                        </m:e>
                        <m:sup>
                          <m:r>
                            <m:rPr/>
                            <m:t>2</m:t>
                          </m:r>
                        </m:sup>
                      </m:sSup>
                      <m:sSub>
                        <m:sSubPr/>
                        <m:e>
                          <m:r>
                            <m:rPr/>
                            <m:t>τ</m:t>
                          </m:r>
                        </m:e>
                        <m:sub>
                          <m:r>
                            <m:rPr/>
                            <m:t>g</m:t>
                          </m:r>
                        </m:sub>
                      </m:sSub>
                    </m:num>
                    <m:den>
                      <m:r>
                        <m:rPr/>
                        <m:t>d</m:t>
                      </m:r>
                      <m:sSup>
                        <m:sSupPr/>
                        <m:e>
                          <m:r>
                            <m:rPr/>
                            <m:t>f</m:t>
                          </m:r>
                        </m:e>
                        <m:sup>
                          <m:r>
                            <m:rPr/>
                            <m:t>2</m:t>
                          </m:r>
                        </m:sup>
                      </m:sSup>
                    </m:den>
                  </m:f>
                </m:e>
              </m:d>
            </m:e>
            <m:sub>
              <m:r>
                <m:rPr/>
                <m:t>f</m:t>
              </m:r>
              <m:r>
                <m:rPr>
                  <m:sty m:val="p"/>
                </m:rPr>
                <m:t>=</m:t>
              </m:r>
              <m:sSub>
                <m:sSubPr/>
                <m:e>
                  <m:r>
                    <m:rPr/>
                    <m:t>f</m:t>
                  </m:r>
                </m:e>
                <m:sub>
                  <m:r>
                    <m:rPr/>
                    <m:t>0</m:t>
                  </m:r>
                </m:sub>
              </m:sSub>
            </m:sub>
          </m:sSub>
          <m:r>
            <m:rPr>
              <m:sty m:val="p"/>
            </m:rPr>
            <m:t>=</m:t>
          </m:r>
          <m:f>
            <m:fPr/>
            <m:num>
              <m:r>
                <m:rPr/>
                <m:t>3</m:t>
              </m:r>
              <m:sSub>
                <m:sSubPr/>
                <m:e>
                  <m:r>
                    <m:rPr/>
                    <m:t>τ</m:t>
                  </m:r>
                </m:e>
                <m:sub>
                  <m:r>
                    <m:rPr/>
                    <m:t>0</m:t>
                  </m:r>
                </m:sub>
              </m:sSub>
            </m:num>
            <m:den>
              <m:sSubSup>
                <m:sSubSupPr/>
                <m:e>
                  <m:r>
                    <m:rPr/>
                    <m:t>f</m:t>
                  </m:r>
                </m:e>
                <m:sub>
                  <m:r>
                    <m:rPr/>
                    <m:t>0</m:t>
                  </m:r>
                </m:sub>
                <m:sup>
                  <m:r>
                    <m:rPr/>
                    <m:t>2</m:t>
                  </m:r>
                </m:sup>
              </m:sSubSup>
            </m:den>
          </m:f>
          <m:r>
            <m:rPr>
              <m:sty m:val="p"/>
            </m:rPr>
            <m:t>⋅</m:t>
          </m:r>
          <m:f>
            <m:fPr/>
            <m:num>
              <m:r>
                <m:rPr>
                  <m:sty m:val="p"/>
                </m:rPr>
                <m:t>(</m:t>
              </m:r>
              <m:sSub>
                <m:sSubPr/>
                <m:e>
                  <m:r>
                    <m:rPr/>
                    <m:t>f</m:t>
                  </m:r>
                </m:e>
                <m:sub>
                  <m:r>
                    <m:rPr/>
                    <m:t>p</m:t>
                  </m:r>
                </m:sub>
              </m:sSub>
              <m:r>
                <m:rPr>
                  <m:sty m:val="p"/>
                </m:rPr>
                <m:t>/</m:t>
              </m:r>
              <m:sSub>
                <m:sSubPr/>
                <m:e>
                  <m:r>
                    <m:rPr/>
                    <m:t>f</m:t>
                  </m:r>
                </m:e>
                <m:sub>
                  <m:r>
                    <m:rPr/>
                    <m:t>0</m:t>
                  </m:r>
                </m:sub>
              </m:sSub>
              <m:sSup>
                <m:sSupPr/>
                <m:e>
                  <m:r>
                    <m:rPr>
                      <m:sty m:val="p"/>
                    </m:rPr>
                    <m:t>)</m:t>
                  </m:r>
                </m:e>
                <m:sup>
                  <m:r>
                    <m:rPr/>
                    <m:t>2</m:t>
                  </m:r>
                </m:sup>
              </m:sSup>
            </m:num>
            <m:den>
              <m:r>
                <m:rPr>
                  <m:sty m:val="p"/>
                </m:rPr>
                <m:t>[</m:t>
              </m:r>
              <m:r>
                <m:rPr/>
                <m:t>1</m:t>
              </m:r>
              <m:r>
                <m:rPr>
                  <m:sty m:val="p"/>
                </m:rPr>
                <m:t>−(</m:t>
              </m:r>
              <m:sSub>
                <m:sSubPr/>
                <m:e>
                  <m:r>
                    <m:rPr/>
                    <m:t>f</m:t>
                  </m:r>
                </m:e>
                <m:sub>
                  <m:r>
                    <m:rPr/>
                    <m:t>p</m:t>
                  </m:r>
                </m:sub>
              </m:sSub>
              <m:r>
                <m:rPr>
                  <m:sty m:val="p"/>
                </m:rPr>
                <m:t>/</m:t>
              </m:r>
              <m:sSub>
                <m:sSubPr/>
                <m:e>
                  <m:r>
                    <m:rPr/>
                    <m:t>f</m:t>
                  </m:r>
                </m:e>
                <m:sub>
                  <m:r>
                    <m:rPr/>
                    <m:t>0</m:t>
                  </m:r>
                </m:sub>
              </m:sSub>
              <m:sSup>
                <m:sSupPr/>
                <m:e>
                  <m:r>
                    <m:rPr>
                      <m:sty m:val="p"/>
                    </m:rPr>
                    <m:t>)</m:t>
                  </m:r>
                </m:e>
                <m:sup>
                  <m:r>
                    <m:rPr/>
                    <m:t>2</m:t>
                  </m:r>
                </m:sup>
              </m:sSup>
              <m:sSup>
                <m:sSupPr/>
                <m:e>
                  <m:r>
                    <m:rPr>
                      <m:sty m:val="p"/>
                    </m:rPr>
                    <m:t>]</m:t>
                  </m:r>
                </m:e>
                <m:sup>
                  <m:r>
                    <m:rPr/>
                    <m:t>5</m:t>
                  </m:r>
                  <m:r>
                    <m:rPr>
                      <m:sty m:val="p"/>
                    </m:rPr>
                    <m:t>/</m:t>
                  </m:r>
                  <m:r>
                    <m:rPr/>
                    <m:t>2</m:t>
                  </m:r>
                </m:sup>
              </m:sSup>
            </m:den>
          </m:f>
        </m:oMath>
      </m:oMathPara>
    </w:p>
    <w:p w14:paraId="7C7AC7DD">
      <w:r>
        <w:rPr>
          <w:rFonts w:hint="eastAsia"/>
        </w:rPr>
        <w:t>再利用链式法则</w:t>
      </w:r>
      <m:oMath>
        <m:sSup>
          <m:sSupPr/>
          <m:e>
            <m:r>
              <m:rPr/>
              <m:t>d</m:t>
            </m:r>
          </m:e>
          <m:sup>
            <m:r>
              <m:rPr/>
              <m:t>2</m:t>
            </m:r>
          </m:sup>
        </m:sSup>
        <m:r>
          <m:rPr/>
          <m:t>τ</m:t>
        </m:r>
        <m:r>
          <m:rPr>
            <m:sty m:val="p"/>
          </m:rPr>
          <m:t>/</m:t>
        </m:r>
        <m:r>
          <m:rPr/>
          <m:t>d</m:t>
        </m:r>
        <m:sSup>
          <m:sSupPr/>
          <m:e>
            <m:r>
              <m:rPr/>
              <m:t>ω</m:t>
            </m:r>
          </m:e>
          <m:sup>
            <m:r>
              <m:rPr/>
              <m:t>2</m:t>
            </m:r>
          </m:sup>
        </m:sSup>
        <m:r>
          <m:rPr>
            <m:sty m:val="p"/>
          </m:rPr>
          <m:t>=(</m:t>
        </m:r>
        <m:r>
          <m:rPr/>
          <m:t>1</m:t>
        </m:r>
        <m:r>
          <m:rPr>
            <m:sty m:val="p"/>
          </m:rPr>
          <m:t>/(</m:t>
        </m:r>
        <m:r>
          <m:rPr/>
          <m:t>2π</m:t>
        </m:r>
        <m:sSup>
          <m:sSupPr/>
          <m:e>
            <m:r>
              <m:rPr>
                <m:sty m:val="p"/>
              </m:rPr>
              <m:t>)</m:t>
            </m:r>
          </m:e>
          <m:sup>
            <m:r>
              <m:rPr/>
              <m:t>2</m:t>
            </m:r>
          </m:sup>
        </m:sSup>
        <m:r>
          <m:rPr>
            <m:sty m:val="p"/>
          </m:rPr>
          <m:t>)(</m:t>
        </m:r>
        <m:sSup>
          <m:sSupPr/>
          <m:e>
            <m:r>
              <m:rPr/>
              <m:t>d</m:t>
            </m:r>
          </m:e>
          <m:sup>
            <m:r>
              <m:rPr/>
              <m:t>2</m:t>
            </m:r>
          </m:sup>
        </m:sSup>
        <m:sSub>
          <m:sSubPr/>
          <m:e>
            <m:r>
              <m:rPr/>
              <m:t>τ</m:t>
            </m:r>
          </m:e>
          <m:sub>
            <m:r>
              <m:rPr/>
              <m:t>g</m:t>
            </m:r>
          </m:sub>
        </m:sSub>
        <m:r>
          <m:rPr>
            <m:sty m:val="p"/>
          </m:rPr>
          <m:t>/</m:t>
        </m:r>
        <m:r>
          <m:rPr/>
          <m:t>d</m:t>
        </m:r>
        <m:sSup>
          <m:sSupPr/>
          <m:e>
            <m:r>
              <m:rPr/>
              <m:t>f</m:t>
            </m:r>
          </m:e>
          <m:sup>
            <m:r>
              <m:rPr/>
              <m:t>2</m:t>
            </m:r>
          </m:sup>
        </m:sSup>
        <m:r>
          <m:rPr>
            <m:sty m:val="p"/>
          </m:rPr>
          <m:t>)</m:t>
        </m:r>
      </m:oMath>
      <w:r>
        <w:rPr>
          <w:rFonts w:hint="eastAsia"/>
        </w:rPr>
        <w:t>,即可将其转换为角频率域下的二阶导数:</w:t>
      </w:r>
    </w:p>
    <w:p w14:paraId="024C5699">
      <w:r>
        <w:t xml:space="preserve"> </w:t>
      </w:r>
    </w:p>
    <w:p w14:paraId="53BAC4B8">
      <w:pPr>
        <w:pStyle w:val="44"/>
        <w:spacing w:before="0" w:after="0" w:line="400" w:lineRule="atLeast"/>
      </w:pPr>
      <w:r>
        <w:tab/>
      </w:r>
      <m:oMath>
        <m:sSub>
          <m:sSubPr/>
          <m:e>
            <m:r>
              <m:rPr/>
              <m:t>τ</m:t>
            </m:r>
          </m:e>
          <m:sub>
            <m:r>
              <m:rPr/>
              <m:t>2</m:t>
            </m:r>
          </m:sub>
        </m:sSub>
        <m:r>
          <m:rPr>
            <m:sty m:val="p"/>
          </m:rPr>
          <m:t>=</m:t>
        </m:r>
        <m:sSub>
          <m:sSubPr/>
          <m:e>
            <m:d>
              <m:dPr>
                <m:begChr m:val=""/>
                <m:sepChr m:val=""/>
                <m:endChr m:val="|"/>
              </m:dPr>
              <m:e>
                <m:f>
                  <m:fPr/>
                  <m:num>
                    <m:sSup>
                      <m:sSupPr/>
                      <m:e>
                        <m:r>
                          <m:rPr/>
                          <m:t>d</m:t>
                        </m:r>
                      </m:e>
                      <m:sup>
                        <m:r>
                          <m:rPr/>
                          <m:t>2</m:t>
                        </m:r>
                      </m:sup>
                    </m:sSup>
                    <m:r>
                      <m:rPr/>
                      <m:t>τ</m:t>
                    </m:r>
                  </m:num>
                  <m:den>
                    <m:r>
                      <m:rPr/>
                      <m:t>d</m:t>
                    </m:r>
                    <m:sSup>
                      <m:sSupPr/>
                      <m:e>
                        <m:r>
                          <m:rPr/>
                          <m:t>ω</m:t>
                        </m:r>
                      </m:e>
                      <m:sup>
                        <m:r>
                          <m:rPr/>
                          <m:t>2</m:t>
                        </m:r>
                      </m:sup>
                    </m:sSup>
                  </m:den>
                </m:f>
              </m:e>
            </m:d>
          </m:e>
          <m:sub>
            <m:r>
              <m:rPr/>
              <m:t>ω</m:t>
            </m:r>
            <m:r>
              <m:rPr>
                <m:sty m:val="p"/>
              </m:rPr>
              <m:t>=</m:t>
            </m:r>
            <m:sSub>
              <m:sSubPr/>
              <m:e>
                <m:r>
                  <m:rPr/>
                  <m:t>ω</m:t>
                </m:r>
              </m:e>
              <m:sub>
                <m:r>
                  <m:rPr/>
                  <m:t>0</m:t>
                </m:r>
              </m:sub>
            </m:sSub>
          </m:sub>
        </m:sSub>
        <m:r>
          <m:rPr>
            <m:sty m:val="p"/>
          </m:rPr>
          <m:t>=</m:t>
        </m:r>
        <m:f>
          <m:fPr/>
          <m:num>
            <m:r>
              <m:rPr/>
              <m:t>1</m:t>
            </m:r>
          </m:num>
          <m:den>
            <m:r>
              <m:rPr>
                <m:sty m:val="p"/>
              </m:rPr>
              <m:t>(</m:t>
            </m:r>
            <m:r>
              <m:rPr/>
              <m:t>2π</m:t>
            </m:r>
            <m:sSup>
              <m:sSupPr/>
              <m:e>
                <m:r>
                  <m:rPr>
                    <m:sty m:val="p"/>
                  </m:rPr>
                  <m:t>)</m:t>
                </m:r>
              </m:e>
              <m:sup>
                <m:r>
                  <m:rPr/>
                  <m:t>2</m:t>
                </m:r>
              </m:sup>
            </m:sSup>
          </m:den>
        </m:f>
        <m:sSub>
          <m:sSubPr/>
          <m:e>
            <m:d>
              <m:dPr>
                <m:begChr m:val=""/>
                <m:sepChr m:val=""/>
                <m:endChr m:val="|"/>
              </m:dPr>
              <m:e>
                <m:f>
                  <m:fPr/>
                  <m:num>
                    <m:sSup>
                      <m:sSupPr/>
                      <m:e>
                        <m:r>
                          <m:rPr/>
                          <m:t>d</m:t>
                        </m:r>
                      </m:e>
                      <m:sup>
                        <m:r>
                          <m:rPr/>
                          <m:t>2</m:t>
                        </m:r>
                      </m:sup>
                    </m:sSup>
                    <m:sSub>
                      <m:sSubPr/>
                      <m:e>
                        <m:r>
                          <m:rPr/>
                          <m:t>τ</m:t>
                        </m:r>
                      </m:e>
                      <m:sub>
                        <m:r>
                          <m:rPr/>
                          <m:t>g</m:t>
                        </m:r>
                      </m:sub>
                    </m:sSub>
                  </m:num>
                  <m:den>
                    <m:r>
                      <m:rPr/>
                      <m:t>d</m:t>
                    </m:r>
                    <m:sSup>
                      <m:sSupPr/>
                      <m:e>
                        <m:r>
                          <m:rPr/>
                          <m:t>f</m:t>
                        </m:r>
                      </m:e>
                      <m:sup>
                        <m:r>
                          <m:rPr/>
                          <m:t>2</m:t>
                        </m:r>
                      </m:sup>
                    </m:sSup>
                  </m:den>
                </m:f>
              </m:e>
            </m:d>
          </m:e>
          <m:sub>
            <m:r>
              <m:rPr/>
              <m:t>f</m:t>
            </m:r>
            <m:r>
              <m:rPr>
                <m:sty m:val="p"/>
              </m:rPr>
              <m:t>=</m:t>
            </m:r>
            <m:sSub>
              <m:sSubPr/>
              <m:e>
                <m:r>
                  <m:rPr/>
                  <m:t>f</m:t>
                </m:r>
              </m:e>
              <m:sub>
                <m:r>
                  <m:rPr/>
                  <m:t>0</m:t>
                </m:r>
              </m:sub>
            </m:sSub>
          </m:sub>
        </m:sSub>
        <m:r>
          <m:rPr>
            <m:sty m:val="p"/>
          </m:rPr>
          <m:t>=</m:t>
        </m:r>
        <m:f>
          <m:fPr/>
          <m:num>
            <m:r>
              <m:rPr/>
              <m:t>1</m:t>
            </m:r>
          </m:num>
          <m:den>
            <m:r>
              <m:rPr>
                <m:sty m:val="p"/>
              </m:rPr>
              <m:t>(</m:t>
            </m:r>
            <m:r>
              <m:rPr/>
              <m:t>2π</m:t>
            </m:r>
            <m:sSup>
              <m:sSupPr/>
              <m:e>
                <m:r>
                  <m:rPr>
                    <m:sty m:val="p"/>
                  </m:rPr>
                  <m:t>)</m:t>
                </m:r>
              </m:e>
              <m:sup>
                <m:r>
                  <m:rPr/>
                  <m:t>2</m:t>
                </m:r>
              </m:sup>
            </m:sSup>
          </m:den>
        </m:f>
        <m:r>
          <m:rPr>
            <m:sty m:val="p"/>
          </m:rPr>
          <m:t>⋅</m:t>
        </m:r>
        <m:f>
          <m:fPr/>
          <m:num>
            <m:r>
              <m:rPr/>
              <m:t>3</m:t>
            </m:r>
            <m:sSub>
              <m:sSubPr/>
              <m:e>
                <m:r>
                  <m:rPr/>
                  <m:t>τ</m:t>
                </m:r>
              </m:e>
              <m:sub>
                <m:r>
                  <m:rPr/>
                  <m:t>0</m:t>
                </m:r>
              </m:sub>
            </m:sSub>
          </m:num>
          <m:den>
            <m:sSubSup>
              <m:sSubSupPr/>
              <m:e>
                <m:r>
                  <m:rPr/>
                  <m:t>f</m:t>
                </m:r>
              </m:e>
              <m:sub>
                <m:r>
                  <m:rPr/>
                  <m:t>0</m:t>
                </m:r>
              </m:sub>
              <m:sup>
                <m:r>
                  <m:rPr/>
                  <m:t>2</m:t>
                </m:r>
              </m:sup>
            </m:sSubSup>
          </m:den>
        </m:f>
        <m:r>
          <m:rPr>
            <m:sty m:val="p"/>
          </m:rPr>
          <m:t>⋅</m:t>
        </m:r>
        <m:f>
          <m:fPr/>
          <m:num>
            <m:r>
              <m:rPr>
                <m:sty m:val="p"/>
              </m:rPr>
              <m:t>(</m:t>
            </m:r>
            <m:sSub>
              <m:sSubPr/>
              <m:e>
                <m:r>
                  <m:rPr/>
                  <m:t>f</m:t>
                </m:r>
              </m:e>
              <m:sub>
                <m:r>
                  <m:rPr/>
                  <m:t>p</m:t>
                </m:r>
              </m:sub>
            </m:sSub>
            <m:r>
              <m:rPr>
                <m:sty m:val="p"/>
              </m:rPr>
              <m:t>/</m:t>
            </m:r>
            <m:sSub>
              <m:sSubPr/>
              <m:e>
                <m:r>
                  <m:rPr/>
                  <m:t>f</m:t>
                </m:r>
              </m:e>
              <m:sub>
                <m:r>
                  <m:rPr/>
                  <m:t>0</m:t>
                </m:r>
              </m:sub>
            </m:sSub>
            <m:sSup>
              <m:sSupPr/>
              <m:e>
                <m:r>
                  <m:rPr>
                    <m:sty m:val="p"/>
                  </m:rPr>
                  <m:t>)</m:t>
                </m:r>
              </m:e>
              <m:sup>
                <m:r>
                  <m:rPr/>
                  <m:t>2</m:t>
                </m:r>
              </m:sup>
            </m:sSup>
          </m:num>
          <m:den>
            <m:r>
              <m:rPr>
                <m:sty m:val="p"/>
              </m:rPr>
              <m:t>[</m:t>
            </m:r>
            <m:r>
              <m:rPr/>
              <m:t>1</m:t>
            </m:r>
            <m:r>
              <m:rPr>
                <m:sty m:val="p"/>
              </m:rPr>
              <m:t>−(</m:t>
            </m:r>
            <m:sSub>
              <m:sSubPr/>
              <m:e>
                <m:r>
                  <m:rPr/>
                  <m:t>f</m:t>
                </m:r>
              </m:e>
              <m:sub>
                <m:r>
                  <m:rPr/>
                  <m:t>p</m:t>
                </m:r>
              </m:sub>
            </m:sSub>
            <m:r>
              <m:rPr>
                <m:sty m:val="p"/>
              </m:rPr>
              <m:t>/</m:t>
            </m:r>
            <m:sSub>
              <m:sSubPr/>
              <m:e>
                <m:r>
                  <m:rPr/>
                  <m:t>f</m:t>
                </m:r>
              </m:e>
              <m:sub>
                <m:r>
                  <m:rPr/>
                  <m:t>0</m:t>
                </m:r>
              </m:sub>
            </m:sSub>
            <m:sSup>
              <m:sSupPr/>
              <m:e>
                <m:r>
                  <m:rPr>
                    <m:sty m:val="p"/>
                  </m:rPr>
                  <m:t>)</m:t>
                </m:r>
              </m:e>
              <m:sup>
                <m:r>
                  <m:rPr/>
                  <m:t>2</m:t>
                </m:r>
              </m:sup>
            </m:sSup>
            <m:sSup>
              <m:sSupPr/>
              <m:e>
                <m:r>
                  <m:rPr>
                    <m:sty m:val="p"/>
                  </m:rPr>
                  <m:t>]</m:t>
                </m:r>
              </m:e>
              <m:sup>
                <m:r>
                  <m:rPr/>
                  <m:t>5</m:t>
                </m:r>
                <m:r>
                  <m:rPr>
                    <m:sty m:val="p"/>
                  </m:rPr>
                  <m:t>/</m:t>
                </m:r>
                <m:r>
                  <m:rPr/>
                  <m:t>2</m:t>
                </m:r>
              </m:sup>
            </m:sSup>
          </m:den>
        </m:f>
      </m:oMath>
      <w:r>
        <w:tab/>
      </w:r>
      <w:r>
        <w:t>(3</w:t>
      </w:r>
      <w:r>
        <w:noBreakHyphen/>
      </w:r>
      <w:r>
        <w:t>21)</w:t>
      </w:r>
    </w:p>
    <w:p w14:paraId="3B55F046">
      <w:r>
        <w:t xml:space="preserve"> </w:t>
      </w:r>
    </w:p>
    <w:p w14:paraId="3222D411">
      <w:r>
        <w:rPr>
          <w:rFonts w:hint="eastAsia"/>
        </w:rPr>
        <w:t>式(3-21)表明,</w:t>
      </w:r>
      <m:oMath>
        <m:sSub>
          <m:sSubPr/>
          <m:e>
            <m:r>
              <m:rPr/>
              <m:t>τ</m:t>
            </m:r>
          </m:e>
          <m:sub>
            <m:r>
              <m:rPr/>
              <m:t>2</m:t>
            </m:r>
          </m:sub>
        </m:sSub>
      </m:oMath>
      <w:r>
        <w:rPr>
          <w:rFonts w:hint="eastAsia"/>
        </w:rPr>
        <w:t>在截止频率附近呈奇异性增长,主导项与</w:t>
      </w:r>
      <m:oMath>
        <m:r>
          <m:rPr>
            <m:sty m:val="p"/>
          </m:rPr>
          <m:t>[</m:t>
        </m:r>
        <m:r>
          <m:rPr/>
          <m:t>1</m:t>
        </m:r>
        <m:r>
          <m:rPr>
            <m:sty m:val="p"/>
          </m:rPr>
          <m:t>−(</m:t>
        </m:r>
        <m:sSub>
          <m:sSubPr/>
          <m:e>
            <m:r>
              <m:rPr/>
              <m:t>f</m:t>
            </m:r>
          </m:e>
          <m:sub>
            <m:r>
              <m:rPr/>
              <m:t>p</m:t>
            </m:r>
          </m:sub>
        </m:sSub>
        <m:r>
          <m:rPr>
            <m:sty m:val="p"/>
          </m:rPr>
          <m:t>/</m:t>
        </m:r>
        <m:sSub>
          <m:sSubPr/>
          <m:e>
            <m:r>
              <m:rPr/>
              <m:t>f</m:t>
            </m:r>
          </m:e>
          <m:sub>
            <m:r>
              <m:rPr/>
              <m:t>0</m:t>
            </m:r>
          </m:sub>
        </m:sSub>
        <m:sSup>
          <m:sSupPr/>
          <m:e>
            <m:r>
              <m:rPr>
                <m:sty m:val="p"/>
              </m:rPr>
              <m:t>)</m:t>
            </m:r>
          </m:e>
          <m:sup>
            <m:r>
              <m:rPr/>
              <m:t>2</m:t>
            </m:r>
          </m:sup>
        </m:sSup>
        <m:sSup>
          <m:sSupPr/>
          <m:e>
            <m:r>
              <m:rPr>
                <m:sty m:val="p"/>
              </m:rPr>
              <m:t>]</m:t>
            </m:r>
          </m:e>
          <m:sup>
            <m:r>
              <m:rPr>
                <m:sty m:val="p"/>
              </m:rPr>
              <m:t>−</m:t>
            </m:r>
            <m:r>
              <m:rPr/>
              <m:t>5</m:t>
            </m:r>
            <m:r>
              <m:rPr>
                <m:sty m:val="p"/>
              </m:rPr>
              <m:t>/</m:t>
            </m:r>
            <m:r>
              <m:rPr/>
              <m:t>2</m:t>
            </m:r>
          </m:sup>
        </m:sSup>
      </m:oMath>
      <w:r>
        <w:rPr>
          <w:rFonts w:hint="eastAsia"/>
        </w:rPr>
        <w:t>成正比,这正是二阶色散效应在强色散区显著的根源。</w:t>
      </w:r>
    </w:p>
    <w:p w14:paraId="2B8A5966">
      <w:r>
        <w:rPr>
          <w:rFonts w:hint="eastAsia"/>
        </w:rPr>
        <w:t>仍以本文Ka波段典型工况</w:t>
      </w:r>
      <m:oMath>
        <m:r>
          <m:rPr/>
          <m:t>B</m:t>
        </m:r>
        <m:r>
          <m:rPr>
            <m:sty m:val="p"/>
          </m:rPr>
          <m:t>=</m:t>
        </m:r>
        <m:r>
          <m:rPr/>
          <m:t>3</m:t>
        </m:r>
      </m:oMath>
      <w:r>
        <w:t xml:space="preserve"> GHz、</w:t>
      </w:r>
      <m:oMath>
        <m:r>
          <m:rPr/>
          <m:t>d</m:t>
        </m:r>
        <m:r>
          <m:rPr>
            <m:sty m:val="p"/>
          </m:rPr>
          <m:t>=</m:t>
        </m:r>
        <m:r>
          <m:rPr/>
          <m:t>0.15</m:t>
        </m:r>
      </m:oMath>
      <w:r>
        <w:t xml:space="preserve"> m、</w:t>
      </w:r>
      <m:oMath>
        <m:sSub>
          <m:sSubPr/>
          <m:e>
            <m:r>
              <m:rPr/>
              <m:t>f</m:t>
            </m:r>
          </m:e>
          <m:sub>
            <m:r>
              <m:rPr/>
              <m:t>c</m:t>
            </m:r>
          </m:sub>
        </m:sSub>
        <m:r>
          <m:rPr>
            <m:sty m:val="p"/>
          </m:rPr>
          <m:t>=</m:t>
        </m:r>
        <m:r>
          <m:rPr/>
          <m:t>34</m:t>
        </m:r>
      </m:oMath>
      <w:r>
        <w:t xml:space="preserve"> GHz、</w:t>
      </w:r>
      <m:oMath>
        <m:sSub>
          <m:sSubPr/>
          <m:e>
            <m:r>
              <m:rPr/>
              <m:t>f</m:t>
            </m:r>
          </m:e>
          <m:sub>
            <m:r>
              <m:rPr/>
              <m:t>p</m:t>
            </m:r>
          </m:sub>
        </m:sSub>
        <m:r>
          <m:rPr>
            <m:sty m:val="p"/>
          </m:rPr>
          <m:t>=</m:t>
        </m:r>
        <m:r>
          <m:rPr/>
          <m:t>29</m:t>
        </m:r>
      </m:oMath>
      <w:r>
        <w:t xml:space="preserve"> </w:t>
      </w:r>
      <w:r>
        <w:rPr>
          <w:rFonts w:hint="eastAsia"/>
        </w:rPr>
        <w:t>GHz为例,若在中心频率附近考察半带宽</w:t>
      </w:r>
      <m:oMath>
        <m:r>
          <m:rPr>
            <m:sty m:val="p"/>
          </m:rPr>
          <m:t>Δ</m:t>
        </m:r>
        <m:r>
          <m:rPr/>
          <m:t>f</m:t>
        </m:r>
        <m:r>
          <m:rPr>
            <m:sty m:val="p"/>
          </m:rPr>
          <m:t>=</m:t>
        </m:r>
        <m:r>
          <m:rPr/>
          <m:t>B</m:t>
        </m:r>
        <m:r>
          <m:rPr>
            <m:sty m:val="p"/>
          </m:rPr>
          <m:t>/</m:t>
        </m:r>
        <m:r>
          <m:rPr/>
          <m:t>2</m:t>
        </m:r>
        <m:r>
          <m:rPr>
            <m:sty m:val="p"/>
          </m:rPr>
          <m:t>=</m:t>
        </m:r>
        <m:r>
          <m:rPr/>
          <m:t>1.5</m:t>
        </m:r>
      </m:oMath>
      <w:r>
        <w:t xml:space="preserve"> </w:t>
      </w:r>
      <w:r>
        <w:rPr>
          <w:rFonts w:hint="eastAsia"/>
        </w:rPr>
        <w:t>GHz内的局部展开,则二阶项贡献约为27.42</w:t>
      </w:r>
      <w:r>
        <w:t xml:space="preserve"> </w:t>
      </w:r>
      <w:r>
        <w:rPr>
          <w:rFonts w:hint="eastAsia"/>
        </w:rPr>
        <w:t>ps,三阶余项约为6.99</w:t>
      </w:r>
      <w:r>
        <w:t xml:space="preserve"> </w:t>
      </w:r>
      <w:r>
        <w:rPr>
          <w:rFonts w:hint="eastAsia"/>
        </w:rPr>
        <w:t>ps,余项与二阶主项之比约0.255。该结果表明，二阶模型更适合用于解释差频相位主导畸变和频谱散焦的形成机理，并给出相应的半定量趋势；若需获得更高精度的数值结果，仍应回到3.2节的全频段模型进行评估。</w:t>
      </w:r>
    </w:p>
    <w:bookmarkEnd w:id="49"/>
    <w:p w14:paraId="2BB80869">
      <w:pPr>
        <w:pStyle w:val="4"/>
      </w:pPr>
      <w:bookmarkStart w:id="50" w:name="差频信号相位的非线性畸变与瞬时频率解析"/>
      <w:r>
        <w:rPr>
          <w:rFonts w:hint="eastAsia"/>
        </w:rPr>
        <w:t>差频信号相位的非线性畸变与瞬时频率解析</w:t>
      </w:r>
    </w:p>
    <w:p w14:paraId="57BE0E43">
      <w:r>
        <w:rPr>
          <w:rFonts w:hint="eastAsia"/>
        </w:rPr>
        <w:t>在3.4.1节建立的时变时延模型基础上,沿用第二章LFMCW发射与接收信号模型,并与3.2节保持一致地采用慢变时延近似。严格而言,接收相位应写为</w:t>
      </w:r>
      <m:oMath>
        <m:sSub>
          <m:sSubPr/>
          <m:e>
            <m:r>
              <m:rPr/>
              <m:t>ϕ</m:t>
            </m:r>
          </m:e>
          <m:sub>
            <m:r>
              <m:rPr/>
              <m:t>R</m:t>
            </m:r>
          </m:sub>
        </m:sSub>
        <m:r>
          <m:rPr>
            <m:sty m:val="p"/>
          </m:rPr>
          <m:t>(</m:t>
        </m:r>
        <m:r>
          <m:rPr/>
          <m:t>t</m:t>
        </m:r>
        <m:r>
          <m:rPr>
            <m:sty m:val="p"/>
          </m:rPr>
          <m:t>)=</m:t>
        </m:r>
        <m:sSub>
          <m:sSubPr/>
          <m:e>
            <m:r>
              <m:rPr/>
              <m:t>ϕ</m:t>
            </m:r>
          </m:e>
          <m:sub>
            <m:r>
              <m:rPr/>
              <m:t>T</m:t>
            </m:r>
          </m:sub>
        </m:sSub>
        <m:r>
          <m:rPr>
            <m:sty m:val="p"/>
          </m:rPr>
          <m:t>(</m:t>
        </m:r>
        <m:sSub>
          <m:sSubPr/>
          <m:e>
            <m:r>
              <m:rPr/>
              <m:t>t</m:t>
            </m:r>
          </m:e>
          <m:sub>
            <m:r>
              <m:rPr/>
              <m:t>r</m:t>
            </m:r>
          </m:sub>
        </m:sSub>
        <m:r>
          <m:rPr>
            <m:sty m:val="p"/>
          </m:rPr>
          <m:t>)</m:t>
        </m:r>
      </m:oMath>
      <w:r>
        <w:rPr>
          <w:rFonts w:hint="eastAsia"/>
        </w:rPr>
        <w:t>,其中发射时刻</w:t>
      </w:r>
      <m:oMath>
        <m:sSub>
          <m:sSubPr/>
          <m:e>
            <m:r>
              <m:rPr/>
              <m:t>t</m:t>
            </m:r>
          </m:e>
          <m:sub>
            <m:r>
              <m:rPr/>
              <m:t>r</m:t>
            </m:r>
          </m:sub>
        </m:sSub>
      </m:oMath>
      <w:r>
        <w:rPr>
          <w:rFonts w:hint="eastAsia"/>
        </w:rPr>
        <w:t>满足自洽关系</w:t>
      </w:r>
      <m:oMath>
        <m:r>
          <m:rPr/>
          <m:t>t</m:t>
        </m:r>
        <m:r>
          <m:rPr>
            <m:sty m:val="p"/>
          </m:rPr>
          <m:t>=</m:t>
        </m:r>
        <m:sSub>
          <m:sSubPr/>
          <m:e>
            <m:r>
              <m:rPr/>
              <m:t>t</m:t>
            </m:r>
          </m:e>
          <m:sub>
            <m:r>
              <m:rPr/>
              <m:t>r</m:t>
            </m:r>
          </m:sub>
        </m:sSub>
        <m:r>
          <m:rPr>
            <m:sty m:val="p"/>
          </m:rPr>
          <m:t>+</m:t>
        </m:r>
        <m:r>
          <m:rPr/>
          <m:t>τ</m:t>
        </m:r>
        <m:r>
          <m:rPr>
            <m:sty m:val="p"/>
          </m:rPr>
          <m:t>(</m:t>
        </m:r>
        <m:sSub>
          <m:sSubPr/>
          <m:e>
            <m:r>
              <m:rPr/>
              <m:t>t</m:t>
            </m:r>
          </m:e>
          <m:sub>
            <m:r>
              <m:rPr/>
              <m:t>r</m:t>
            </m:r>
          </m:sub>
        </m:sSub>
        <m:r>
          <m:rPr>
            <m:sty m:val="p"/>
          </m:rPr>
          <m:t>)</m:t>
        </m:r>
      </m:oMath>
      <w:r>
        <w:rPr>
          <w:rFonts w:hint="eastAsia"/>
        </w:rPr>
        <w:t>。当</w:t>
      </w:r>
      <m:oMath>
        <m:r>
          <m:rPr>
            <m:sty m:val="p"/>
          </m:rPr>
          <m:t>|</m:t>
        </m:r>
        <m:acc>
          <m:accPr>
            <m:chr m:val="̇"/>
          </m:accPr>
          <m:e>
            <m:r>
              <m:rPr/>
              <m:t>τ</m:t>
            </m:r>
          </m:e>
        </m:acc>
        <m:r>
          <m:rPr>
            <m:sty m:val="p"/>
          </m:rPr>
          <m:t>(</m:t>
        </m:r>
        <m:r>
          <m:rPr/>
          <m:t>t</m:t>
        </m:r>
        <m:r>
          <m:rPr>
            <m:sty m:val="p"/>
          </m:rPr>
          <m:t>)|≪</m:t>
        </m:r>
        <m:r>
          <m:rPr/>
          <m:t>1</m:t>
        </m:r>
      </m:oMath>
      <w:r>
        <w:rPr>
          <w:rFonts w:hint="eastAsia"/>
        </w:rPr>
        <w:t>时,可将该关系作一阶迭代,写为</w:t>
      </w:r>
      <m:oMath>
        <m:sSub>
          <m:sSubPr/>
          <m:e>
            <m:r>
              <m:rPr/>
              <m:t>t</m:t>
            </m:r>
          </m:e>
          <m:sub>
            <m:r>
              <m:rPr/>
              <m:t>r</m:t>
            </m:r>
          </m:sub>
        </m:sSub>
        <m:r>
          <m:rPr>
            <m:sty m:val="p"/>
          </m:rPr>
          <m:t>=</m:t>
        </m:r>
        <m:r>
          <m:rPr/>
          <m:t>t</m:t>
        </m:r>
        <m:r>
          <m:rPr>
            <m:sty m:val="p"/>
          </m:rPr>
          <m:t>−</m:t>
        </m:r>
        <m:r>
          <m:rPr/>
          <m:t>τ</m:t>
        </m:r>
        <m:r>
          <m:rPr>
            <m:sty m:val="p"/>
          </m:rPr>
          <m:t>(</m:t>
        </m:r>
        <m:r>
          <m:rPr/>
          <m:t>t</m:t>
        </m:r>
        <m:r>
          <m:rPr>
            <m:sty m:val="p"/>
          </m:rPr>
          <m:t>)+</m:t>
        </m:r>
        <m:r>
          <m:rPr/>
          <m:t>O</m:t>
        </m:r>
        <m:r>
          <m:rPr>
            <m:sty m:val="p"/>
          </m:rPr>
          <m:t>(</m:t>
        </m:r>
        <m:r>
          <m:rPr/>
          <m:t>τ</m:t>
        </m:r>
        <m:acc>
          <m:accPr>
            <m:chr m:val="̇"/>
          </m:accPr>
          <m:e>
            <m:r>
              <m:rPr/>
              <m:t>τ</m:t>
            </m:r>
          </m:e>
        </m:acc>
        <m:r>
          <m:rPr>
            <m:sty m:val="p"/>
          </m:rPr>
          <m:t>)</m:t>
        </m:r>
      </m:oMath>
      <w:r>
        <w:rPr>
          <w:rFonts w:hint="eastAsia"/>
        </w:rPr>
        <w:t>,相应忽略项引起的相位误差阶为</w:t>
      </w:r>
      <m:oMath>
        <m:r>
          <m:rPr/>
          <m:t>O</m:t>
        </m:r>
        <m:r>
          <m:rPr>
            <m:sty m:val="p"/>
          </m:rPr>
          <m:t>([</m:t>
        </m:r>
        <m:sSub>
          <m:sSubPr/>
          <m:e>
            <m:r>
              <m:rPr/>
              <m:t>ω</m:t>
            </m:r>
          </m:e>
          <m:sub>
            <m:r>
              <m:rPr/>
              <m:t>0</m:t>
            </m:r>
          </m:sub>
        </m:sSub>
        <m:r>
          <m:rPr>
            <m:sty m:val="p"/>
          </m:rPr>
          <m:t>+</m:t>
        </m:r>
        <m:sSup>
          <m:sSupPr/>
          <m:e>
            <m:r>
              <m:rPr/>
              <m:t>K</m:t>
            </m:r>
          </m:e>
          <m:sup>
            <m:r>
              <m:rPr>
                <m:sty m:val="p"/>
              </m:rPr>
              <m:t>′</m:t>
            </m:r>
          </m:sup>
        </m:sSup>
        <m:r>
          <m:rPr/>
          <m:t>t</m:t>
        </m:r>
        <m:r>
          <m:rPr>
            <m:sty m:val="p"/>
          </m:rPr>
          <m:t>]</m:t>
        </m:r>
        <m:r>
          <m:rPr/>
          <m:t>τ</m:t>
        </m:r>
        <m:acc>
          <m:accPr>
            <m:chr m:val="̇"/>
          </m:accPr>
          <m:e>
            <m:r>
              <m:rPr/>
              <m:t>τ</m:t>
            </m:r>
          </m:e>
        </m:acc>
        <m:r>
          <m:rPr>
            <m:sty m:val="p"/>
          </m:rPr>
          <m:t>)</m:t>
        </m:r>
      </m:oMath>
      <w:r>
        <w:rPr>
          <w:rFonts w:hint="eastAsia"/>
        </w:rPr>
        <w:t>。在仅保留主导相位项的前提下,混频后的差频相位可整理为:</w:t>
      </w:r>
    </w:p>
    <w:p w14:paraId="708AA6F2">
      <w:r>
        <w:t xml:space="preserve"> </w:t>
      </w:r>
    </w:p>
    <w:p w14:paraId="1B7AFA6E">
      <w:pPr>
        <w:pStyle w:val="44"/>
        <w:spacing w:before="0" w:after="0" w:line="400" w:lineRule="atLeast"/>
      </w:pPr>
      <w:r>
        <w:tab/>
      </w:r>
      <m:oMath>
        <m:r>
          <m:rPr>
            <m:sty m:val="p"/>
          </m:rPr>
          <m:t>Δ</m:t>
        </m:r>
        <m:r>
          <m:rPr/>
          <m:t>ϕ</m:t>
        </m:r>
        <m:r>
          <m:rPr>
            <m:sty m:val="p"/>
          </m:rPr>
          <m:t>(</m:t>
        </m:r>
        <m:r>
          <m:rPr/>
          <m:t>t</m:t>
        </m:r>
        <m:r>
          <m:rPr>
            <m:sty m:val="p"/>
          </m:rPr>
          <m:t>)=</m:t>
        </m:r>
        <m:sSub>
          <m:sSubPr/>
          <m:e>
            <m:r>
              <m:rPr/>
              <m:t>ω</m:t>
            </m:r>
          </m:e>
          <m:sub>
            <m:r>
              <m:rPr/>
              <m:t>0</m:t>
            </m:r>
          </m:sub>
        </m:sSub>
        <m:r>
          <m:rPr/>
          <m:t>τ</m:t>
        </m:r>
        <m:r>
          <m:rPr>
            <m:sty m:val="p"/>
          </m:rPr>
          <m:t>(</m:t>
        </m:r>
        <m:r>
          <m:rPr/>
          <m:t>t</m:t>
        </m:r>
        <m:r>
          <m:rPr>
            <m:sty m:val="p"/>
          </m:rPr>
          <m:t>)+</m:t>
        </m:r>
        <m:r>
          <m:rPr/>
          <m:t>π</m:t>
        </m:r>
        <m:f>
          <m:fPr/>
          <m:num>
            <m:r>
              <m:rPr/>
              <m:t>B</m:t>
            </m:r>
          </m:num>
          <m:den>
            <m:sSub>
              <m:sSubPr/>
              <m:e>
                <m:r>
                  <m:rPr/>
                  <m:t>T</m:t>
                </m:r>
              </m:e>
              <m:sub>
                <m:r>
                  <m:rPr/>
                  <m:t>m</m:t>
                </m:r>
              </m:sub>
            </m:sSub>
          </m:den>
        </m:f>
        <m:d>
          <m:dPr>
            <m:begChr m:val="{"/>
            <m:sepChr m:val=""/>
            <m:endChr m:val="}"/>
          </m:dPr>
          <m:e>
            <m:r>
              <m:rPr/>
              <m:t>2t τ</m:t>
            </m:r>
            <m:r>
              <m:rPr>
                <m:sty m:val="p"/>
              </m:rPr>
              <m:t>(</m:t>
            </m:r>
            <m:r>
              <m:rPr/>
              <m:t>t</m:t>
            </m:r>
            <m:r>
              <m:rPr>
                <m:sty m:val="p"/>
              </m:rPr>
              <m:t>)−</m:t>
            </m:r>
            <m:sSup>
              <m:sSupPr/>
              <m:e>
                <m:r>
                  <m:rPr/>
                  <m:t>τ</m:t>
                </m:r>
              </m:e>
              <m:sup>
                <m:r>
                  <m:rPr/>
                  <m:t>2</m:t>
                </m:r>
              </m:sup>
            </m:sSup>
            <m:r>
              <m:rPr>
                <m:sty m:val="p"/>
              </m:rPr>
              <m:t>(</m:t>
            </m:r>
            <m:r>
              <m:rPr/>
              <m:t>t</m:t>
            </m:r>
            <m:r>
              <m:rPr>
                <m:sty m:val="p"/>
              </m:rPr>
              <m:t>)</m:t>
            </m:r>
          </m:e>
        </m:d>
      </m:oMath>
      <w:r>
        <w:tab/>
      </w:r>
      <w:r>
        <w:t>(3</w:t>
      </w:r>
      <w:r>
        <w:noBreakHyphen/>
      </w:r>
      <w:r>
        <w:t>22)</w:t>
      </w:r>
    </w:p>
    <w:p w14:paraId="6570F61D">
      <w:r>
        <w:t xml:space="preserve"> </w:t>
      </w:r>
    </w:p>
    <w:p w14:paraId="7BC6E07C">
      <w:r>
        <w:rPr>
          <w:rFonts w:hint="eastAsia"/>
        </w:rPr>
        <w:t>将式(3-19)代入式(3-22),按时间幂次整理并忽略</w:t>
      </w:r>
      <m:oMath>
        <m:sSup>
          <m:sSupPr/>
          <m:e>
            <m:r>
              <m:rPr/>
              <m:t>t</m:t>
            </m:r>
          </m:e>
          <m:sup>
            <m:r>
              <m:rPr/>
              <m:t>3</m:t>
            </m:r>
          </m:sup>
        </m:sSup>
      </m:oMath>
      <w:r>
        <w:rPr>
          <w:rFonts w:hint="eastAsia"/>
        </w:rPr>
        <w:t>及以上高阶项后,差频相位可写为:</w:t>
      </w:r>
    </w:p>
    <w:p w14:paraId="0928F98F">
      <w:r>
        <w:t xml:space="preserve"> </w:t>
      </w:r>
    </w:p>
    <w:p w14:paraId="66521E0D">
      <w:pPr>
        <w:pStyle w:val="44"/>
        <w:spacing w:before="0" w:after="0" w:line="400" w:lineRule="atLeast"/>
      </w:pPr>
      <w:r>
        <w:tab/>
      </w:r>
      <m:oMath>
        <m:r>
          <m:rPr>
            <m:sty m:val="p"/>
          </m:rPr>
          <m:t>Δ</m:t>
        </m:r>
        <m:r>
          <m:rPr/>
          <m:t>ϕ</m:t>
        </m:r>
        <m:r>
          <m:rPr>
            <m:sty m:val="p"/>
          </m:rPr>
          <m:t>(</m:t>
        </m:r>
        <m:r>
          <m:rPr/>
          <m:t>t</m:t>
        </m:r>
        <m:r>
          <m:rPr>
            <m:sty m:val="p"/>
          </m:rPr>
          <m:t>)=</m:t>
        </m:r>
        <m:sSub>
          <m:sSubPr/>
          <m:e>
            <m:r>
              <m:rPr/>
              <m:t>ϕ</m:t>
            </m:r>
          </m:e>
          <m:sub>
            <m:r>
              <m:rPr/>
              <m:t>0</m:t>
            </m:r>
          </m:sub>
        </m:sSub>
        <m:r>
          <m:rPr>
            <m:sty m:val="p"/>
          </m:rPr>
          <m:t>+</m:t>
        </m:r>
        <m:r>
          <m:rPr/>
          <m:t>Lt</m:t>
        </m:r>
        <m:r>
          <m:rPr>
            <m:sty m:val="p"/>
          </m:rPr>
          <m:t>+</m:t>
        </m:r>
        <m:r>
          <m:rPr/>
          <m:t>Q</m:t>
        </m:r>
        <m:sSup>
          <m:sSupPr/>
          <m:e>
            <m:r>
              <m:rPr/>
              <m:t>t</m:t>
            </m:r>
          </m:e>
          <m:sup>
            <m:r>
              <m:rPr/>
              <m:t>2</m:t>
            </m:r>
          </m:sup>
        </m:sSup>
      </m:oMath>
      <w:r>
        <w:tab/>
      </w:r>
      <w:r>
        <w:t>(3</w:t>
      </w:r>
      <w:r>
        <w:noBreakHyphen/>
      </w:r>
      <w:r>
        <w:t>23)</w:t>
      </w:r>
    </w:p>
    <w:p w14:paraId="2DA2E711">
      <w:r>
        <w:t xml:space="preserve"> </w:t>
      </w:r>
    </w:p>
    <w:p w14:paraId="4E2CCC9F">
      <w:r>
        <w:rPr>
          <w:rFonts w:hint="eastAsia"/>
        </w:rPr>
        <w:t>其中</w:t>
      </w:r>
      <m:oMath>
        <m:sSub>
          <m:sSubPr/>
          <m:e>
            <m:r>
              <m:rPr/>
              <m:t>ϕ</m:t>
            </m:r>
          </m:e>
          <m:sub>
            <m:r>
              <m:rPr/>
              <m:t>0</m:t>
            </m:r>
          </m:sub>
        </m:sSub>
      </m:oMath>
      <w:r>
        <w:rPr>
          <w:rFonts w:hint="eastAsia"/>
        </w:rPr>
        <w:t>为常数相位项,</w:t>
      </w:r>
      <m:oMath>
        <m:r>
          <m:rPr/>
          <m:t>L</m:t>
        </m:r>
      </m:oMath>
      <w:r>
        <w:rPr>
          <w:rFonts w:hint="eastAsia"/>
        </w:rPr>
        <w:t>决定差频中心频率,</w:t>
      </w:r>
      <m:oMath>
        <m:r>
          <m:rPr/>
          <m:t>Q</m:t>
        </m:r>
      </m:oMath>
      <w:r>
        <w:rPr>
          <w:rFonts w:hint="eastAsia"/>
        </w:rPr>
        <w:t>决定频率随时间的漂移速率。进一步定义差频中心频率</w:t>
      </w:r>
      <m:oMath>
        <m:sSubSup>
          <m:sSubSupPr/>
          <m:e>
            <m:r>
              <m:rPr/>
              <m:t>f</m:t>
            </m:r>
          </m:e>
          <m:sub>
            <m:r>
              <m:rPr/>
              <m:t>D</m:t>
            </m:r>
          </m:sub>
          <m:sup>
            <m:r>
              <m:rPr>
                <m:sty m:val="p"/>
              </m:rPr>
              <m:t>′</m:t>
            </m:r>
          </m:sup>
        </m:sSubSup>
      </m:oMath>
      <w:r>
        <w:rPr>
          <w:rFonts w:hint="eastAsia"/>
        </w:rPr>
        <w:t>满足</w:t>
      </w:r>
      <m:oMath>
        <m:r>
          <m:rPr/>
          <m:t>2π</m:t>
        </m:r>
        <m:sSubSup>
          <m:sSubSupPr/>
          <m:e>
            <m:r>
              <m:rPr/>
              <m:t>f</m:t>
            </m:r>
          </m:e>
          <m:sub>
            <m:r>
              <m:rPr/>
              <m:t>D</m:t>
            </m:r>
          </m:sub>
          <m:sup>
            <m:r>
              <m:rPr>
                <m:sty m:val="p"/>
              </m:rPr>
              <m:t>′</m:t>
            </m:r>
          </m:sup>
        </m:sSubSup>
        <m:r>
          <m:rPr>
            <m:sty m:val="p"/>
          </m:rPr>
          <m:t>=</m:t>
        </m:r>
        <m:r>
          <m:rPr/>
          <m:t>L</m:t>
        </m:r>
      </m:oMath>
      <w:r>
        <w:rPr>
          <w:rFonts w:hint="eastAsia"/>
        </w:rPr>
        <w:t>,可得:</w:t>
      </w:r>
    </w:p>
    <w:p w14:paraId="3690486E">
      <w:r>
        <w:t xml:space="preserve"> </w:t>
      </w:r>
    </w:p>
    <w:p w14:paraId="053734CE">
      <w:pPr>
        <w:pStyle w:val="44"/>
        <w:spacing w:before="0" w:after="0" w:line="400" w:lineRule="atLeast"/>
      </w:pPr>
      <w:r>
        <w:tab/>
      </w:r>
      <m:oMath>
        <m:sSubSup>
          <m:sSubSupPr/>
          <m:e>
            <m:r>
              <m:rPr/>
              <m:t>f</m:t>
            </m:r>
          </m:e>
          <m:sub>
            <m:r>
              <m:rPr/>
              <m:t>D</m:t>
            </m:r>
          </m:sub>
          <m:sup>
            <m:r>
              <m:rPr>
                <m:sty m:val="p"/>
              </m:rPr>
              <m:t>′</m:t>
            </m:r>
          </m:sup>
        </m:sSubSup>
        <m:r>
          <m:rPr>
            <m:sty m:val="p"/>
          </m:rPr>
          <m:t>=</m:t>
        </m:r>
        <m:f>
          <m:fPr/>
          <m:num>
            <m:r>
              <m:rPr/>
              <m:t>1</m:t>
            </m:r>
          </m:num>
          <m:den>
            <m:r>
              <m:rPr/>
              <m:t>2π</m:t>
            </m:r>
          </m:den>
        </m:f>
        <m:d>
          <m:dPr>
            <m:begChr m:val="["/>
            <m:sepChr m:val=""/>
            <m:endChr m:val="]"/>
          </m:dPr>
          <m:e>
            <m:sSub>
              <m:sSubPr/>
              <m:e>
                <m:r>
                  <m:rPr/>
                  <m:t>ω</m:t>
                </m:r>
              </m:e>
              <m:sub>
                <m:r>
                  <m:rPr/>
                  <m:t>0</m:t>
                </m:r>
              </m:sub>
            </m:sSub>
            <m:sSub>
              <m:sSubPr/>
              <m:e>
                <m:r>
                  <m:rPr/>
                  <m:t>τ</m:t>
                </m:r>
              </m:e>
              <m:sub>
                <m:r>
                  <m:rPr/>
                  <m:t>1</m:t>
                </m:r>
              </m:sub>
            </m:sSub>
            <m:sSup>
              <m:sSupPr/>
              <m:e>
                <m:r>
                  <m:rPr/>
                  <m:t>K</m:t>
                </m:r>
              </m:e>
              <m:sup>
                <m:r>
                  <m:rPr>
                    <m:sty m:val="p"/>
                  </m:rPr>
                  <m:t>′</m:t>
                </m:r>
              </m:sup>
            </m:sSup>
            <m:r>
              <m:rPr>
                <m:sty m:val="p"/>
              </m:rPr>
              <m:t>+</m:t>
            </m:r>
            <m:r>
              <m:rPr/>
              <m:t>2π</m:t>
            </m:r>
            <m:f>
              <m:fPr/>
              <m:num>
                <m:r>
                  <m:rPr/>
                  <m:t>B</m:t>
                </m:r>
              </m:num>
              <m:den>
                <m:sSub>
                  <m:sSubPr/>
                  <m:e>
                    <m:r>
                      <m:rPr/>
                      <m:t>T</m:t>
                    </m:r>
                  </m:e>
                  <m:sub>
                    <m:r>
                      <m:rPr/>
                      <m:t>m</m:t>
                    </m:r>
                  </m:sub>
                </m:sSub>
              </m:den>
            </m:f>
            <m:sSub>
              <m:sSubPr/>
              <m:e>
                <m:r>
                  <m:rPr/>
                  <m:t>τ</m:t>
                </m:r>
              </m:e>
              <m:sub>
                <m:r>
                  <m:rPr/>
                  <m:t>g</m:t>
                </m:r>
                <m:r>
                  <m:rPr>
                    <m:sty m:val="p"/>
                  </m:rPr>
                  <m:t>,</m:t>
                </m:r>
                <m:r>
                  <m:rPr/>
                  <m:t>0</m:t>
                </m:r>
              </m:sub>
            </m:sSub>
            <m:r>
              <m:rPr>
                <m:sty m:val="p"/>
              </m:rPr>
              <m:t>(</m:t>
            </m:r>
            <m:r>
              <m:rPr/>
              <m:t>1</m:t>
            </m:r>
            <m:r>
              <m:rPr>
                <m:sty m:val="p"/>
              </m:rPr>
              <m:t>−</m:t>
            </m:r>
            <m:sSub>
              <m:sSubPr/>
              <m:e>
                <m:r>
                  <m:rPr/>
                  <m:t>τ</m:t>
                </m:r>
              </m:e>
              <m:sub>
                <m:r>
                  <m:rPr/>
                  <m:t>1</m:t>
                </m:r>
              </m:sub>
            </m:sSub>
            <m:sSup>
              <m:sSupPr/>
              <m:e>
                <m:r>
                  <m:rPr/>
                  <m:t>K</m:t>
                </m:r>
              </m:e>
              <m:sup>
                <m:r>
                  <m:rPr>
                    <m:sty m:val="p"/>
                  </m:rPr>
                  <m:t>′</m:t>
                </m:r>
              </m:sup>
            </m:sSup>
            <m:r>
              <m:rPr>
                <m:sty m:val="p"/>
              </m:rPr>
              <m:t>)</m:t>
            </m:r>
          </m:e>
        </m:d>
        <m:r>
          <m:rPr>
            <m:sty m:val="p"/>
          </m:rPr>
          <m:t>=</m:t>
        </m:r>
        <m:r>
          <m:rPr/>
          <m:t>K</m:t>
        </m:r>
        <m:sSub>
          <m:sSubPr/>
          <m:e>
            <m:r>
              <m:rPr/>
              <m:t>τ</m:t>
            </m:r>
          </m:e>
          <m:sub>
            <m:r>
              <m:rPr/>
              <m:t>g</m:t>
            </m:r>
            <m:r>
              <m:rPr>
                <m:sty m:val="p"/>
              </m:rPr>
              <m:t>,</m:t>
            </m:r>
            <m:r>
              <m:rPr/>
              <m:t>0</m:t>
            </m:r>
          </m:sub>
        </m:sSub>
        <m:r>
          <m:rPr>
            <m:sty m:val="p"/>
          </m:rPr>
          <m:t>+</m:t>
        </m:r>
        <m:r>
          <m:rPr/>
          <m:t>K</m:t>
        </m:r>
        <m:sSub>
          <m:sSubPr/>
          <m:e>
            <m:r>
              <m:rPr/>
              <m:t>τ</m:t>
            </m:r>
          </m:e>
          <m:sub>
            <m:r>
              <m:rPr/>
              <m:t>1</m:t>
            </m:r>
          </m:sub>
        </m:sSub>
        <m:r>
          <m:rPr>
            <m:sty m:val="p"/>
          </m:rPr>
          <m:t>(</m:t>
        </m:r>
        <m:sSub>
          <m:sSubPr/>
          <m:e>
            <m:r>
              <m:rPr/>
              <m:t>ω</m:t>
            </m:r>
          </m:e>
          <m:sub>
            <m:r>
              <m:rPr/>
              <m:t>0</m:t>
            </m:r>
          </m:sub>
        </m:sSub>
        <m:r>
          <m:rPr>
            <m:sty m:val="p"/>
          </m:rPr>
          <m:t>−</m:t>
        </m:r>
        <m:sSup>
          <m:sSupPr/>
          <m:e>
            <m:r>
              <m:rPr/>
              <m:t>K</m:t>
            </m:r>
          </m:e>
          <m:sup>
            <m:r>
              <m:rPr>
                <m:sty m:val="p"/>
              </m:rPr>
              <m:t>′</m:t>
            </m:r>
          </m:sup>
        </m:sSup>
        <m:sSub>
          <m:sSubPr/>
          <m:e>
            <m:r>
              <m:rPr/>
              <m:t>τ</m:t>
            </m:r>
          </m:e>
          <m:sub>
            <m:r>
              <m:rPr/>
              <m:t>g</m:t>
            </m:r>
            <m:r>
              <m:rPr>
                <m:sty m:val="p"/>
              </m:rPr>
              <m:t>,</m:t>
            </m:r>
            <m:r>
              <m:rPr/>
              <m:t>0</m:t>
            </m:r>
          </m:sub>
        </m:sSub>
        <m:r>
          <m:rPr>
            <m:sty m:val="p"/>
          </m:rPr>
          <m:t>)</m:t>
        </m:r>
      </m:oMath>
      <w:r>
        <w:tab/>
      </w:r>
      <w:r>
        <w:t>(3</w:t>
      </w:r>
      <w:r>
        <w:noBreakHyphen/>
      </w:r>
      <w:r>
        <w:t>24)</w:t>
      </w:r>
    </w:p>
    <w:p w14:paraId="2C3408D8">
      <w:r>
        <w:t xml:space="preserve"> </w:t>
      </w:r>
    </w:p>
    <w:p w14:paraId="3E9F6FFA">
      <w:r>
        <w:rPr>
          <w:rFonts w:hint="eastAsia"/>
        </w:rPr>
        <w:t>同样地,令</w:t>
      </w:r>
      <m:oMath>
        <m:r>
          <m:rPr/>
          <m:t>πα</m:t>
        </m:r>
        <m:r>
          <m:rPr>
            <m:sty m:val="p"/>
          </m:rPr>
          <m:t>=</m:t>
        </m:r>
        <m:r>
          <m:rPr/>
          <m:t>Q</m:t>
        </m:r>
      </m:oMath>
      <w:r>
        <w:rPr>
          <w:rFonts w:hint="eastAsia"/>
        </w:rPr>
        <w:t>,即</w:t>
      </w:r>
      <m:oMath>
        <m:r>
          <m:rPr/>
          <m:t>α</m:t>
        </m:r>
        <m:r>
          <m:rPr>
            <m:sty m:val="p"/>
          </m:rPr>
          <m:t>=</m:t>
        </m:r>
        <m:r>
          <m:rPr/>
          <m:t>Q</m:t>
        </m:r>
        <m:r>
          <m:rPr>
            <m:sty m:val="p"/>
          </m:rPr>
          <m:t>/</m:t>
        </m:r>
        <m:r>
          <m:rPr/>
          <m:t>π</m:t>
        </m:r>
      </m:oMath>
      <w:r>
        <w:rPr>
          <w:rFonts w:hint="eastAsia"/>
        </w:rPr>
        <w:t>,再代入</w:t>
      </w:r>
      <m:oMath>
        <m:sSub>
          <m:sSubPr/>
          <m:e>
            <m:r>
              <m:rPr/>
              <m:t>A</m:t>
            </m:r>
          </m:e>
          <m:sub>
            <m:r>
              <m:rPr/>
              <m:t>1</m:t>
            </m:r>
          </m:sub>
        </m:sSub>
        <m:r>
          <m:rPr>
            <m:sty m:val="p"/>
          </m:rPr>
          <m:t>=</m:t>
        </m:r>
        <m:sSub>
          <m:sSubPr/>
          <m:e>
            <m:r>
              <m:rPr/>
              <m:t>τ</m:t>
            </m:r>
          </m:e>
          <m:sub>
            <m:r>
              <m:rPr/>
              <m:t>1</m:t>
            </m:r>
          </m:sub>
        </m:sSub>
        <m:sSup>
          <m:sSupPr/>
          <m:e>
            <m:r>
              <m:rPr/>
              <m:t>K</m:t>
            </m:r>
          </m:e>
          <m:sup>
            <m:r>
              <m:rPr>
                <m:sty m:val="p"/>
              </m:rPr>
              <m:t>′</m:t>
            </m:r>
          </m:sup>
        </m:sSup>
      </m:oMath>
      <w:r>
        <w:t>、</w:t>
      </w:r>
      <m:oMath>
        <m:sSub>
          <m:sSubPr/>
          <m:e>
            <m:r>
              <m:rPr/>
              <m:t>A</m:t>
            </m:r>
          </m:e>
          <m:sub>
            <m:r>
              <m:rPr/>
              <m:t>2</m:t>
            </m:r>
          </m:sub>
        </m:sSub>
        <m:r>
          <m:rPr>
            <m:sty m:val="p"/>
          </m:rPr>
          <m:t>=</m:t>
        </m:r>
        <m:sSub>
          <m:sSubPr/>
          <m:e>
            <m:r>
              <m:rPr/>
              <m:t>τ</m:t>
            </m:r>
          </m:e>
          <m:sub>
            <m:r>
              <m:rPr/>
              <m:t>2</m:t>
            </m:r>
          </m:sub>
        </m:sSub>
        <m:r>
          <m:rPr>
            <m:sty m:val="p"/>
          </m:rPr>
          <m:t>(</m:t>
        </m:r>
        <m:sSup>
          <m:sSupPr/>
          <m:e>
            <m:r>
              <m:rPr/>
              <m:t>K</m:t>
            </m:r>
          </m:e>
          <m:sup>
            <m:r>
              <m:rPr>
                <m:sty m:val="p"/>
              </m:rPr>
              <m:t>′</m:t>
            </m:r>
          </m:sup>
        </m:sSup>
        <m:sSup>
          <m:sSupPr/>
          <m:e>
            <m:r>
              <m:rPr>
                <m:sty m:val="p"/>
              </m:rPr>
              <m:t>)</m:t>
            </m:r>
          </m:e>
          <m:sup>
            <m:r>
              <m:rPr/>
              <m:t>2</m:t>
            </m:r>
          </m:sup>
        </m:sSup>
        <m:r>
          <m:rPr>
            <m:sty m:val="p"/>
          </m:rPr>
          <m:t>/</m:t>
        </m:r>
        <m:r>
          <m:rPr/>
          <m:t>2</m:t>
        </m:r>
      </m:oMath>
      <w:r>
        <w:rPr>
          <w:rFonts w:hint="eastAsia"/>
        </w:rPr>
        <w:t>,并将包含</w:t>
      </w:r>
      <m:oMath>
        <m:sSub>
          <m:sSubPr/>
          <m:e>
            <m:r>
              <m:rPr/>
              <m:t>A</m:t>
            </m:r>
          </m:e>
          <m:sub>
            <m:r>
              <m:rPr/>
              <m:t>2</m:t>
            </m:r>
          </m:sub>
        </m:sSub>
      </m:oMath>
      <w:r>
        <w:rPr>
          <w:rFonts w:hint="eastAsia"/>
        </w:rPr>
        <w:t>的项完全展开到</w:t>
      </w:r>
      <m:oMath>
        <m:sSub>
          <m:sSubPr/>
          <m:e>
            <m:r>
              <m:rPr/>
              <m:t>τ</m:t>
            </m:r>
          </m:e>
          <m:sub>
            <m:r>
              <m:rPr/>
              <m:t>g</m:t>
            </m:r>
            <m:r>
              <m:rPr>
                <m:sty m:val="p"/>
              </m:rPr>
              <m:t>,</m:t>
            </m:r>
            <m:r>
              <m:rPr/>
              <m:t>0</m:t>
            </m:r>
          </m:sub>
        </m:sSub>
        <m:sSub>
          <m:sSubPr/>
          <m:e>
            <m:r>
              <m:rPr/>
              <m:t>τ</m:t>
            </m:r>
          </m:e>
          <m:sub>
            <m:r>
              <m:rPr/>
              <m:t>2</m:t>
            </m:r>
          </m:sub>
        </m:sSub>
        <m:r>
          <m:rPr>
            <m:sty m:val="p"/>
          </m:rPr>
          <m:t>(</m:t>
        </m:r>
        <m:sSup>
          <m:sSupPr/>
          <m:e>
            <m:r>
              <m:rPr/>
              <m:t>K</m:t>
            </m:r>
          </m:e>
          <m:sup>
            <m:r>
              <m:rPr>
                <m:sty m:val="p"/>
              </m:rPr>
              <m:t>′</m:t>
            </m:r>
          </m:sup>
        </m:sSup>
        <m:sSup>
          <m:sSupPr/>
          <m:e>
            <m:r>
              <m:rPr>
                <m:sty m:val="p"/>
              </m:rPr>
              <m:t>)</m:t>
            </m:r>
          </m:e>
          <m:sup>
            <m:r>
              <m:rPr/>
              <m:t>2</m:t>
            </m:r>
          </m:sup>
        </m:sSup>
      </m:oMath>
      <w:r>
        <w:rPr>
          <w:rFonts w:hint="eastAsia"/>
        </w:rPr>
        <w:t>的形式,得到:</w:t>
      </w:r>
    </w:p>
    <w:p w14:paraId="115D9687">
      <w:r>
        <w:t xml:space="preserve"> </w:t>
      </w:r>
    </w:p>
    <w:p w14:paraId="51CEC697">
      <w:pPr>
        <w:pStyle w:val="44"/>
        <w:spacing w:before="0" w:after="0" w:line="400" w:lineRule="atLeast"/>
      </w:pPr>
      <w:r>
        <w:tab/>
      </w:r>
      <m:oMath>
        <m:r>
          <m:rPr/>
          <m:t>α</m:t>
        </m:r>
        <m:r>
          <m:rPr>
            <m:sty m:val="p"/>
          </m:rPr>
          <m:t>=</m:t>
        </m:r>
        <m:f>
          <m:fPr/>
          <m:num>
            <m:sSub>
              <m:sSubPr/>
              <m:e>
                <m:r>
                  <m:rPr/>
                  <m:t>ω</m:t>
                </m:r>
              </m:e>
              <m:sub>
                <m:r>
                  <m:rPr/>
                  <m:t>0</m:t>
                </m:r>
              </m:sub>
            </m:sSub>
            <m:sSub>
              <m:sSubPr/>
              <m:e>
                <m:r>
                  <m:rPr/>
                  <m:t>τ</m:t>
                </m:r>
              </m:e>
              <m:sub>
                <m:r>
                  <m:rPr/>
                  <m:t>2</m:t>
                </m:r>
              </m:sub>
            </m:sSub>
            <m:r>
              <m:rPr>
                <m:sty m:val="p"/>
              </m:rPr>
              <m:t>(</m:t>
            </m:r>
            <m:sSup>
              <m:sSupPr/>
              <m:e>
                <m:r>
                  <m:rPr/>
                  <m:t>K</m:t>
                </m:r>
              </m:e>
              <m:sup>
                <m:r>
                  <m:rPr>
                    <m:sty m:val="p"/>
                  </m:rPr>
                  <m:t>′</m:t>
                </m:r>
              </m:sup>
            </m:sSup>
            <m:sSup>
              <m:sSupPr/>
              <m:e>
                <m:r>
                  <m:rPr>
                    <m:sty m:val="p"/>
                  </m:rPr>
                  <m:t>)</m:t>
                </m:r>
              </m:e>
              <m:sup>
                <m:r>
                  <m:rPr/>
                  <m:t>2</m:t>
                </m:r>
              </m:sup>
            </m:sSup>
          </m:num>
          <m:den>
            <m:r>
              <m:rPr/>
              <m:t>2π</m:t>
            </m:r>
          </m:den>
        </m:f>
        <m:r>
          <m:rPr>
            <m:sty m:val="p"/>
          </m:rPr>
          <m:t>+</m:t>
        </m:r>
        <m:f>
          <m:fPr/>
          <m:num>
            <m:r>
              <m:rPr/>
              <m:t>2B</m:t>
            </m:r>
          </m:num>
          <m:den>
            <m:sSub>
              <m:sSubPr/>
              <m:e>
                <m:r>
                  <m:rPr/>
                  <m:t>T</m:t>
                </m:r>
              </m:e>
              <m:sub>
                <m:r>
                  <m:rPr/>
                  <m:t>m</m:t>
                </m:r>
              </m:sub>
            </m:sSub>
          </m:den>
        </m:f>
        <m:sSub>
          <m:sSubPr/>
          <m:e>
            <m:r>
              <m:rPr/>
              <m:t>τ</m:t>
            </m:r>
          </m:e>
          <m:sub>
            <m:r>
              <m:rPr/>
              <m:t>1</m:t>
            </m:r>
          </m:sub>
        </m:sSub>
        <m:sSup>
          <m:sSupPr/>
          <m:e>
            <m:r>
              <m:rPr/>
              <m:t>K</m:t>
            </m:r>
          </m:e>
          <m:sup>
            <m:r>
              <m:rPr>
                <m:sty m:val="p"/>
              </m:rPr>
              <m:t>′</m:t>
            </m:r>
          </m:sup>
        </m:sSup>
        <m:r>
          <m:rPr>
            <m:sty m:val="p"/>
          </m:rPr>
          <m:t>−</m:t>
        </m:r>
        <m:f>
          <m:fPr/>
          <m:num>
            <m:r>
              <m:rPr/>
              <m:t>B</m:t>
            </m:r>
          </m:num>
          <m:den>
            <m:sSub>
              <m:sSubPr/>
              <m:e>
                <m:r>
                  <m:rPr/>
                  <m:t>T</m:t>
                </m:r>
              </m:e>
              <m:sub>
                <m:r>
                  <m:rPr/>
                  <m:t>m</m:t>
                </m:r>
              </m:sub>
            </m:sSub>
          </m:den>
        </m:f>
        <m:r>
          <m:rPr>
            <m:sty m:val="p"/>
          </m:rPr>
          <m:t>(</m:t>
        </m:r>
        <m:sSub>
          <m:sSubPr/>
          <m:e>
            <m:r>
              <m:rPr/>
              <m:t>τ</m:t>
            </m:r>
          </m:e>
          <m:sub>
            <m:r>
              <m:rPr/>
              <m:t>1</m:t>
            </m:r>
          </m:sub>
        </m:sSub>
        <m:sSup>
          <m:sSupPr/>
          <m:e>
            <m:r>
              <m:rPr/>
              <m:t>K</m:t>
            </m:r>
          </m:e>
          <m:sup>
            <m:r>
              <m:rPr>
                <m:sty m:val="p"/>
              </m:rPr>
              <m:t>′</m:t>
            </m:r>
          </m:sup>
        </m:sSup>
        <m:sSup>
          <m:sSupPr/>
          <m:e>
            <m:r>
              <m:rPr>
                <m:sty m:val="p"/>
              </m:rPr>
              <m:t>)</m:t>
            </m:r>
          </m:e>
          <m:sup>
            <m:r>
              <m:rPr/>
              <m:t>2</m:t>
            </m:r>
          </m:sup>
        </m:sSup>
        <m:r>
          <m:rPr>
            <m:sty m:val="p"/>
          </m:rPr>
          <m:t>−</m:t>
        </m:r>
        <m:f>
          <m:fPr/>
          <m:num>
            <m:r>
              <m:rPr/>
              <m:t>B</m:t>
            </m:r>
          </m:num>
          <m:den>
            <m:sSub>
              <m:sSubPr/>
              <m:e>
                <m:r>
                  <m:rPr/>
                  <m:t>T</m:t>
                </m:r>
              </m:e>
              <m:sub>
                <m:r>
                  <m:rPr/>
                  <m:t>m</m:t>
                </m:r>
              </m:sub>
            </m:sSub>
          </m:den>
        </m:f>
        <m:sSub>
          <m:sSubPr/>
          <m:e>
            <m:r>
              <m:rPr/>
              <m:t>τ</m:t>
            </m:r>
          </m:e>
          <m:sub>
            <m:r>
              <m:rPr/>
              <m:t>g</m:t>
            </m:r>
            <m:r>
              <m:rPr>
                <m:sty m:val="p"/>
              </m:rPr>
              <m:t>,</m:t>
            </m:r>
            <m:r>
              <m:rPr/>
              <m:t>0</m:t>
            </m:r>
          </m:sub>
        </m:sSub>
        <m:sSub>
          <m:sSubPr/>
          <m:e>
            <m:r>
              <m:rPr/>
              <m:t>τ</m:t>
            </m:r>
          </m:e>
          <m:sub>
            <m:r>
              <m:rPr/>
              <m:t>2</m:t>
            </m:r>
          </m:sub>
        </m:sSub>
        <m:r>
          <m:rPr>
            <m:sty m:val="p"/>
          </m:rPr>
          <m:t>(</m:t>
        </m:r>
        <m:sSup>
          <m:sSupPr/>
          <m:e>
            <m:r>
              <m:rPr/>
              <m:t>K</m:t>
            </m:r>
          </m:e>
          <m:sup>
            <m:r>
              <m:rPr>
                <m:sty m:val="p"/>
              </m:rPr>
              <m:t>′</m:t>
            </m:r>
          </m:sup>
        </m:sSup>
        <m:sSup>
          <m:sSupPr/>
          <m:e>
            <m:r>
              <m:rPr>
                <m:sty m:val="p"/>
              </m:rPr>
              <m:t>)</m:t>
            </m:r>
          </m:e>
          <m:sup>
            <m:r>
              <m:rPr/>
              <m:t>2</m:t>
            </m:r>
          </m:sup>
        </m:sSup>
      </m:oMath>
      <w:r>
        <w:tab/>
      </w:r>
      <w:r>
        <w:t>(3</w:t>
      </w:r>
      <w:r>
        <w:noBreakHyphen/>
      </w:r>
      <w:r>
        <w:t>25)</w:t>
      </w:r>
    </w:p>
    <w:p w14:paraId="444E08D4">
      <w:r>
        <w:t xml:space="preserve"> </w:t>
      </w:r>
    </w:p>
    <w:p w14:paraId="0E0A94CB">
      <w:r>
        <w:rPr>
          <w:rFonts w:hint="eastAsia"/>
        </w:rPr>
        <w:t>由此,差频相位可等价写为</w:t>
      </w:r>
      <m:oMath>
        <m:r>
          <m:rPr>
            <m:sty m:val="p"/>
          </m:rPr>
          <m:t>Δ</m:t>
        </m:r>
        <m:r>
          <m:rPr/>
          <m:t>ϕ</m:t>
        </m:r>
        <m:r>
          <m:rPr>
            <m:sty m:val="p"/>
          </m:rPr>
          <m:t>(</m:t>
        </m:r>
        <m:r>
          <m:rPr/>
          <m:t>t</m:t>
        </m:r>
        <m:r>
          <m:rPr>
            <m:sty m:val="p"/>
          </m:rPr>
          <m:t>)=</m:t>
        </m:r>
        <m:sSub>
          <m:sSubPr/>
          <m:e>
            <m:r>
              <m:rPr/>
              <m:t>ϕ</m:t>
            </m:r>
          </m:e>
          <m:sub>
            <m:r>
              <m:rPr/>
              <m:t>0</m:t>
            </m:r>
          </m:sub>
        </m:sSub>
        <m:r>
          <m:rPr>
            <m:sty m:val="p"/>
          </m:rPr>
          <m:t>+</m:t>
        </m:r>
        <m:r>
          <m:rPr/>
          <m:t>2π</m:t>
        </m:r>
        <m:sSubSup>
          <m:sSubSupPr/>
          <m:e>
            <m:r>
              <m:rPr/>
              <m:t>f</m:t>
            </m:r>
          </m:e>
          <m:sub>
            <m:r>
              <m:rPr/>
              <m:t>D</m:t>
            </m:r>
          </m:sub>
          <m:sup>
            <m:r>
              <m:rPr>
                <m:sty m:val="p"/>
              </m:rPr>
              <m:t>′</m:t>
            </m:r>
          </m:sup>
        </m:sSubSup>
        <m:r>
          <m:rPr/>
          <m:t>t</m:t>
        </m:r>
        <m:r>
          <m:rPr>
            <m:sty m:val="p"/>
          </m:rPr>
          <m:t>+</m:t>
        </m:r>
        <m:r>
          <m:rPr/>
          <m:t>πα</m:t>
        </m:r>
        <m:sSup>
          <m:sSupPr/>
          <m:e>
            <m:r>
              <m:rPr/>
              <m:t>t</m:t>
            </m:r>
          </m:e>
          <m:sup>
            <m:r>
              <m:rPr/>
              <m:t>2</m:t>
            </m:r>
          </m:sup>
        </m:sSup>
      </m:oMath>
      <w:r>
        <w:rPr>
          <w:rFonts w:hint="eastAsia"/>
        </w:rPr>
        <w:t>,其对应的瞬时频率为:</w:t>
      </w:r>
    </w:p>
    <w:p w14:paraId="1C4E7C92">
      <w:r>
        <w:t xml:space="preserve"> </w:t>
      </w:r>
    </w:p>
    <w:p w14:paraId="32B04D79">
      <w:pPr>
        <w:pStyle w:val="44"/>
        <w:spacing w:before="0" w:after="0" w:line="400" w:lineRule="atLeast"/>
      </w:pPr>
      <w:r>
        <w:tab/>
      </w:r>
      <m:oMath>
        <m:sSub>
          <m:sSubPr/>
          <m:e>
            <m:r>
              <m:rPr/>
              <m:t>f</m:t>
            </m:r>
          </m:e>
          <m:sub>
            <m:r>
              <m:rPr/>
              <m:t>D</m:t>
            </m:r>
          </m:sub>
        </m:sSub>
        <m:r>
          <m:rPr>
            <m:sty m:val="p"/>
          </m:rPr>
          <m:t>(</m:t>
        </m:r>
        <m:r>
          <m:rPr/>
          <m:t>t</m:t>
        </m:r>
        <m:r>
          <m:rPr>
            <m:sty m:val="p"/>
          </m:rPr>
          <m:t>)=</m:t>
        </m:r>
        <m:f>
          <m:fPr/>
          <m:num>
            <m:r>
              <m:rPr/>
              <m:t>1</m:t>
            </m:r>
          </m:num>
          <m:den>
            <m:r>
              <m:rPr/>
              <m:t>2π</m:t>
            </m:r>
          </m:den>
        </m:f>
        <m:f>
          <m:fPr/>
          <m:num>
            <m:r>
              <m:rPr/>
              <m:t>d</m:t>
            </m:r>
            <m:r>
              <m:rPr>
                <m:sty m:val="p"/>
              </m:rPr>
              <m:t>Δ</m:t>
            </m:r>
            <m:r>
              <m:rPr/>
              <m:t>ϕ</m:t>
            </m:r>
          </m:num>
          <m:den>
            <m:r>
              <m:rPr/>
              <m:t>dt</m:t>
            </m:r>
          </m:den>
        </m:f>
        <m:r>
          <m:rPr>
            <m:sty m:val="p"/>
          </m:rPr>
          <m:t>=</m:t>
        </m:r>
        <m:sSubSup>
          <m:sSubSupPr/>
          <m:e>
            <m:r>
              <m:rPr/>
              <m:t>f</m:t>
            </m:r>
          </m:e>
          <m:sub>
            <m:r>
              <m:rPr/>
              <m:t>D</m:t>
            </m:r>
          </m:sub>
          <m:sup>
            <m:r>
              <m:rPr>
                <m:sty m:val="p"/>
              </m:rPr>
              <m:t>′</m:t>
            </m:r>
          </m:sup>
        </m:sSubSup>
        <m:r>
          <m:rPr>
            <m:sty m:val="p"/>
          </m:rPr>
          <m:t>+</m:t>
        </m:r>
        <m:r>
          <m:rPr/>
          <m:t>αt</m:t>
        </m:r>
      </m:oMath>
      <w:r>
        <w:tab/>
      </w:r>
      <w:r>
        <w:t>(3</w:t>
      </w:r>
      <w:r>
        <w:noBreakHyphen/>
      </w:r>
      <w:r>
        <w:t>26)</w:t>
      </w:r>
    </w:p>
    <w:p w14:paraId="4D020C75">
      <w:r>
        <w:t xml:space="preserve"> </w:t>
      </w:r>
    </w:p>
    <w:p w14:paraId="1FA8CAA8">
      <w:r>
        <w:rPr>
          <w:rFonts w:hint="eastAsia"/>
        </w:rPr>
        <w:t>式(3-26)表明,差频信号已由稳态单频形式转变为瞬时频率随时间线性漂移的非稳态调频信号。如下图所示,无色散条件下瞬时频率近似保持常值,而强色散条件下则呈现明显斜向轨迹。</w:t>
      </w:r>
    </w:p>
    <w:p w14:paraId="57F6F10B">
      <w:pPr>
        <w:spacing w:line="240" w:lineRule="auto"/>
        <w:ind w:firstLine="480"/>
        <w:jc w:val="center"/>
        <w:rPr>
          <w:rFonts w:hint="eastAsia" w:ascii="宋体" w:hAnsi="宋体" w:eastAsia="宋体"/>
          <w:szCs w:val="24"/>
          <w:lang w:eastAsia="zh-CN"/>
        </w:rPr>
      </w:pPr>
      <w:r>
        <w:rPr>
          <w:rFonts w:hint="eastAsia" w:ascii="宋体" w:hAnsi="宋体" w:eastAsia="宋体"/>
          <w:szCs w:val="24"/>
          <w:lang w:eastAsia="zh-CN"/>
        </w:rPr>
        <w:drawing>
          <wp:inline distT="0" distB="0" distL="114300" distR="114300">
            <wp:extent cx="4963795" cy="2853690"/>
            <wp:effectExtent l="0" t="0" r="4445" b="11430"/>
            <wp:docPr id="17" name="图片 17" descr="fig_2_2_dispersion_comparison_layout_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ig_2_2_dispersion_comparison_layout_fixed"/>
                    <pic:cNvPicPr>
                      <a:picLocks noChangeAspect="1"/>
                    </pic:cNvPicPr>
                  </pic:nvPicPr>
                  <pic:blipFill>
                    <a:blip r:embed="rId23"/>
                    <a:stretch>
                      <a:fillRect/>
                    </a:stretch>
                  </pic:blipFill>
                  <pic:spPr>
                    <a:xfrm>
                      <a:off x="0" y="0"/>
                      <a:ext cx="4963795" cy="2853690"/>
                    </a:xfrm>
                    <a:prstGeom prst="rect">
                      <a:avLst/>
                    </a:prstGeom>
                  </pic:spPr>
                </pic:pic>
              </a:graphicData>
            </a:graphic>
          </wp:inline>
        </w:drawing>
      </w:r>
    </w:p>
    <w:p w14:paraId="237AA24F">
      <w:r>
        <w:rPr>
          <w:rFonts w:hint="eastAsia"/>
        </w:rPr>
        <w:t xml:space="preserve"> </w:t>
      </w:r>
    </w:p>
    <w:p w14:paraId="4FB14860">
      <w:pPr>
        <w:pStyle w:val="43"/>
        <w:bidi w:val="0"/>
      </w:pPr>
      <w:r>
        <w:t xml:space="preserve"> </w:t>
      </w:r>
      <w:r>
        <w:rPr>
          <w:rFonts w:hint="eastAsia"/>
        </w:rPr>
        <w:t>固定碰撞频率条件下不同电子密度的相对群时延曲线（CST</w:t>
      </w:r>
      <w:r>
        <w:t xml:space="preserve"> </w:t>
      </w:r>
      <w:r>
        <w:rPr>
          <w:rFonts w:hint="eastAsia"/>
        </w:rPr>
        <w:t>全波仿真）</w:t>
      </w:r>
    </w:p>
    <w:p w14:paraId="564A7463"/>
    <w:p w14:paraId="7D4E0112">
      <w:r>
        <w:rPr>
          <w:rFonts w:hint="eastAsia"/>
        </w:rPr>
        <w:t>图3-9</w:t>
      </w:r>
      <w:r>
        <w:t xml:space="preserve"> </w:t>
      </w:r>
      <w:r>
        <w:rPr>
          <w:rFonts w:hint="eastAsia"/>
        </w:rPr>
        <w:t>差频信号瞬时频率演化的时频分析对比</w:t>
      </w:r>
    </w:p>
    <w:bookmarkEnd w:id="50"/>
    <w:p w14:paraId="5FCFF44C">
      <w:pPr>
        <w:pStyle w:val="4"/>
      </w:pPr>
      <w:bookmarkStart w:id="51" w:name="频谱特征量化二阶色散导致的散焦效应与带宽耦合机制"/>
      <w:r>
        <w:rPr>
          <w:rFonts w:hint="eastAsia"/>
        </w:rPr>
        <w:t>频谱特征量化:二阶色散导致的散焦效应与带宽耦合机制</w:t>
      </w:r>
    </w:p>
    <w:p w14:paraId="7C543B20">
      <w:r>
        <w:rPr>
          <w:rFonts w:hint="eastAsia"/>
        </w:rPr>
        <w:t>3.4.2节揭示了色散导致差频信号相位呈二次型畸变,瞬时频率随时间线性漂移。本节将这一时域特征映射到频域,定量分析对FFT频谱的影响,并建立频谱展宽与系统带宽的解析关系。</w:t>
      </w:r>
    </w:p>
    <w:p w14:paraId="3B73B477">
      <w:r>
        <w:rPr>
          <w:rFonts w:hint="eastAsia"/>
        </w:rPr>
        <w:t>对于上述Chirp信号</w:t>
      </w:r>
      <m:oMath>
        <m:sSub>
          <m:sSubPr/>
          <m:e>
            <m:r>
              <m:rPr/>
              <m:t>s</m:t>
            </m:r>
          </m:e>
          <m:sub>
            <m:r>
              <m:rPr/>
              <m:t>D</m:t>
            </m:r>
          </m:sub>
        </m:sSub>
        <m:r>
          <m:rPr>
            <m:sty m:val="p"/>
          </m:rPr>
          <m:t>(</m:t>
        </m:r>
        <m:r>
          <m:rPr/>
          <m:t>t</m:t>
        </m:r>
        <m:r>
          <m:rPr>
            <m:sty m:val="p"/>
          </m:rPr>
          <m:t>)=exp{</m:t>
        </m:r>
        <m:r>
          <m:rPr/>
          <m:t>j</m:t>
        </m:r>
        <m:r>
          <m:rPr>
            <m:sty m:val="p"/>
          </m:rPr>
          <m:t>[</m:t>
        </m:r>
        <m:sSub>
          <m:sSubPr/>
          <m:e>
            <m:r>
              <m:rPr/>
              <m:t>ϕ</m:t>
            </m:r>
          </m:e>
          <m:sub>
            <m:r>
              <m:rPr/>
              <m:t>0</m:t>
            </m:r>
          </m:sub>
        </m:sSub>
        <m:r>
          <m:rPr>
            <m:sty m:val="p"/>
          </m:rPr>
          <m:t>+</m:t>
        </m:r>
        <m:r>
          <m:rPr/>
          <m:t>2π</m:t>
        </m:r>
        <m:sSubSup>
          <m:sSubSupPr/>
          <m:e>
            <m:r>
              <m:rPr/>
              <m:t>f</m:t>
            </m:r>
          </m:e>
          <m:sub>
            <m:r>
              <m:rPr/>
              <m:t>D</m:t>
            </m:r>
          </m:sub>
          <m:sup>
            <m:r>
              <m:rPr>
                <m:sty m:val="p"/>
              </m:rPr>
              <m:t>′</m:t>
            </m:r>
          </m:sup>
        </m:sSubSup>
        <m:r>
          <m:rPr/>
          <m:t>t</m:t>
        </m:r>
        <m:r>
          <m:rPr>
            <m:sty m:val="p"/>
          </m:rPr>
          <m:t>+</m:t>
        </m:r>
        <m:r>
          <m:rPr/>
          <m:t>πα</m:t>
        </m:r>
        <m:sSup>
          <m:sSupPr/>
          <m:e>
            <m:r>
              <m:rPr/>
              <m:t>t</m:t>
            </m:r>
          </m:e>
          <m:sup>
            <m:r>
              <m:rPr/>
              <m:t>2</m:t>
            </m:r>
          </m:sup>
        </m:sSup>
        <m:r>
          <m:rPr>
            <m:sty m:val="p"/>
          </m:rPr>
          <m:t>]}</m:t>
        </m:r>
      </m:oMath>
      <w:r>
        <w:rPr>
          <w:rFonts w:hint="eastAsia"/>
        </w:rPr>
        <w:t>,瞬时频率在</w:t>
      </w:r>
      <m:oMath>
        <m:r>
          <m:rPr/>
          <m:t>t</m:t>
        </m:r>
        <m:r>
          <m:rPr>
            <m:sty m:val="p"/>
          </m:rPr>
          <m:t>∈[</m:t>
        </m:r>
        <m:r>
          <m:rPr/>
          <m:t>0</m:t>
        </m:r>
        <m:r>
          <m:rPr>
            <m:sty m:val="p"/>
          </m:rPr>
          <m:t>,</m:t>
        </m:r>
        <m:sSub>
          <m:sSubPr/>
          <m:e>
            <m:r>
              <m:rPr/>
              <m:t>T</m:t>
            </m:r>
          </m:e>
          <m:sub>
            <m:r>
              <m:rPr/>
              <m:t>m</m:t>
            </m:r>
          </m:sub>
        </m:sSub>
        <m:r>
          <m:rPr>
            <m:sty m:val="p"/>
          </m:rPr>
          <m:t>]</m:t>
        </m:r>
      </m:oMath>
      <w:r>
        <w:rPr>
          <w:rFonts w:hint="eastAsia"/>
        </w:rPr>
        <w:t>内从</w:t>
      </w:r>
      <m:oMath>
        <m:sSub>
          <m:sSubPr/>
          <m:e>
            <m:r>
              <m:rPr/>
              <m:t>f</m:t>
            </m:r>
          </m:e>
          <m:sub>
            <m:r>
              <m:rPr/>
              <m:t>D</m:t>
            </m:r>
          </m:sub>
        </m:sSub>
        <m:r>
          <m:rPr>
            <m:sty m:val="p"/>
          </m:rPr>
          <m:t>(</m:t>
        </m:r>
        <m:r>
          <m:rPr/>
          <m:t>0</m:t>
        </m:r>
        <m:r>
          <m:rPr>
            <m:sty m:val="p"/>
          </m:rPr>
          <m:t>)=</m:t>
        </m:r>
        <m:sSubSup>
          <m:sSubSupPr/>
          <m:e>
            <m:r>
              <m:rPr/>
              <m:t>f</m:t>
            </m:r>
          </m:e>
          <m:sub>
            <m:r>
              <m:rPr/>
              <m:t>D</m:t>
            </m:r>
          </m:sub>
          <m:sup>
            <m:r>
              <m:rPr>
                <m:sty m:val="p"/>
              </m:rPr>
              <m:t>′</m:t>
            </m:r>
          </m:sup>
        </m:sSubSup>
      </m:oMath>
      <w:r>
        <w:rPr>
          <w:rFonts w:hint="eastAsia"/>
        </w:rPr>
        <w:t>变化到</w:t>
      </w:r>
      <m:oMath>
        <m:sSub>
          <m:sSubPr/>
          <m:e>
            <m:r>
              <m:rPr/>
              <m:t>f</m:t>
            </m:r>
          </m:e>
          <m:sub>
            <m:r>
              <m:rPr/>
              <m:t>D</m:t>
            </m:r>
          </m:sub>
        </m:sSub>
        <m:r>
          <m:rPr>
            <m:sty m:val="p"/>
          </m:rPr>
          <m:t>(</m:t>
        </m:r>
        <m:sSub>
          <m:sSubPr/>
          <m:e>
            <m:r>
              <m:rPr/>
              <m:t>T</m:t>
            </m:r>
          </m:e>
          <m:sub>
            <m:r>
              <m:rPr/>
              <m:t>m</m:t>
            </m:r>
          </m:sub>
        </m:sSub>
        <m:r>
          <m:rPr>
            <m:sty m:val="p"/>
          </m:rPr>
          <m:t>)=</m:t>
        </m:r>
        <m:sSubSup>
          <m:sSubSupPr/>
          <m:e>
            <m:r>
              <m:rPr/>
              <m:t>f</m:t>
            </m:r>
          </m:e>
          <m:sub>
            <m:r>
              <m:rPr/>
              <m:t>D</m:t>
            </m:r>
          </m:sub>
          <m:sup>
            <m:r>
              <m:rPr>
                <m:sty m:val="p"/>
              </m:rPr>
              <m:t>′</m:t>
            </m:r>
          </m:sup>
        </m:sSubSup>
        <m:r>
          <m:rPr>
            <m:sty m:val="p"/>
          </m:rPr>
          <m:t>+</m:t>
        </m:r>
        <m:r>
          <m:rPr/>
          <m:t>α</m:t>
        </m:r>
        <m:sSub>
          <m:sSubPr/>
          <m:e>
            <m:r>
              <m:rPr/>
              <m:t>T</m:t>
            </m:r>
          </m:e>
          <m:sub>
            <m:r>
              <m:rPr/>
              <m:t>m</m:t>
            </m:r>
          </m:sub>
        </m:sSub>
      </m:oMath>
      <w:r>
        <w:rPr>
          <w:rFonts w:hint="eastAsia"/>
        </w:rPr>
        <w:t>。频谱展宽定义为瞬时频率的扫频范围:</w:t>
      </w:r>
    </w:p>
    <w:p w14:paraId="2B27EF01">
      <w:r>
        <w:t xml:space="preserve"> </w:t>
      </w:r>
    </w:p>
    <w:p w14:paraId="37820A30">
      <w:pPr>
        <w:pStyle w:val="44"/>
        <w:spacing w:before="0" w:after="0" w:line="400" w:lineRule="atLeast"/>
      </w:pPr>
      <w:r>
        <w:tab/>
      </w:r>
      <m:oMath>
        <m:r>
          <m:rPr>
            <m:sty m:val="p"/>
          </m:rPr>
          <m:t>Δ</m:t>
        </m:r>
        <m:sSub>
          <m:sSubPr/>
          <m:e>
            <m:r>
              <m:rPr/>
              <m:t>f</m:t>
            </m:r>
          </m:e>
          <m:sub>
            <m:r>
              <m:rPr/>
              <m:t>D</m:t>
            </m:r>
          </m:sub>
        </m:sSub>
        <m:r>
          <m:rPr>
            <m:sty m:val="p"/>
          </m:rPr>
          <m:t>=|</m:t>
        </m:r>
        <m:sSub>
          <m:sSubPr/>
          <m:e>
            <m:r>
              <m:rPr/>
              <m:t>f</m:t>
            </m:r>
          </m:e>
          <m:sub>
            <m:r>
              <m:rPr/>
              <m:t>D</m:t>
            </m:r>
          </m:sub>
        </m:sSub>
        <m:r>
          <m:rPr>
            <m:sty m:val="p"/>
          </m:rPr>
          <m:t>(</m:t>
        </m:r>
        <m:sSub>
          <m:sSubPr/>
          <m:e>
            <m:r>
              <m:rPr/>
              <m:t>T</m:t>
            </m:r>
          </m:e>
          <m:sub>
            <m:r>
              <m:rPr/>
              <m:t>m</m:t>
            </m:r>
          </m:sub>
        </m:sSub>
        <m:r>
          <m:rPr>
            <m:sty m:val="p"/>
          </m:rPr>
          <m:t>)−</m:t>
        </m:r>
        <m:sSub>
          <m:sSubPr/>
          <m:e>
            <m:r>
              <m:rPr/>
              <m:t>f</m:t>
            </m:r>
          </m:e>
          <m:sub>
            <m:r>
              <m:rPr/>
              <m:t>D</m:t>
            </m:r>
          </m:sub>
        </m:sSub>
        <m:r>
          <m:rPr>
            <m:sty m:val="p"/>
          </m:rPr>
          <m:t>(</m:t>
        </m:r>
        <m:r>
          <m:rPr/>
          <m:t>0</m:t>
        </m:r>
        <m:r>
          <m:rPr>
            <m:sty m:val="p"/>
          </m:rPr>
          <m:t>)|=|</m:t>
        </m:r>
        <m:r>
          <m:rPr/>
          <m:t>α</m:t>
        </m:r>
        <m:r>
          <m:rPr>
            <m:sty m:val="p"/>
          </m:rPr>
          <m:t>|</m:t>
        </m:r>
        <m:sSub>
          <m:sSubPr/>
          <m:e>
            <m:r>
              <m:rPr/>
              <m:t>T</m:t>
            </m:r>
          </m:e>
          <m:sub>
            <m:r>
              <m:rPr/>
              <m:t>m</m:t>
            </m:r>
          </m:sub>
        </m:sSub>
      </m:oMath>
      <w:r>
        <w:tab/>
      </w:r>
      <w:r>
        <w:t>(3</w:t>
      </w:r>
      <w:r>
        <w:noBreakHyphen/>
      </w:r>
      <w:r>
        <w:t>27)</w:t>
      </w:r>
    </w:p>
    <w:p w14:paraId="5735FE5D">
      <w:r>
        <w:t xml:space="preserve"> </w:t>
      </w:r>
    </w:p>
    <w:p w14:paraId="6614A496">
      <w:r>
        <w:rPr>
          <w:rFonts w:hint="eastAsia"/>
        </w:rPr>
        <w:t>式(3-27)揭示了频谱散焦的核心机理:展宽正比于二阶色散系数</w:t>
      </w:r>
      <m:oMath>
        <m:r>
          <m:rPr/>
          <m:t>α</m:t>
        </m:r>
      </m:oMath>
      <w:r>
        <w:rPr>
          <w:rFonts w:hint="eastAsia"/>
        </w:rPr>
        <w:t>与扫频周期</w:t>
      </w:r>
      <m:oMath>
        <m:sSub>
          <m:sSubPr/>
          <m:e>
            <m:r>
              <m:rPr/>
              <m:t>T</m:t>
            </m:r>
          </m:e>
          <m:sub>
            <m:r>
              <m:rPr/>
              <m:t>m</m:t>
            </m:r>
          </m:sub>
        </m:sSub>
      </m:oMath>
      <w:r>
        <w:rPr>
          <w:rFonts w:hint="eastAsia"/>
        </w:rPr>
        <w:t>的乘积。这一简洁关系的物理意义在于,</w:t>
      </w:r>
      <m:oMath>
        <m:r>
          <m:rPr/>
          <m:t>α</m:t>
        </m:r>
      </m:oMath>
      <w:r>
        <w:rPr>
          <w:rFonts w:hint="eastAsia"/>
        </w:rPr>
        <w:t>量化了色散导致的瞬时频率变化率,而</w:t>
      </w:r>
      <m:oMath>
        <m:sSub>
          <m:sSubPr/>
          <m:e>
            <m:r>
              <m:rPr/>
              <m:t>T</m:t>
            </m:r>
          </m:e>
          <m:sub>
            <m:r>
              <m:rPr/>
              <m:t>m</m:t>
            </m:r>
          </m:sub>
        </m:sSub>
      </m:oMath>
      <w:r>
        <w:rPr>
          <w:rFonts w:hint="eastAsia"/>
        </w:rPr>
        <w:t>决定了这种变化的累积时间。</w:t>
      </w:r>
    </w:p>
    <w:p w14:paraId="26D56036">
      <w:r>
        <w:rPr>
          <w:rFonts w:hint="eastAsia"/>
        </w:rPr>
        <w:t>为建立</w:t>
      </w:r>
      <m:oMath>
        <m:r>
          <m:rPr>
            <m:sty m:val="p"/>
          </m:rPr>
          <m:t>Δ</m:t>
        </m:r>
        <m:sSub>
          <m:sSubPr/>
          <m:e>
            <m:r>
              <m:rPr/>
              <m:t>f</m:t>
            </m:r>
          </m:e>
          <m:sub>
            <m:r>
              <m:rPr/>
              <m:t>D</m:t>
            </m:r>
          </m:sub>
        </m:sSub>
      </m:oMath>
      <w:r>
        <w:rPr>
          <w:rFonts w:hint="eastAsia"/>
        </w:rPr>
        <w:t>与带宽</w:t>
      </w:r>
      <m:oMath>
        <m:r>
          <m:rPr/>
          <m:t>B</m:t>
        </m:r>
      </m:oMath>
      <w:r>
        <w:rPr>
          <w:rFonts w:hint="eastAsia"/>
        </w:rPr>
        <w:t>的定量关系,将式(3-25)中的</w:t>
      </w:r>
      <m:oMath>
        <m:r>
          <m:rPr/>
          <m:t>α</m:t>
        </m:r>
      </m:oMath>
      <w:r>
        <w:rPr>
          <w:rFonts w:hint="eastAsia"/>
        </w:rPr>
        <w:t>改写为</w:t>
      </w:r>
      <m:oMath>
        <m:r>
          <m:rPr/>
          <m:t>B</m:t>
        </m:r>
      </m:oMath>
      <w:r>
        <w:rPr>
          <w:rFonts w:hint="eastAsia"/>
        </w:rPr>
        <w:t>的函数并代入式(3-27),可得:</w:t>
      </w:r>
    </w:p>
    <w:p w14:paraId="0E7735B1">
      <w:r>
        <w:t xml:space="preserve"> </w:t>
      </w:r>
    </w:p>
    <w:p w14:paraId="3A3892C6">
      <w:pPr>
        <w:pStyle w:val="44"/>
        <w:spacing w:before="0" w:after="0" w:line="400" w:lineRule="atLeast"/>
      </w:pPr>
      <w:r>
        <w:tab/>
      </w:r>
      <m:oMath>
        <m:r>
          <m:rPr>
            <m:sty m:val="p"/>
          </m:rPr>
          <m:t>Δ</m:t>
        </m:r>
        <m:sSub>
          <m:sSubPr/>
          <m:e>
            <m:r>
              <m:rPr/>
              <m:t>f</m:t>
            </m:r>
          </m:e>
          <m:sub>
            <m:r>
              <m:rPr/>
              <m:t>D</m:t>
            </m:r>
          </m:sub>
        </m:sSub>
        <m:r>
          <m:rPr>
            <m:sty m:val="p"/>
          </m:rPr>
          <m:t>=</m:t>
        </m:r>
        <m:d>
          <m:dPr>
            <m:begChr m:val="|"/>
            <m:sepChr m:val=""/>
            <m:endChr m:val="|"/>
          </m:dPr>
          <m:e>
            <m:r>
              <m:rPr/>
              <m:t>2π</m:t>
            </m:r>
            <m:f>
              <m:fPr/>
              <m:num>
                <m:sSup>
                  <m:sSupPr/>
                  <m:e>
                    <m:r>
                      <m:rPr/>
                      <m:t>B</m:t>
                    </m:r>
                  </m:e>
                  <m:sup>
                    <m:r>
                      <m:rPr/>
                      <m:t>2</m:t>
                    </m:r>
                  </m:sup>
                </m:sSup>
              </m:num>
              <m:den>
                <m:sSub>
                  <m:sSubPr/>
                  <m:e>
                    <m:r>
                      <m:rPr/>
                      <m:t>T</m:t>
                    </m:r>
                  </m:e>
                  <m:sub>
                    <m:r>
                      <m:rPr/>
                      <m:t>m</m:t>
                    </m:r>
                  </m:sub>
                </m:sSub>
              </m:den>
            </m:f>
            <m:r>
              <m:rPr>
                <m:sty m:val="p"/>
              </m:rPr>
              <m:t>(</m:t>
            </m:r>
            <m:sSub>
              <m:sSubPr/>
              <m:e>
                <m:r>
                  <m:rPr/>
                  <m:t>ω</m:t>
                </m:r>
              </m:e>
              <m:sub>
                <m:r>
                  <m:rPr/>
                  <m:t>0</m:t>
                </m:r>
              </m:sub>
            </m:sSub>
            <m:sSub>
              <m:sSubPr/>
              <m:e>
                <m:r>
                  <m:rPr/>
                  <m:t>τ</m:t>
                </m:r>
              </m:e>
              <m:sub>
                <m:r>
                  <m:rPr/>
                  <m:t>2</m:t>
                </m:r>
              </m:sub>
            </m:sSub>
            <m:r>
              <m:rPr>
                <m:sty m:val="p"/>
              </m:rPr>
              <m:t>+</m:t>
            </m:r>
            <m:r>
              <m:rPr/>
              <m:t>2</m:t>
            </m:r>
            <m:sSub>
              <m:sSubPr/>
              <m:e>
                <m:r>
                  <m:rPr/>
                  <m:t>τ</m:t>
                </m:r>
              </m:e>
              <m:sub>
                <m:r>
                  <m:rPr/>
                  <m:t>1</m:t>
                </m:r>
              </m:sub>
            </m:sSub>
            <m:r>
              <m:rPr>
                <m:sty m:val="p"/>
              </m:rPr>
              <m:t>)−</m:t>
            </m:r>
            <m:r>
              <m:rPr/>
              <m:t>4</m:t>
            </m:r>
            <m:sSup>
              <m:sSupPr/>
              <m:e>
                <m:r>
                  <m:rPr/>
                  <m:t>π</m:t>
                </m:r>
              </m:e>
              <m:sup>
                <m:r>
                  <m:rPr/>
                  <m:t>2</m:t>
                </m:r>
              </m:sup>
            </m:sSup>
            <m:f>
              <m:fPr/>
              <m:num>
                <m:sSup>
                  <m:sSupPr/>
                  <m:e>
                    <m:r>
                      <m:rPr/>
                      <m:t>B</m:t>
                    </m:r>
                  </m:e>
                  <m:sup>
                    <m:r>
                      <m:rPr/>
                      <m:t>3</m:t>
                    </m:r>
                  </m:sup>
                </m:sSup>
              </m:num>
              <m:den>
                <m:sSubSup>
                  <m:sSubSupPr/>
                  <m:e>
                    <m:r>
                      <m:rPr/>
                      <m:t>T</m:t>
                    </m:r>
                  </m:e>
                  <m:sub>
                    <m:r>
                      <m:rPr/>
                      <m:t>m</m:t>
                    </m:r>
                  </m:sub>
                  <m:sup>
                    <m:r>
                      <m:rPr/>
                      <m:t>2</m:t>
                    </m:r>
                  </m:sup>
                </m:sSubSup>
              </m:den>
            </m:f>
            <m:r>
              <m:rPr>
                <m:sty m:val="p"/>
              </m:rPr>
              <m:t>(</m:t>
            </m:r>
            <m:sSubSup>
              <m:sSubSupPr/>
              <m:e>
                <m:r>
                  <m:rPr/>
                  <m:t>τ</m:t>
                </m:r>
              </m:e>
              <m:sub>
                <m:r>
                  <m:rPr/>
                  <m:t>1</m:t>
                </m:r>
              </m:sub>
              <m:sup>
                <m:r>
                  <m:rPr/>
                  <m:t>2</m:t>
                </m:r>
              </m:sup>
            </m:sSubSup>
            <m:r>
              <m:rPr>
                <m:sty m:val="p"/>
              </m:rPr>
              <m:t>+</m:t>
            </m:r>
            <m:sSub>
              <m:sSubPr/>
              <m:e>
                <m:r>
                  <m:rPr/>
                  <m:t>τ</m:t>
                </m:r>
              </m:e>
              <m:sub>
                <m:r>
                  <m:rPr/>
                  <m:t>g</m:t>
                </m:r>
                <m:r>
                  <m:rPr>
                    <m:sty m:val="p"/>
                  </m:rPr>
                  <m:t>,</m:t>
                </m:r>
                <m:r>
                  <m:rPr/>
                  <m:t>0</m:t>
                </m:r>
              </m:sub>
            </m:sSub>
            <m:sSub>
              <m:sSubPr/>
              <m:e>
                <m:r>
                  <m:rPr/>
                  <m:t>τ</m:t>
                </m:r>
              </m:e>
              <m:sub>
                <m:r>
                  <m:rPr/>
                  <m:t>2</m:t>
                </m:r>
              </m:sub>
            </m:sSub>
            <m:r>
              <m:rPr>
                <m:sty m:val="p"/>
              </m:rPr>
              <m:t>)</m:t>
            </m:r>
          </m:e>
        </m:d>
      </m:oMath>
      <w:r>
        <w:tab/>
      </w:r>
      <w:r>
        <w:t>(3</w:t>
      </w:r>
      <w:r>
        <w:noBreakHyphen/>
      </w:r>
      <w:r>
        <w:t>28)</w:t>
      </w:r>
    </w:p>
    <w:p w14:paraId="43E4DBA9">
      <w:r>
        <w:t xml:space="preserve"> </w:t>
      </w:r>
    </w:p>
    <w:p w14:paraId="0AD889D9">
      <w:r>
        <w:rPr>
          <w:rFonts w:hint="eastAsia"/>
        </w:rPr>
        <w:t>当</w:t>
      </w:r>
      <m:oMath>
        <m:r>
          <m:rPr/>
          <m:t>B</m:t>
        </m:r>
      </m:oMath>
      <w:r>
        <w:rPr>
          <w:rFonts w:hint="eastAsia"/>
        </w:rPr>
        <w:t>较小时,三次项</w:t>
      </w:r>
      <m:oMath>
        <m:r>
          <m:rPr/>
          <m:t>4</m:t>
        </m:r>
        <m:sSup>
          <m:sSupPr/>
          <m:e>
            <m:r>
              <m:rPr/>
              <m:t>π</m:t>
            </m:r>
          </m:e>
          <m:sup>
            <m:r>
              <m:rPr/>
              <m:t>2</m:t>
            </m:r>
          </m:sup>
        </m:sSup>
        <m:sSup>
          <m:sSupPr/>
          <m:e>
            <m:r>
              <m:rPr/>
              <m:t>B</m:t>
            </m:r>
          </m:e>
          <m:sup>
            <m:r>
              <m:rPr/>
              <m:t>3</m:t>
            </m:r>
          </m:sup>
        </m:sSup>
        <m:r>
          <m:rPr>
            <m:sty m:val="p"/>
          </m:rPr>
          <m:t>(</m:t>
        </m:r>
        <m:sSubSup>
          <m:sSubSupPr/>
          <m:e>
            <m:r>
              <m:rPr/>
              <m:t>τ</m:t>
            </m:r>
          </m:e>
          <m:sub>
            <m:r>
              <m:rPr/>
              <m:t>1</m:t>
            </m:r>
          </m:sub>
          <m:sup>
            <m:r>
              <m:rPr/>
              <m:t>2</m:t>
            </m:r>
          </m:sup>
        </m:sSubSup>
        <m:r>
          <m:rPr>
            <m:sty m:val="p"/>
          </m:rPr>
          <m:t>+</m:t>
        </m:r>
        <m:sSub>
          <m:sSubPr/>
          <m:e>
            <m:r>
              <m:rPr/>
              <m:t>τ</m:t>
            </m:r>
          </m:e>
          <m:sub>
            <m:r>
              <m:rPr/>
              <m:t>g</m:t>
            </m:r>
            <m:r>
              <m:rPr>
                <m:sty m:val="p"/>
              </m:rPr>
              <m:t>,</m:t>
            </m:r>
            <m:r>
              <m:rPr/>
              <m:t>0</m:t>
            </m:r>
          </m:sub>
        </m:sSub>
        <m:sSub>
          <m:sSubPr/>
          <m:e>
            <m:r>
              <m:rPr/>
              <m:t>τ</m:t>
            </m:r>
          </m:e>
          <m:sub>
            <m:r>
              <m:rPr/>
              <m:t>2</m:t>
            </m:r>
          </m:sub>
        </m:sSub>
        <m:r>
          <m:rPr>
            <m:sty m:val="p"/>
          </m:rPr>
          <m:t>)/</m:t>
        </m:r>
        <m:sSubSup>
          <m:sSubSupPr/>
          <m:e>
            <m:r>
              <m:rPr/>
              <m:t>T</m:t>
            </m:r>
          </m:e>
          <m:sub>
            <m:r>
              <m:rPr/>
              <m:t>m</m:t>
            </m:r>
          </m:sub>
          <m:sup>
            <m:r>
              <m:rPr/>
              <m:t>2</m:t>
            </m:r>
          </m:sup>
        </m:sSubSup>
      </m:oMath>
      <w:r>
        <w:rPr>
          <w:rFonts w:hint="eastAsia"/>
        </w:rPr>
        <w:t>相对二次项可忽略,此时:</w:t>
      </w:r>
    </w:p>
    <w:p w14:paraId="58008E3F">
      <w:r>
        <w:t xml:space="preserve"> </w:t>
      </w:r>
    </w:p>
    <w:p w14:paraId="3DEB8E5B">
      <w:pPr>
        <w:pStyle w:val="44"/>
        <w:spacing w:before="0" w:after="0" w:line="400" w:lineRule="atLeast"/>
      </w:pPr>
      <w:r>
        <w:tab/>
      </w:r>
      <m:oMath>
        <m:r>
          <m:rPr>
            <m:sty m:val="p"/>
          </m:rPr>
          <m:t>Δ</m:t>
        </m:r>
        <m:sSub>
          <m:sSubPr/>
          <m:e>
            <m:r>
              <m:rPr/>
              <m:t>f</m:t>
            </m:r>
          </m:e>
          <m:sub>
            <m:r>
              <m:rPr/>
              <m:t>D</m:t>
            </m:r>
          </m:sub>
        </m:sSub>
        <m:r>
          <m:rPr>
            <m:sty m:val="p"/>
          </m:rPr>
          <m:t>≈</m:t>
        </m:r>
        <m:r>
          <m:rPr/>
          <m:t>2π</m:t>
        </m:r>
        <m:f>
          <m:fPr/>
          <m:num>
            <m:sSup>
              <m:sSupPr/>
              <m:e>
                <m:r>
                  <m:rPr/>
                  <m:t>B</m:t>
                </m:r>
              </m:e>
              <m:sup>
                <m:r>
                  <m:rPr/>
                  <m:t>2</m:t>
                </m:r>
              </m:sup>
            </m:sSup>
          </m:num>
          <m:den>
            <m:sSub>
              <m:sSubPr/>
              <m:e>
                <m:r>
                  <m:rPr/>
                  <m:t>T</m:t>
                </m:r>
              </m:e>
              <m:sub>
                <m:r>
                  <m:rPr/>
                  <m:t>m</m:t>
                </m:r>
              </m:sub>
            </m:sSub>
          </m:den>
        </m:f>
        <m:r>
          <m:rPr>
            <m:sty m:val="p"/>
          </m:rPr>
          <m:t>|</m:t>
        </m:r>
        <m:sSub>
          <m:sSubPr/>
          <m:e>
            <m:r>
              <m:rPr/>
              <m:t>ω</m:t>
            </m:r>
          </m:e>
          <m:sub>
            <m:r>
              <m:rPr/>
              <m:t>0</m:t>
            </m:r>
          </m:sub>
        </m:sSub>
        <m:sSub>
          <m:sSubPr/>
          <m:e>
            <m:r>
              <m:rPr/>
              <m:t>τ</m:t>
            </m:r>
          </m:e>
          <m:sub>
            <m:r>
              <m:rPr/>
              <m:t>2</m:t>
            </m:r>
          </m:sub>
        </m:sSub>
        <m:r>
          <m:rPr>
            <m:sty m:val="p"/>
          </m:rPr>
          <m:t>+</m:t>
        </m:r>
        <m:r>
          <m:rPr/>
          <m:t>2</m:t>
        </m:r>
        <m:sSub>
          <m:sSubPr/>
          <m:e>
            <m:r>
              <m:rPr/>
              <m:t>τ</m:t>
            </m:r>
          </m:e>
          <m:sub>
            <m:r>
              <m:rPr/>
              <m:t>1</m:t>
            </m:r>
          </m:sub>
        </m:sSub>
        <m:r>
          <m:rPr>
            <m:sty m:val="p"/>
          </m:rPr>
          <m:t>|</m:t>
        </m:r>
      </m:oMath>
      <w:r>
        <w:tab/>
      </w:r>
      <w:r>
        <w:t>(3</w:t>
      </w:r>
      <w:r>
        <w:noBreakHyphen/>
      </w:r>
      <w:r>
        <w:t>29)</w:t>
      </w:r>
    </w:p>
    <w:p w14:paraId="170753D7">
      <w:r>
        <w:t xml:space="preserve"> </w:t>
      </w:r>
    </w:p>
    <w:p w14:paraId="29BB9FDE">
      <w:r>
        <w:rPr>
          <w:rFonts w:hint="eastAsia"/>
        </w:rPr>
        <w:t>式(3-29)表明,在3.4.1节局部二阶展开仍成立的区间内,频谱展宽对带宽近似呈二次关系:</w:t>
      </w:r>
      <m:oMath>
        <m:r>
          <m:rPr>
            <m:sty m:val="p"/>
          </m:rPr>
          <m:t>Δ</m:t>
        </m:r>
        <m:sSub>
          <m:sSubPr/>
          <m:e>
            <m:r>
              <m:rPr/>
              <m:t>f</m:t>
            </m:r>
          </m:e>
          <m:sub>
            <m:r>
              <m:rPr/>
              <m:t>D</m:t>
            </m:r>
          </m:sub>
        </m:sSub>
        <m:r>
          <m:rPr>
            <m:sty m:val="p"/>
          </m:rPr>
          <m:t>∝</m:t>
        </m:r>
        <m:sSup>
          <m:sSupPr/>
          <m:e>
            <m:r>
              <m:rPr/>
              <m:t>B</m:t>
            </m:r>
          </m:e>
          <m:sup>
            <m:r>
              <m:rPr/>
              <m:t>2</m:t>
            </m:r>
          </m:sup>
        </m:sSup>
      </m:oMath>
      <w:r>
        <w:rPr>
          <w:rFonts w:hint="eastAsia"/>
        </w:rPr>
        <w:t>。这意味着增大带宽</w:t>
      </w:r>
      <m:oMath>
        <m:r>
          <m:rPr/>
          <m:t>B</m:t>
        </m:r>
      </m:oMath>
      <w:r>
        <w:rPr>
          <w:rFonts w:hint="eastAsia"/>
        </w:rPr>
        <w:t>虽然能够提高群时延分辨率与后续参数反演灵敏度,却也会平方倍地加剧频谱散焦;而当</w:t>
      </w:r>
      <m:oMath>
        <m:sSub>
          <m:sSubPr/>
          <m:e>
            <m:r>
              <m:rPr/>
              <m:t>f</m:t>
            </m:r>
          </m:e>
          <m:sub>
            <m:r>
              <m:rPr/>
              <m:t>p</m:t>
            </m:r>
          </m:sub>
        </m:sSub>
      </m:oMath>
      <w:r>
        <w:rPr>
          <w:rFonts w:hint="eastAsia"/>
        </w:rPr>
        <w:t>接近</w:t>
      </w:r>
      <m:oMath>
        <m:sSub>
          <m:sSubPr/>
          <m:e>
            <m:r>
              <m:rPr/>
              <m:t>f</m:t>
            </m:r>
          </m:e>
          <m:sub>
            <m:r>
              <m:rPr/>
              <m:t>0</m:t>
            </m:r>
          </m:sub>
        </m:sSub>
      </m:oMath>
      <w:r>
        <w:rPr>
          <w:rFonts w:hint="eastAsia"/>
        </w:rPr>
        <w:t>时,由式(3-21)可知,</w:t>
      </w:r>
      <m:oMath>
        <m:sSub>
          <m:sSubPr/>
          <m:e>
            <m:r>
              <m:rPr/>
              <m:t>τ</m:t>
            </m:r>
          </m:e>
          <m:sub>
            <m:r>
              <m:rPr/>
              <m:t>2</m:t>
            </m:r>
          </m:sub>
        </m:sSub>
      </m:oMath>
      <w:r>
        <w:rPr>
          <w:rFonts w:hint="eastAsia"/>
        </w:rPr>
        <w:t>的急剧增大又会进一步放大这一效应。需要强调的是,式(3-28)和式(3-29)描述的是展开点附近的局部增长律,不应被直接外推为整个工作带宽上的严格全局定律;若工作区间继续逼近截止频率,则必须回到3.2节全频段模型或数值仿真重新评估。</w:t>
      </w:r>
    </w:p>
    <w:p w14:paraId="0411D7C6">
      <w:r>
        <w:rPr>
          <w:rFonts w:hint="eastAsia"/>
        </w:rPr>
        <w:t>为直观验证上述展宽关系,如下图所示,不同色散强度下差频信号的离散频谱特征会随截止频率逼近而发生明显变化。差频频谱由近似尖锐单峰逐渐演化为明显展宽的主瓣结构,这一趋势在局部近似适用区间内与式(3-29)给出的二次增长规律一致。</w:t>
      </w:r>
    </w:p>
    <w:p w14:paraId="494A381A">
      <w:r>
        <w:rPr>
          <w:rFonts w:hint="eastAsia"/>
        </w:rPr>
        <w:t>常规LFMCW信号处理中,单个调制周期内FFT的固有频率分辨率为</w:t>
      </w:r>
      <w:r>
        <w:t xml:space="preserve"> </w:t>
      </w:r>
      <m:oMath>
        <m:r>
          <m:rPr>
            <m:sty m:val="p"/>
          </m:rPr>
          <m:t>Δ</m:t>
        </m:r>
        <m:sSub>
          <m:sSubPr/>
          <m:e>
            <m:r>
              <m:rPr/>
              <m:t>f</m:t>
            </m:r>
          </m:e>
          <m:sub>
            <m:r>
              <m:rPr>
                <m:sty m:val="p"/>
              </m:rPr>
              <m:t>FFT</m:t>
            </m:r>
          </m:sub>
        </m:sSub>
        <m:r>
          <m:rPr>
            <m:sty m:val="p"/>
          </m:rPr>
          <m:t>=</m:t>
        </m:r>
        <m:r>
          <m:rPr/>
          <m:t>1</m:t>
        </m:r>
        <m:r>
          <m:rPr>
            <m:sty m:val="p"/>
          </m:rPr>
          <m:t>/</m:t>
        </m:r>
        <m:sSub>
          <m:sSubPr/>
          <m:e>
            <m:r>
              <m:rPr/>
              <m:t>T</m:t>
            </m:r>
          </m:e>
          <m:sub>
            <m:r>
              <m:rPr/>
              <m:t>m</m:t>
            </m:r>
          </m:sub>
        </m:sSub>
      </m:oMath>
      <w:r>
        <w:rPr>
          <w:rFonts w:hint="eastAsia"/>
        </w:rPr>
        <w:t>。当色散引起的频谱展宽</w:t>
      </w:r>
      <w:r>
        <w:t xml:space="preserve"> </w:t>
      </w:r>
      <m:oMath>
        <m:r>
          <m:rPr>
            <m:sty m:val="p"/>
          </m:rPr>
          <m:t>Δ</m:t>
        </m:r>
        <m:sSub>
          <m:sSubPr/>
          <m:e>
            <m:r>
              <m:rPr/>
              <m:t>f</m:t>
            </m:r>
          </m:e>
          <m:sub>
            <m:r>
              <m:rPr/>
              <m:t>D</m:t>
            </m:r>
          </m:sub>
        </m:sSub>
      </m:oMath>
      <w:r>
        <w:t xml:space="preserve"> </w:t>
      </w:r>
      <w:r>
        <w:rPr>
          <w:rFonts w:hint="eastAsia"/>
        </w:rPr>
        <w:t>显著突破这一分辨率极限时,其影响已不仅表现为信噪比下降,还会使频谱主峰难以唯一对应真实传播时延,从而引入明显的系统性时延偏置。这说明在强色散区,传统全频段FFT方法的物理基础已不再成立。</w:t>
      </w:r>
    </w:p>
    <w:p w14:paraId="258A2375">
      <w:pPr>
        <w:spacing w:line="240" w:lineRule="auto"/>
        <w:ind w:firstLine="480"/>
        <w:jc w:val="center"/>
        <w:rPr>
          <w:rFonts w:hint="eastAsia" w:ascii="宋体" w:hAnsi="宋体" w:eastAsia="宋体"/>
          <w:szCs w:val="24"/>
          <w:lang w:eastAsia="zh-CN"/>
        </w:rPr>
      </w:pPr>
      <w:r>
        <w:rPr>
          <w:rFonts w:hint="eastAsia" w:ascii="宋体" w:hAnsi="宋体" w:eastAsia="宋体"/>
          <w:szCs w:val="24"/>
          <w:lang w:eastAsia="zh-CN"/>
        </w:rPr>
        <w:drawing>
          <wp:inline distT="0" distB="0" distL="114300" distR="114300">
            <wp:extent cx="4963795" cy="2853690"/>
            <wp:effectExtent l="0" t="0" r="4445" b="11430"/>
            <wp:docPr id="18" name="图片 18" descr="fig_2_2_dispersion_comparison_layout_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ig_2_2_dispersion_comparison_layout_fixed"/>
                    <pic:cNvPicPr>
                      <a:picLocks noChangeAspect="1"/>
                    </pic:cNvPicPr>
                  </pic:nvPicPr>
                  <pic:blipFill>
                    <a:blip r:embed="rId23"/>
                    <a:stretch>
                      <a:fillRect/>
                    </a:stretch>
                  </pic:blipFill>
                  <pic:spPr>
                    <a:xfrm>
                      <a:off x="0" y="0"/>
                      <a:ext cx="4963795" cy="2853690"/>
                    </a:xfrm>
                    <a:prstGeom prst="rect">
                      <a:avLst/>
                    </a:prstGeom>
                  </pic:spPr>
                </pic:pic>
              </a:graphicData>
            </a:graphic>
          </wp:inline>
        </w:drawing>
      </w:r>
    </w:p>
    <w:p w14:paraId="6567FDC1">
      <w:r>
        <w:rPr>
          <w:rFonts w:hint="eastAsia"/>
        </w:rPr>
        <w:t xml:space="preserve"> </w:t>
      </w:r>
    </w:p>
    <w:p w14:paraId="3228C851">
      <w:pPr>
        <w:pStyle w:val="43"/>
        <w:bidi w:val="0"/>
      </w:pPr>
      <w:r>
        <w:t xml:space="preserve"> </w:t>
      </w:r>
      <w:r>
        <w:rPr>
          <w:rFonts w:hint="eastAsia"/>
        </w:rPr>
        <w:t>固定碰撞频率条件下不同电子密度的相对群时延曲线（CST</w:t>
      </w:r>
      <w:r>
        <w:t xml:space="preserve"> </w:t>
      </w:r>
      <w:r>
        <w:rPr>
          <w:rFonts w:hint="eastAsia"/>
        </w:rPr>
        <w:t>全波仿真）</w:t>
      </w:r>
    </w:p>
    <w:p w14:paraId="4325AA18"/>
    <w:p w14:paraId="37A524D7">
      <w:r>
        <w:rPr>
          <w:rFonts w:hint="eastAsia"/>
        </w:rPr>
        <w:t>图3-10</w:t>
      </w:r>
      <w:r>
        <w:t xml:space="preserve"> </w:t>
      </w:r>
      <w:r>
        <w:rPr>
          <w:rFonts w:hint="eastAsia"/>
        </w:rPr>
        <w:t>不同色散强度下差频信号的FFT频谱特征</w:t>
      </w:r>
    </w:p>
    <w:p w14:paraId="36480B52">
      <w:r>
        <w:rPr>
          <w:rFonts w:hint="eastAsia"/>
        </w:rPr>
        <w:t>当带宽进一步增大时,式(3-28)中的三次项开始显现。如下两图所示,小带宽区仍近似服从</w:t>
      </w:r>
      <m:oMath>
        <m:r>
          <m:rPr>
            <m:sty m:val="p"/>
          </m:rPr>
          <m:t>Δ</m:t>
        </m:r>
        <m:sSub>
          <m:sSubPr/>
          <m:e>
            <m:r>
              <m:rPr/>
              <m:t>f</m:t>
            </m:r>
          </m:e>
          <m:sub>
            <m:r>
              <m:rPr/>
              <m:t>D</m:t>
            </m:r>
          </m:sub>
        </m:sSub>
        <m:r>
          <m:rPr>
            <m:sty m:val="p"/>
          </m:rPr>
          <m:t>∝</m:t>
        </m:r>
        <m:sSup>
          <m:sSupPr/>
          <m:e>
            <m:r>
              <m:rPr/>
              <m:t>B</m:t>
            </m:r>
          </m:e>
          <m:sup>
            <m:r>
              <m:rPr/>
              <m:t>2</m:t>
            </m:r>
          </m:sup>
        </m:sSup>
      </m:oMath>
      <w:r>
        <w:rPr>
          <w:rFonts w:hint="eastAsia"/>
        </w:rPr>
        <w:t>,而在更大带宽下高阶修正会使曲线偏离二次近似并出现增速放缓。对于部分参数组合,局部还可能出现展宽极小点,但该现象仅适合作为带宽选取时的辅助参考,不宜作为后续方法设计的主结论。</w:t>
      </w:r>
    </w:p>
    <w:p w14:paraId="46755B43">
      <w:pPr>
        <w:spacing w:line="240" w:lineRule="auto"/>
        <w:ind w:firstLine="480"/>
        <w:jc w:val="center"/>
        <w:rPr>
          <w:rFonts w:hint="eastAsia" w:ascii="宋体" w:hAnsi="宋体" w:eastAsia="宋体"/>
          <w:szCs w:val="24"/>
          <w:lang w:eastAsia="zh-CN"/>
        </w:rPr>
      </w:pPr>
      <w:r>
        <w:rPr>
          <w:rFonts w:hint="eastAsia" w:ascii="宋体" w:hAnsi="宋体" w:eastAsia="宋体"/>
          <w:szCs w:val="24"/>
          <w:lang w:eastAsia="zh-CN"/>
        </w:rPr>
        <w:drawing>
          <wp:inline distT="0" distB="0" distL="114300" distR="114300">
            <wp:extent cx="4963795" cy="2853690"/>
            <wp:effectExtent l="0" t="0" r="4445" b="11430"/>
            <wp:docPr id="19" name="图片 19" descr="fig_2_2_dispersion_comparison_layout_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ig_2_2_dispersion_comparison_layout_fixed"/>
                    <pic:cNvPicPr>
                      <a:picLocks noChangeAspect="1"/>
                    </pic:cNvPicPr>
                  </pic:nvPicPr>
                  <pic:blipFill>
                    <a:blip r:embed="rId23"/>
                    <a:stretch>
                      <a:fillRect/>
                    </a:stretch>
                  </pic:blipFill>
                  <pic:spPr>
                    <a:xfrm>
                      <a:off x="0" y="0"/>
                      <a:ext cx="4963795" cy="2853690"/>
                    </a:xfrm>
                    <a:prstGeom prst="rect">
                      <a:avLst/>
                    </a:prstGeom>
                  </pic:spPr>
                </pic:pic>
              </a:graphicData>
            </a:graphic>
          </wp:inline>
        </w:drawing>
      </w:r>
    </w:p>
    <w:p w14:paraId="583DE981">
      <w:r>
        <w:rPr>
          <w:rFonts w:hint="eastAsia"/>
        </w:rPr>
        <w:t xml:space="preserve"> </w:t>
      </w:r>
    </w:p>
    <w:p w14:paraId="24DA17DE">
      <w:pPr>
        <w:pStyle w:val="43"/>
        <w:bidi w:val="0"/>
      </w:pPr>
      <w:r>
        <w:t xml:space="preserve"> </w:t>
      </w:r>
      <w:r>
        <w:rPr>
          <w:rFonts w:hint="eastAsia"/>
        </w:rPr>
        <w:t>固定碰撞频率条件下不同电子密度的相对群时延曲线（CST</w:t>
      </w:r>
      <w:r>
        <w:t xml:space="preserve"> </w:t>
      </w:r>
      <w:r>
        <w:rPr>
          <w:rFonts w:hint="eastAsia"/>
        </w:rPr>
        <w:t>全波仿真）</w:t>
      </w:r>
    </w:p>
    <w:p w14:paraId="20F4AF15"/>
    <w:p w14:paraId="72DF1A81">
      <w:r>
        <w:rPr>
          <w:rFonts w:hint="eastAsia"/>
        </w:rPr>
        <w:t>图3-11</w:t>
      </w:r>
      <w:r>
        <w:t xml:space="preserve"> </w:t>
      </w:r>
      <w:r>
        <w:rPr>
          <w:rFonts w:hint="eastAsia"/>
        </w:rPr>
        <w:t>带宽-散焦非线性耦合关系</w:t>
      </w:r>
    </w:p>
    <w:p w14:paraId="45C8F93D">
      <w:pPr>
        <w:spacing w:line="240" w:lineRule="auto"/>
        <w:ind w:firstLine="480"/>
        <w:jc w:val="center"/>
        <w:rPr>
          <w:rFonts w:hint="eastAsia" w:ascii="宋体" w:hAnsi="宋体" w:eastAsia="宋体"/>
          <w:szCs w:val="24"/>
          <w:lang w:eastAsia="zh-CN"/>
        </w:rPr>
      </w:pPr>
      <w:r>
        <w:rPr>
          <w:rFonts w:hint="eastAsia" w:ascii="宋体" w:hAnsi="宋体" w:eastAsia="宋体"/>
          <w:szCs w:val="24"/>
          <w:lang w:eastAsia="zh-CN"/>
        </w:rPr>
        <w:drawing>
          <wp:inline distT="0" distB="0" distL="114300" distR="114300">
            <wp:extent cx="4963795" cy="2853690"/>
            <wp:effectExtent l="0" t="0" r="4445" b="11430"/>
            <wp:docPr id="20" name="图片 20" descr="fig_2_2_dispersion_comparison_layout_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ig_2_2_dispersion_comparison_layout_fixed"/>
                    <pic:cNvPicPr>
                      <a:picLocks noChangeAspect="1"/>
                    </pic:cNvPicPr>
                  </pic:nvPicPr>
                  <pic:blipFill>
                    <a:blip r:embed="rId23"/>
                    <a:stretch>
                      <a:fillRect/>
                    </a:stretch>
                  </pic:blipFill>
                  <pic:spPr>
                    <a:xfrm>
                      <a:off x="0" y="0"/>
                      <a:ext cx="4963795" cy="2853690"/>
                    </a:xfrm>
                    <a:prstGeom prst="rect">
                      <a:avLst/>
                    </a:prstGeom>
                  </pic:spPr>
                </pic:pic>
              </a:graphicData>
            </a:graphic>
          </wp:inline>
        </w:drawing>
      </w:r>
    </w:p>
    <w:p w14:paraId="739DBD61">
      <w:r>
        <w:rPr>
          <w:rFonts w:hint="eastAsia"/>
        </w:rPr>
        <w:t xml:space="preserve"> </w:t>
      </w:r>
    </w:p>
    <w:p w14:paraId="1BB090E5">
      <w:pPr>
        <w:pStyle w:val="43"/>
        <w:bidi w:val="0"/>
      </w:pPr>
      <w:r>
        <w:t xml:space="preserve"> </w:t>
      </w:r>
      <w:r>
        <w:rPr>
          <w:rFonts w:hint="eastAsia"/>
        </w:rPr>
        <w:t>固定碰撞频率条件下不同电子密度的相对群时延曲线（CST</w:t>
      </w:r>
      <w:r>
        <w:t xml:space="preserve"> </w:t>
      </w:r>
      <w:r>
        <w:rPr>
          <w:rFonts w:hint="eastAsia"/>
        </w:rPr>
        <w:t>全波仿真）</w:t>
      </w:r>
    </w:p>
    <w:p w14:paraId="6AA2BF61"/>
    <w:p w14:paraId="3F301D1F">
      <w:r>
        <w:rPr>
          <w:rFonts w:hint="eastAsia"/>
        </w:rPr>
        <w:t>图3-12</w:t>
      </w:r>
      <w:r>
        <w:t xml:space="preserve"> </w:t>
      </w:r>
      <w:r>
        <w:rPr>
          <w:rFonts w:hint="eastAsia"/>
        </w:rPr>
        <w:t>展宽零点示意</w:t>
      </w:r>
    </w:p>
    <w:p w14:paraId="51420B89">
      <w:r>
        <w:rPr>
          <w:rFonts w:hint="eastAsia"/>
        </w:rPr>
        <w:t>综上,式(3-26)所示的</w:t>
      </w:r>
      <m:oMath>
        <m:sSub>
          <m:sSubPr/>
          <m:e>
            <m:r>
              <m:rPr/>
              <m:t>f</m:t>
            </m:r>
          </m:e>
          <m:sub>
            <m:r>
              <m:rPr/>
              <m:t>D</m:t>
            </m:r>
          </m:sub>
        </m:sSub>
        <m:r>
          <m:rPr>
            <m:sty m:val="p"/>
          </m:rPr>
          <m:t>(</m:t>
        </m:r>
        <m:r>
          <m:rPr/>
          <m:t>t</m:t>
        </m:r>
        <m:r>
          <m:rPr>
            <m:sty m:val="p"/>
          </m:rPr>
          <m:t>)=</m:t>
        </m:r>
        <m:sSubSup>
          <m:sSubSupPr/>
          <m:e>
            <m:r>
              <m:rPr/>
              <m:t>f</m:t>
            </m:r>
          </m:e>
          <m:sub>
            <m:r>
              <m:rPr/>
              <m:t>D</m:t>
            </m:r>
          </m:sub>
          <m:sup>
            <m:r>
              <m:rPr>
                <m:sty m:val="p"/>
              </m:rPr>
              <m:t>′</m:t>
            </m:r>
          </m:sup>
        </m:sSubSup>
        <m:r>
          <m:rPr>
            <m:sty m:val="p"/>
          </m:rPr>
          <m:t>+</m:t>
        </m:r>
        <m:r>
          <m:rPr/>
          <m:t>αt</m:t>
        </m:r>
      </m:oMath>
      <w:r>
        <w:rPr>
          <w:rFonts w:hint="eastAsia"/>
        </w:rPr>
        <w:t>意味着差频信号已从稳态单频形式转变为非稳态调频信号。因此,在强色散条件下,后续处理已难以继续依赖单峰FFT读数,而更适合转向局部频率提取与群时延轨迹重构。</w:t>
      </w:r>
    </w:p>
    <w:bookmarkEnd w:id="48"/>
    <w:bookmarkEnd w:id="51"/>
    <w:p w14:paraId="4D79A5BF">
      <w:pPr>
        <w:pStyle w:val="3"/>
      </w:pPr>
      <w:bookmarkStart w:id="52" w:name="传统全频段分析方法的适用性边界与失效判据"/>
      <w:r>
        <w:rPr>
          <w:rFonts w:hint="eastAsia"/>
        </w:rPr>
        <w:t>传统全频段分析方法的适用性边界与失效判据</w:t>
      </w:r>
    </w:p>
    <w:p w14:paraId="56D9AC7D">
      <w:r>
        <w:rPr>
          <w:rFonts w:hint="eastAsia"/>
        </w:rPr>
        <w:t>色散信道中的群时延随频率变化,传统全频段FFT读数所依赖的恒定时延假设因而不再成立。差频信号不仅会产生中心频率偏移,还会出现频谱散焦,主峰位置也不再稳定对应真实传播时延。</w:t>
      </w:r>
    </w:p>
    <w:p w14:paraId="6990D25C">
      <w:r>
        <w:rPr>
          <w:rFonts w:hint="eastAsia"/>
        </w:rPr>
        <w:t>但这一失配并非在所有工况下都同样显著。若系统带宽较窄或工作点远离截止区,色散引起的附加误差仍可能被压制在测量分辨率以内,传统方法便可作为近似工具使用。本节据此直接讨论传统全频段FFT诊断方法的适用边界,并结合代表频率附近的局部线性化近似与FFT分辨率约束,建立工程判据</w:t>
      </w:r>
      <w:r>
        <w:t xml:space="preserve"> </w:t>
      </w:r>
      <m:oMath>
        <m:r>
          <m:rPr/>
          <m:t>B</m:t>
        </m:r>
        <m:r>
          <m:rPr>
            <m:sty m:val="p"/>
          </m:rPr>
          <m:t>⋅</m:t>
        </m:r>
        <m:r>
          <m:rPr/>
          <m:t>η</m:t>
        </m:r>
        <m:r>
          <m:rPr>
            <m:sty m:val="p"/>
          </m:rPr>
          <m:t>(</m:t>
        </m:r>
        <m:sSub>
          <m:sSubPr/>
          <m:e>
            <m:r>
              <m:rPr/>
              <m:t>f</m:t>
            </m:r>
          </m:e>
          <m:sub>
            <m:r>
              <m:rPr/>
              <m:t>c</m:t>
            </m:r>
          </m:sub>
        </m:sSub>
        <m:r>
          <m:rPr>
            <m:sty m:val="p"/>
          </m:rPr>
          <m:t>)⋅</m:t>
        </m:r>
        <m:sSub>
          <m:sSubPr/>
          <m:e>
            <m:r>
              <m:rPr/>
              <m:t>τ</m:t>
            </m:r>
          </m:e>
          <m:sub>
            <m:r>
              <m:rPr/>
              <m:t>0</m:t>
            </m:r>
          </m:sub>
        </m:sSub>
        <m:r>
          <m:rPr>
            <m:sty m:val="p"/>
          </m:rPr>
          <m:t>≲</m:t>
        </m:r>
        <m:r>
          <m:rPr/>
          <m:t>1</m:t>
        </m:r>
      </m:oMath>
      <w:r>
        <w:rPr>
          <w:rFonts w:hint="eastAsia"/>
        </w:rPr>
        <w:t>,作为传统方法与后续特征提取、参数反演流程的分界。</w:t>
      </w:r>
    </w:p>
    <w:p w14:paraId="14B4FB73">
      <w:pPr>
        <w:pStyle w:val="4"/>
      </w:pPr>
      <w:bookmarkStart w:id="53" w:name="传统全频段fft方法的失配机理"/>
      <w:r>
        <w:rPr>
          <w:rFonts w:hint="eastAsia"/>
        </w:rPr>
        <w:t>传统全频段FFT方法的失配机理</w:t>
      </w:r>
    </w:p>
    <w:p w14:paraId="142810D8">
      <w:r>
        <w:rPr>
          <w:rFonts w:hint="eastAsia"/>
        </w:rPr>
        <w:t>传统全频段FFT方法建立在”一个调制周期内传播时延近似为常数”的前提之上，并据此形成</w:t>
      </w:r>
      <w:r>
        <w:t xml:space="preserve"> </w:t>
      </w:r>
      <m:oMath>
        <m:sSub>
          <m:sSubPr/>
          <m:e>
            <m:r>
              <m:rPr/>
              <m:t>f</m:t>
            </m:r>
          </m:e>
          <m:sub>
            <m:r>
              <m:rPr/>
              <m:t>D</m:t>
            </m:r>
          </m:sub>
        </m:sSub>
        <m:r>
          <m:rPr>
            <m:sty m:val="p"/>
          </m:rPr>
          <m:t>=</m:t>
        </m:r>
        <m:r>
          <m:rPr/>
          <m:t>Kτ</m:t>
        </m:r>
      </m:oMath>
      <w:r>
        <w:t xml:space="preserve"> </w:t>
      </w:r>
      <w:r>
        <w:rPr>
          <w:rFonts w:hint="eastAsia"/>
        </w:rPr>
        <w:t>的单峰读数模型。其中</w:t>
      </w:r>
      <w:r>
        <w:t xml:space="preserve"> </w:t>
      </w:r>
      <m:oMath>
        <m:r>
          <m:rPr/>
          <m:t>K</m:t>
        </m:r>
        <m:r>
          <m:rPr>
            <m:sty m:val="p"/>
          </m:rPr>
          <m:t>=</m:t>
        </m:r>
        <m:r>
          <m:rPr/>
          <m:t>B</m:t>
        </m:r>
        <m:r>
          <m:rPr>
            <m:sty m:val="p"/>
          </m:rPr>
          <m:t>/</m:t>
        </m:r>
        <m:sSub>
          <m:sSubPr/>
          <m:e>
            <m:r>
              <m:rPr/>
              <m:t>T</m:t>
            </m:r>
          </m:e>
          <m:sub>
            <m:r>
              <m:rPr/>
              <m:t>m</m:t>
            </m:r>
          </m:sub>
        </m:sSub>
      </m:oMath>
      <w:r>
        <w:t xml:space="preserve"> </w:t>
      </w:r>
      <w:r>
        <w:rPr>
          <w:rFonts w:hint="eastAsia"/>
        </w:rPr>
        <w:t>为频率调频斜率。传统处理中，对差频信号进行全时长FFT，提取频谱主峰位置</w:t>
      </w:r>
      <w:r>
        <w:t xml:space="preserve"> </w:t>
      </w:r>
      <m:oMath>
        <m:sSub>
          <m:sSubPr/>
          <m:e>
            <m:r>
              <m:rPr/>
              <m:t>f</m:t>
            </m:r>
          </m:e>
          <m:sub>
            <m:r>
              <m:rPr/>
              <m:t>peak</m:t>
            </m:r>
          </m:sub>
        </m:sSub>
      </m:oMath>
      <w:r>
        <w:rPr>
          <w:rFonts w:hint="eastAsia"/>
        </w:rPr>
        <w:t>，再由</w:t>
      </w:r>
      <w:r>
        <w:t xml:space="preserve"> </w:t>
      </w:r>
      <m:oMath>
        <m:sSub>
          <m:sSubPr/>
          <m:e>
            <m:r>
              <m:rPr/>
              <m:t>τ</m:t>
            </m:r>
          </m:e>
          <m:sub>
            <m:r>
              <m:rPr/>
              <m:t>meas</m:t>
            </m:r>
          </m:sub>
        </m:sSub>
        <m:r>
          <m:rPr>
            <m:sty m:val="p"/>
          </m:rPr>
          <m:t>=</m:t>
        </m:r>
        <m:sSub>
          <m:sSubPr/>
          <m:e>
            <m:r>
              <m:rPr/>
              <m:t>f</m:t>
            </m:r>
          </m:e>
          <m:sub>
            <m:r>
              <m:rPr/>
              <m:t>peak</m:t>
            </m:r>
          </m:sub>
        </m:sSub>
        <m:r>
          <m:rPr>
            <m:sty m:val="p"/>
          </m:rPr>
          <m:t>/</m:t>
        </m:r>
        <m:r>
          <m:rPr/>
          <m:t>K</m:t>
        </m:r>
      </m:oMath>
      <w:r>
        <w:t xml:space="preserve"> </w:t>
      </w:r>
      <w:r>
        <w:rPr>
          <w:rFonts w:hint="eastAsia"/>
        </w:rPr>
        <w:t>反算传播时延。</w:t>
      </w:r>
    </w:p>
    <w:p w14:paraId="3ADDD978">
      <w:r>
        <w:rPr>
          <w:rFonts w:hint="eastAsia"/>
        </w:rPr>
        <w:t>然而，3.4节已经表明，在色散信道中差频信号会表现为瞬时频率随时间漂移的非稳态信号，因此FFT主峰不再仅由单一传播时延决定，而同时受到中心偏移与频谱展宽的共同影响。</w:t>
      </w:r>
    </w:p>
    <w:p w14:paraId="1B7BDFA3">
      <w:r>
        <w:rPr>
          <w:rFonts w:hint="eastAsia"/>
        </w:rPr>
        <w:t>从频域角度看，传统方法默认差频能量集中于单一主峰，其中心频率</w:t>
      </w:r>
      <w:r>
        <w:t xml:space="preserve"> </w:t>
      </w:r>
      <m:oMath>
        <m:sSub>
          <m:sSubPr/>
          <m:e>
            <m:r>
              <m:rPr/>
              <m:t>f</m:t>
            </m:r>
          </m:e>
          <m:sub>
            <m:r>
              <m:rPr/>
              <m:t>D</m:t>
            </m:r>
          </m:sub>
        </m:sSub>
      </m:oMath>
      <w:r>
        <w:t xml:space="preserve"> </w:t>
      </w:r>
      <w:r>
        <w:rPr>
          <w:rFonts w:hint="eastAsia"/>
        </w:rPr>
        <w:t>可唯一对应传播时延。然而，色散导致的频率漂移使差频信号演化为宽带Chirp信号，其频谱能量由局部集中扩展为连续带状分布。这种频谱散焦效应直接破坏了传统峰值检测算法的物理基础，频谱主峰不再能唯一表征时延信息，其位置同时包含了扫频起点总群时延</w:t>
      </w:r>
      <w:r>
        <w:t xml:space="preserve"> </w:t>
      </w:r>
      <m:oMath>
        <m:sSub>
          <m:sSubPr/>
          <m:e>
            <m:r>
              <m:rPr/>
              <m:t>τ</m:t>
            </m:r>
          </m:e>
          <m:sub>
            <m:r>
              <m:rPr/>
              <m:t>g</m:t>
            </m:r>
            <m:r>
              <m:rPr>
                <m:sty m:val="p"/>
              </m:rPr>
              <m:t>,</m:t>
            </m:r>
            <m:r>
              <m:rPr/>
              <m:t>0</m:t>
            </m:r>
          </m:sub>
        </m:sSub>
      </m:oMath>
      <w:r>
        <w:t xml:space="preserve"> </w:t>
      </w:r>
      <w:r>
        <w:rPr>
          <w:rFonts w:hint="eastAsia"/>
        </w:rPr>
        <w:t>与色散误差项的耦合贡献。</w:t>
      </w:r>
    </w:p>
    <w:p w14:paraId="6FB247D3">
      <w:r>
        <w:rPr>
          <w:rFonts w:hint="eastAsia"/>
        </w:rPr>
        <w:t>基于3.4.2节推导的差频中心频率解析式(3-24),在色散条件下实际测得的频率</w:t>
      </w:r>
      <w:r>
        <w:t xml:space="preserve"> </w:t>
      </w:r>
      <m:oMath>
        <m:sSubSup>
          <m:sSubSupPr/>
          <m:e>
            <m:r>
              <m:rPr/>
              <m:t>f</m:t>
            </m:r>
          </m:e>
          <m:sub>
            <m:r>
              <m:rPr/>
              <m:t>0</m:t>
            </m:r>
          </m:sub>
          <m:sup>
            <m:r>
              <m:rPr>
                <m:sty m:val="p"/>
              </m:rPr>
              <m:t>′</m:t>
            </m:r>
          </m:sup>
        </m:sSubSup>
      </m:oMath>
      <w:r>
        <w:t xml:space="preserve"> </w:t>
      </w:r>
      <w:r>
        <w:rPr>
          <w:rFonts w:hint="eastAsia"/>
        </w:rPr>
        <w:t>为:</w:t>
      </w:r>
    </w:p>
    <w:p w14:paraId="5EEF93A5">
      <w:r>
        <w:t xml:space="preserve"> </w:t>
      </w:r>
    </w:p>
    <w:p w14:paraId="716A16AD">
      <w:pPr>
        <w:pStyle w:val="44"/>
        <w:spacing w:before="0" w:after="0" w:line="400" w:lineRule="atLeast"/>
      </w:pPr>
      <w:r>
        <w:tab/>
      </w:r>
      <m:oMath>
        <m:sSubSup>
          <m:sSubSupPr/>
          <m:e>
            <m:r>
              <m:rPr/>
              <m:t>f</m:t>
            </m:r>
          </m:e>
          <m:sub>
            <m:r>
              <m:rPr/>
              <m:t>0</m:t>
            </m:r>
          </m:sub>
          <m:sup>
            <m:r>
              <m:rPr>
                <m:sty m:val="p"/>
              </m:rPr>
              <m:t>′</m:t>
            </m:r>
          </m:sup>
        </m:sSubSup>
        <m:r>
          <m:rPr>
            <m:sty m:val="p"/>
          </m:rPr>
          <m:t>=</m:t>
        </m:r>
        <m:r>
          <m:rPr/>
          <m:t>K</m:t>
        </m:r>
        <m:sSub>
          <m:sSubPr/>
          <m:e>
            <m:r>
              <m:rPr/>
              <m:t>τ</m:t>
            </m:r>
          </m:e>
          <m:sub>
            <m:r>
              <m:rPr/>
              <m:t>g</m:t>
            </m:r>
            <m:r>
              <m:rPr>
                <m:sty m:val="p"/>
              </m:rPr>
              <m:t>,</m:t>
            </m:r>
            <m:r>
              <m:rPr/>
              <m:t>0</m:t>
            </m:r>
          </m:sub>
        </m:sSub>
        <m:r>
          <m:rPr>
            <m:sty m:val="p"/>
          </m:rPr>
          <m:t>+</m:t>
        </m:r>
        <m:r>
          <m:rPr/>
          <m:t>K</m:t>
        </m:r>
        <m:sSub>
          <m:sSubPr/>
          <m:e>
            <m:r>
              <m:rPr/>
              <m:t>τ</m:t>
            </m:r>
          </m:e>
          <m:sub>
            <m:r>
              <m:rPr/>
              <m:t>1</m:t>
            </m:r>
          </m:sub>
        </m:sSub>
        <m:r>
          <m:rPr>
            <m:sty m:val="p"/>
          </m:rPr>
          <m:t>(</m:t>
        </m:r>
        <m:sSub>
          <m:sSubPr/>
          <m:e>
            <m:r>
              <m:rPr/>
              <m:t>ω</m:t>
            </m:r>
          </m:e>
          <m:sub>
            <m:r>
              <m:rPr/>
              <m:t>0</m:t>
            </m:r>
          </m:sub>
        </m:sSub>
        <m:r>
          <m:rPr>
            <m:sty m:val="p"/>
          </m:rPr>
          <m:t>−</m:t>
        </m:r>
        <m:sSup>
          <m:sSupPr/>
          <m:e>
            <m:r>
              <m:rPr/>
              <m:t>K</m:t>
            </m:r>
          </m:e>
          <m:sup>
            <m:r>
              <m:rPr>
                <m:sty m:val="p"/>
              </m:rPr>
              <m:t>′</m:t>
            </m:r>
          </m:sup>
        </m:sSup>
        <m:sSub>
          <m:sSubPr/>
          <m:e>
            <m:r>
              <m:rPr/>
              <m:t>τ</m:t>
            </m:r>
          </m:e>
          <m:sub>
            <m:r>
              <m:rPr/>
              <m:t>g</m:t>
            </m:r>
            <m:r>
              <m:rPr>
                <m:sty m:val="p"/>
              </m:rPr>
              <m:t>,</m:t>
            </m:r>
            <m:r>
              <m:rPr/>
              <m:t>0</m:t>
            </m:r>
          </m:sub>
        </m:sSub>
        <m:r>
          <m:rPr>
            <m:sty m:val="p"/>
          </m:rPr>
          <m:t>)</m:t>
        </m:r>
      </m:oMath>
      <w:r>
        <w:tab/>
      </w:r>
      <w:r>
        <w:t>(3</w:t>
      </w:r>
      <w:r>
        <w:noBreakHyphen/>
      </w:r>
      <w:r>
        <w:t>31)</w:t>
      </w:r>
    </w:p>
    <w:p w14:paraId="75B4A1CF">
      <w:r>
        <w:t xml:space="preserve"> </w:t>
      </w:r>
    </w:p>
    <w:p w14:paraId="46079F0C">
      <w:r>
        <w:rPr>
          <w:rFonts w:hint="eastAsia"/>
        </w:rPr>
        <w:t>其中</w:t>
      </w:r>
      <w:r>
        <w:t xml:space="preserve"> </w:t>
      </w:r>
      <m:oMath>
        <m:sSub>
          <m:sSubPr/>
          <m:e>
            <m:r>
              <m:rPr/>
              <m:t>τ</m:t>
            </m:r>
          </m:e>
          <m:sub>
            <m:r>
              <m:rPr/>
              <m:t>g</m:t>
            </m:r>
            <m:r>
              <m:rPr>
                <m:sty m:val="p"/>
              </m:rPr>
              <m:t>,</m:t>
            </m:r>
            <m:r>
              <m:rPr/>
              <m:t>0</m:t>
            </m:r>
          </m:sub>
        </m:sSub>
        <m:r>
          <m:rPr>
            <m:sty m:val="p"/>
          </m:rPr>
          <m:t>=</m:t>
        </m:r>
        <m:sSub>
          <m:sSubPr/>
          <m:e>
            <m:r>
              <m:rPr/>
              <m:t>τ</m:t>
            </m:r>
          </m:e>
          <m:sub>
            <m:r>
              <m:rPr/>
              <m:t>g</m:t>
            </m:r>
          </m:sub>
        </m:sSub>
        <m:r>
          <m:rPr>
            <m:sty m:val="p"/>
          </m:rPr>
          <m:t>(</m:t>
        </m:r>
        <m:sSub>
          <m:sSubPr/>
          <m:e>
            <m:r>
              <m:rPr/>
              <m:t>ω</m:t>
            </m:r>
          </m:e>
          <m:sub>
            <m:r>
              <m:rPr/>
              <m:t>0</m:t>
            </m:r>
          </m:sub>
        </m:sSub>
        <m:r>
          <m:rPr>
            <m:sty m:val="p"/>
          </m:rPr>
          <m:t>)</m:t>
        </m:r>
      </m:oMath>
      <w:r>
        <w:t xml:space="preserve"> </w:t>
      </w:r>
      <w:r>
        <w:rPr>
          <w:rFonts w:hint="eastAsia"/>
        </w:rPr>
        <w:t>为扫频起点处的总群时延,与3.2节定义的真空基底时延</w:t>
      </w:r>
      <w:r>
        <w:t xml:space="preserve"> </w:t>
      </w:r>
      <m:oMath>
        <m:sSub>
          <m:sSubPr/>
          <m:e>
            <m:r>
              <m:rPr/>
              <m:t>τ</m:t>
            </m:r>
          </m:e>
          <m:sub>
            <m:r>
              <m:rPr/>
              <m:t>0</m:t>
            </m:r>
          </m:sub>
        </m:sSub>
        <m:r>
          <m:rPr>
            <m:sty m:val="p"/>
          </m:rPr>
          <m:t>=</m:t>
        </m:r>
        <m:r>
          <m:rPr/>
          <m:t>d</m:t>
        </m:r>
        <m:r>
          <m:rPr>
            <m:sty m:val="p"/>
          </m:rPr>
          <m:t>/</m:t>
        </m:r>
        <m:r>
          <m:rPr/>
          <m:t>c</m:t>
        </m:r>
      </m:oMath>
      <w:r>
        <w:t xml:space="preserve"> </w:t>
      </w:r>
      <w:r>
        <w:rPr>
          <w:rFonts w:hint="eastAsia"/>
        </w:rPr>
        <w:t>不是同一物理量。前者对应3.4节局部展开点的实际总传播时延,后者则是工程判据中用于归一化的真空基底时延。式(3-31)中的第一项</w:t>
      </w:r>
      <w:r>
        <w:t xml:space="preserve"> </w:t>
      </w:r>
      <m:oMath>
        <m:r>
          <m:rPr/>
          <m:t>K</m:t>
        </m:r>
        <m:sSub>
          <m:sSubPr/>
          <m:e>
            <m:r>
              <m:rPr/>
              <m:t>τ</m:t>
            </m:r>
          </m:e>
          <m:sub>
            <m:r>
              <m:rPr/>
              <m:t>g</m:t>
            </m:r>
            <m:r>
              <m:rPr>
                <m:sty m:val="p"/>
              </m:rPr>
              <m:t>,</m:t>
            </m:r>
            <m:r>
              <m:rPr/>
              <m:t>0</m:t>
            </m:r>
          </m:sub>
        </m:sSub>
      </m:oMath>
      <w:r>
        <w:t xml:space="preserve"> </w:t>
      </w:r>
      <w:r>
        <w:rPr>
          <w:rFonts w:hint="eastAsia"/>
        </w:rPr>
        <w:t>对应局部展开点的主导差频分量,第二项</w:t>
      </w:r>
      <w:r>
        <w:t xml:space="preserve"> </w:t>
      </w:r>
      <m:oMath>
        <m:r>
          <m:rPr/>
          <m:t>K</m:t>
        </m:r>
        <m:sSub>
          <m:sSubPr/>
          <m:e>
            <m:r>
              <m:rPr/>
              <m:t>τ</m:t>
            </m:r>
          </m:e>
          <m:sub>
            <m:r>
              <m:rPr/>
              <m:t>1</m:t>
            </m:r>
          </m:sub>
        </m:sSub>
        <m:r>
          <m:rPr>
            <m:sty m:val="p"/>
          </m:rPr>
          <m:t>(</m:t>
        </m:r>
        <m:sSub>
          <m:sSubPr/>
          <m:e>
            <m:r>
              <m:rPr/>
              <m:t>ω</m:t>
            </m:r>
          </m:e>
          <m:sub>
            <m:r>
              <m:rPr/>
              <m:t>0</m:t>
            </m:r>
          </m:sub>
        </m:sSub>
        <m:r>
          <m:rPr>
            <m:sty m:val="p"/>
          </m:rPr>
          <m:t>−</m:t>
        </m:r>
        <m:sSup>
          <m:sSupPr/>
          <m:e>
            <m:r>
              <m:rPr/>
              <m:t>K</m:t>
            </m:r>
          </m:e>
          <m:sup>
            <m:r>
              <m:rPr>
                <m:sty m:val="p"/>
              </m:rPr>
              <m:t>′</m:t>
            </m:r>
          </m:sup>
        </m:sSup>
        <m:sSub>
          <m:sSubPr/>
          <m:e>
            <m:r>
              <m:rPr/>
              <m:t>τ</m:t>
            </m:r>
          </m:e>
          <m:sub>
            <m:r>
              <m:rPr/>
              <m:t>g</m:t>
            </m:r>
            <m:r>
              <m:rPr>
                <m:sty m:val="p"/>
              </m:rPr>
              <m:t>,</m:t>
            </m:r>
            <m:r>
              <m:rPr/>
              <m:t>0</m:t>
            </m:r>
          </m:sub>
        </m:sSub>
        <m:r>
          <m:rPr>
            <m:sty m:val="p"/>
          </m:rPr>
          <m:t>)</m:t>
        </m:r>
      </m:oMath>
      <w:r>
        <w:t xml:space="preserve"> </w:t>
      </w:r>
      <w:r>
        <w:rPr>
          <w:rFonts w:hint="eastAsia"/>
        </w:rPr>
        <w:t>则是一阶色散偏置。由于实际系统中通常满足</w:t>
      </w:r>
      <w:r>
        <w:t xml:space="preserve"> </w:t>
      </w:r>
      <m:oMath>
        <m:sSup>
          <m:sSupPr/>
          <m:e>
            <m:r>
              <m:rPr/>
              <m:t>K</m:t>
            </m:r>
          </m:e>
          <m:sup>
            <m:r>
              <m:rPr>
                <m:sty m:val="p"/>
              </m:rPr>
              <m:t>′</m:t>
            </m:r>
          </m:sup>
        </m:sSup>
        <m:sSub>
          <m:sSubPr/>
          <m:e>
            <m:r>
              <m:rPr/>
              <m:t>τ</m:t>
            </m:r>
          </m:e>
          <m:sub>
            <m:r>
              <m:rPr/>
              <m:t>g</m:t>
            </m:r>
            <m:r>
              <m:rPr>
                <m:sty m:val="p"/>
              </m:rPr>
              <m:t>,</m:t>
            </m:r>
            <m:r>
              <m:rPr/>
              <m:t>0</m:t>
            </m:r>
          </m:sub>
        </m:sSub>
        <m:r>
          <m:rPr>
            <m:sty m:val="p"/>
          </m:rPr>
          <m:t>≪</m:t>
        </m:r>
        <m:sSub>
          <m:sSubPr/>
          <m:e>
            <m:r>
              <m:rPr/>
              <m:t>ω</m:t>
            </m:r>
          </m:e>
          <m:sub>
            <m:r>
              <m:rPr/>
              <m:t>0</m:t>
            </m:r>
          </m:sub>
        </m:sSub>
      </m:oMath>
      <w:r>
        <w:rPr>
          <w:rFonts w:hint="eastAsia"/>
        </w:rPr>
        <w:t>,式(3-31)可进一步近似为</w:t>
      </w:r>
      <w:r>
        <w:t xml:space="preserve"> </w:t>
      </w:r>
      <m:oMath>
        <m:sSubSup>
          <m:sSubSupPr/>
          <m:e>
            <m:r>
              <m:rPr/>
              <m:t>f</m:t>
            </m:r>
          </m:e>
          <m:sub>
            <m:r>
              <m:rPr/>
              <m:t>0</m:t>
            </m:r>
          </m:sub>
          <m:sup>
            <m:r>
              <m:rPr>
                <m:sty m:val="p"/>
              </m:rPr>
              <m:t>′</m:t>
            </m:r>
          </m:sup>
        </m:sSubSup>
        <m:r>
          <m:rPr>
            <m:sty m:val="p"/>
          </m:rPr>
          <m:t>≈</m:t>
        </m:r>
        <m:r>
          <m:rPr/>
          <m:t>K</m:t>
        </m:r>
        <m:sSub>
          <m:sSubPr/>
          <m:e>
            <m:r>
              <m:rPr/>
              <m:t>τ</m:t>
            </m:r>
          </m:e>
          <m:sub>
            <m:r>
              <m:rPr/>
              <m:t>g</m:t>
            </m:r>
            <m:r>
              <m:rPr>
                <m:sty m:val="p"/>
              </m:rPr>
              <m:t>,</m:t>
            </m:r>
            <m:r>
              <m:rPr/>
              <m:t>0</m:t>
            </m:r>
          </m:sub>
        </m:sSub>
        <m:r>
          <m:rPr>
            <m:sty m:val="p"/>
          </m:rPr>
          <m:t>+</m:t>
        </m:r>
        <m:sSub>
          <m:sSubPr/>
          <m:e>
            <m:r>
              <m:rPr/>
              <m:t>ω</m:t>
            </m:r>
          </m:e>
          <m:sub>
            <m:r>
              <m:rPr/>
              <m:t>0</m:t>
            </m:r>
          </m:sub>
        </m:sSub>
        <m:r>
          <m:rPr/>
          <m:t>K</m:t>
        </m:r>
        <m:sSub>
          <m:sSubPr/>
          <m:e>
            <m:r>
              <m:rPr/>
              <m:t>τ</m:t>
            </m:r>
          </m:e>
          <m:sub>
            <m:r>
              <m:rPr/>
              <m:t>1</m:t>
            </m:r>
          </m:sub>
        </m:sSub>
      </m:oMath>
      <w:r>
        <w:rPr>
          <w:rFonts w:hint="eastAsia"/>
        </w:rPr>
        <w:t>,此时偏置项仍然显式保留了调频斜率</w:t>
      </w:r>
      <w:r>
        <w:t xml:space="preserve"> </w:t>
      </w:r>
      <m:oMath>
        <m:r>
          <m:rPr/>
          <m:t>K</m:t>
        </m:r>
      </m:oMath>
      <w:r>
        <w:rPr>
          <w:rFonts w:hint="eastAsia"/>
        </w:rPr>
        <w:t>,量纲为频率。</w:t>
      </w:r>
    </w:p>
    <w:p w14:paraId="7723D8A7">
      <w:r>
        <w:rPr>
          <w:rFonts w:hint="eastAsia"/>
        </w:rPr>
        <w:t>若仍使用传统公式</w:t>
      </w:r>
      <w:r>
        <w:t xml:space="preserve"> </w:t>
      </w:r>
      <m:oMath>
        <m:sSub>
          <m:sSubPr/>
          <m:e>
            <m:r>
              <m:rPr/>
              <m:t>τ</m:t>
            </m:r>
          </m:e>
          <m:sub>
            <m:r>
              <m:rPr/>
              <m:t>meas</m:t>
            </m:r>
          </m:sub>
        </m:sSub>
        <m:r>
          <m:rPr>
            <m:sty m:val="p"/>
          </m:rPr>
          <m:t>=</m:t>
        </m:r>
        <m:sSubSup>
          <m:sSubSupPr/>
          <m:e>
            <m:r>
              <m:rPr/>
              <m:t>f</m:t>
            </m:r>
          </m:e>
          <m:sub>
            <m:r>
              <m:rPr/>
              <m:t>0</m:t>
            </m:r>
          </m:sub>
          <m:sup>
            <m:r>
              <m:rPr>
                <m:sty m:val="p"/>
              </m:rPr>
              <m:t>′</m:t>
            </m:r>
          </m:sup>
        </m:sSubSup>
        <m:r>
          <m:rPr>
            <m:sty m:val="p"/>
          </m:rPr>
          <m:t>/</m:t>
        </m:r>
        <m:r>
          <m:rPr/>
          <m:t>K</m:t>
        </m:r>
      </m:oMath>
      <w:r>
        <w:t xml:space="preserve"> </w:t>
      </w:r>
      <w:r>
        <w:rPr>
          <w:rFonts w:hint="eastAsia"/>
        </w:rPr>
        <w:t>进行时延反算,则测得时延将相对</w:t>
      </w:r>
      <w:r>
        <w:t xml:space="preserve"> </w:t>
      </w:r>
      <m:oMath>
        <m:sSub>
          <m:sSubPr/>
          <m:e>
            <m:r>
              <m:rPr/>
              <m:t>τ</m:t>
            </m:r>
          </m:e>
          <m:sub>
            <m:r>
              <m:rPr/>
              <m:t>g</m:t>
            </m:r>
            <m:r>
              <m:rPr>
                <m:sty m:val="p"/>
              </m:rPr>
              <m:t>,</m:t>
            </m:r>
            <m:r>
              <m:rPr/>
              <m:t>0</m:t>
            </m:r>
          </m:sub>
        </m:sSub>
      </m:oMath>
      <w:r>
        <w:t xml:space="preserve"> </w:t>
      </w:r>
      <w:r>
        <w:rPr>
          <w:rFonts w:hint="eastAsia"/>
        </w:rPr>
        <w:t>产生系统性偏置:</w:t>
      </w:r>
    </w:p>
    <w:p w14:paraId="3CCA2B5F">
      <w:r>
        <w:t xml:space="preserve"> </w:t>
      </w:r>
    </w:p>
    <w:p w14:paraId="6B74C297">
      <w:pPr>
        <w:pStyle w:val="44"/>
        <w:spacing w:before="0" w:after="0" w:line="400" w:lineRule="atLeast"/>
      </w:pPr>
      <w:r>
        <w:tab/>
      </w:r>
      <m:oMath>
        <m:sSub>
          <m:sSubPr/>
          <m:e>
            <m:r>
              <m:rPr/>
              <m:t>τ</m:t>
            </m:r>
          </m:e>
          <m:sub>
            <m:r>
              <m:rPr/>
              <m:t>meas</m:t>
            </m:r>
          </m:sub>
        </m:sSub>
        <m:r>
          <m:rPr>
            <m:sty m:val="p"/>
          </m:rPr>
          <m:t>≈</m:t>
        </m:r>
        <m:sSub>
          <m:sSubPr/>
          <m:e>
            <m:r>
              <m:rPr/>
              <m:t>τ</m:t>
            </m:r>
          </m:e>
          <m:sub>
            <m:r>
              <m:rPr/>
              <m:t>g</m:t>
            </m:r>
            <m:r>
              <m:rPr>
                <m:sty m:val="p"/>
              </m:rPr>
              <m:t>,</m:t>
            </m:r>
            <m:r>
              <m:rPr/>
              <m:t>0</m:t>
            </m:r>
          </m:sub>
        </m:sSub>
        <m:r>
          <m:rPr>
            <m:sty m:val="p"/>
          </m:rPr>
          <m:t>+</m:t>
        </m:r>
        <m:sSub>
          <m:sSubPr/>
          <m:e>
            <m:r>
              <m:rPr/>
              <m:t>ω</m:t>
            </m:r>
          </m:e>
          <m:sub>
            <m:r>
              <m:rPr/>
              <m:t>0</m:t>
            </m:r>
          </m:sub>
        </m:sSub>
        <m:sSub>
          <m:sSubPr/>
          <m:e>
            <m:r>
              <m:rPr/>
              <m:t>τ</m:t>
            </m:r>
          </m:e>
          <m:sub>
            <m:r>
              <m:rPr/>
              <m:t>1</m:t>
            </m:r>
          </m:sub>
        </m:sSub>
      </m:oMath>
      <w:r>
        <w:tab/>
      </w:r>
      <w:r>
        <w:t>(3</w:t>
      </w:r>
      <w:r>
        <w:noBreakHyphen/>
      </w:r>
      <w:r>
        <w:t>32)</w:t>
      </w:r>
    </w:p>
    <w:p w14:paraId="5ECF88FC">
      <w:r>
        <w:t xml:space="preserve"> </w:t>
      </w:r>
    </w:p>
    <w:p w14:paraId="097C993B">
      <w:r>
        <w:rPr>
          <w:rFonts w:hint="eastAsia"/>
        </w:rPr>
        <w:t>由于式(3-20)表明</w:t>
      </w:r>
      <w:r>
        <w:t xml:space="preserve"> </w:t>
      </w:r>
      <m:oMath>
        <m:sSub>
          <m:sSubPr/>
          <m:e>
            <m:r>
              <m:rPr/>
              <m:t>τ</m:t>
            </m:r>
          </m:e>
          <m:sub>
            <m:r>
              <m:rPr/>
              <m:t>1</m:t>
            </m:r>
          </m:sub>
        </m:sSub>
        <m:r>
          <m:rPr>
            <m:sty m:val="p"/>
          </m:rPr>
          <m:t>&lt;</m:t>
        </m:r>
        <m:r>
          <m:rPr/>
          <m:t>0</m:t>
        </m:r>
      </m:oMath>
      <w:r>
        <w:rPr>
          <w:rFonts w:hint="eastAsia"/>
        </w:rPr>
        <w:t>,上述偏置在本文所讨论的反常色散条件下对应向小延时方向的系统漂移。并且随着工作点逼近截止频率,</w:t>
      </w:r>
      <m:oMath>
        <m:sSub>
          <m:sSubPr/>
          <m:e>
            <m:r>
              <m:rPr/>
              <m:t>τ</m:t>
            </m:r>
          </m:e>
          <m:sub>
            <m:r>
              <m:rPr/>
              <m:t>1</m:t>
            </m:r>
          </m:sub>
        </m:sSub>
      </m:oMath>
      <w:r>
        <w:rPr>
          <w:rFonts w:hint="eastAsia"/>
        </w:rPr>
        <w:t>按</w:t>
      </w:r>
      <m:oMath>
        <m:r>
          <m:rPr>
            <m:sty m:val="p"/>
          </m:rPr>
          <m:t>[</m:t>
        </m:r>
        <m:r>
          <m:rPr/>
          <m:t>1</m:t>
        </m:r>
        <m:r>
          <m:rPr>
            <m:sty m:val="p"/>
          </m:rPr>
          <m:t>−(</m:t>
        </m:r>
        <m:sSub>
          <m:sSubPr/>
          <m:e>
            <m:r>
              <m:rPr/>
              <m:t>f</m:t>
            </m:r>
          </m:e>
          <m:sub>
            <m:r>
              <m:rPr/>
              <m:t>p</m:t>
            </m:r>
          </m:sub>
        </m:sSub>
        <m:r>
          <m:rPr>
            <m:sty m:val="p"/>
          </m:rPr>
          <m:t>/</m:t>
        </m:r>
        <m:sSub>
          <m:sSubPr/>
          <m:e>
            <m:r>
              <m:rPr/>
              <m:t>f</m:t>
            </m:r>
          </m:e>
          <m:sub>
            <m:r>
              <m:rPr/>
              <m:t>0</m:t>
            </m:r>
          </m:sub>
        </m:sSub>
        <m:sSup>
          <m:sSupPr/>
          <m:e>
            <m:r>
              <m:rPr>
                <m:sty m:val="p"/>
              </m:rPr>
              <m:t>)</m:t>
            </m:r>
          </m:e>
          <m:sup>
            <m:r>
              <m:rPr/>
              <m:t>2</m:t>
            </m:r>
          </m:sup>
        </m:sSup>
        <m:sSup>
          <m:sSupPr/>
          <m:e>
            <m:r>
              <m:rPr>
                <m:sty m:val="p"/>
              </m:rPr>
              <m:t>]</m:t>
            </m:r>
          </m:e>
          <m:sup>
            <m:r>
              <m:rPr>
                <m:sty m:val="p"/>
              </m:rPr>
              <m:t>−</m:t>
            </m:r>
            <m:r>
              <m:rPr/>
              <m:t>3</m:t>
            </m:r>
            <m:r>
              <m:rPr>
                <m:sty m:val="p"/>
              </m:rPr>
              <m:t>/</m:t>
            </m:r>
            <m:r>
              <m:rPr/>
              <m:t>2</m:t>
            </m:r>
          </m:sup>
        </m:sSup>
      </m:oMath>
      <w:r>
        <w:rPr>
          <w:rFonts w:hint="eastAsia"/>
        </w:rPr>
        <w:t>迅速放大,使得</w:t>
      </w:r>
      <w:r>
        <w:t xml:space="preserve"> </w:t>
      </w:r>
      <m:oMath>
        <m:r>
          <m:rPr>
            <m:sty m:val="p"/>
          </m:rPr>
          <m:t>Δ</m:t>
        </m:r>
        <m:sSub>
          <m:sSubPr/>
          <m:e>
            <m:r>
              <m:rPr/>
              <m:t>τ</m:t>
            </m:r>
          </m:e>
          <m:sub>
            <m:r>
              <m:rPr/>
              <m:t>sys</m:t>
            </m:r>
          </m:sub>
        </m:sSub>
      </m:oMath>
      <w:r>
        <w:t xml:space="preserve"> </w:t>
      </w:r>
      <w:r>
        <w:rPr>
          <w:rFonts w:hint="eastAsia"/>
        </w:rPr>
        <w:t>很快达到不可忽略的量级。这一偏差并非随机噪声引起,而是由色散效应系统性引入的模型失配,无法通过多次测量平均消除。</w:t>
      </w:r>
    </w:p>
    <w:p w14:paraId="73583F6D">
      <w:r>
        <w:rPr>
          <w:rFonts w:hint="eastAsia"/>
        </w:rPr>
        <w:t>除频率中心的系统性偏移外,二阶色散</w:t>
      </w:r>
      <w:r>
        <w:t xml:space="preserve"> </w:t>
      </w:r>
      <m:oMath>
        <m:sSub>
          <m:sSubPr/>
          <m:e>
            <m:r>
              <m:rPr/>
              <m:t>τ</m:t>
            </m:r>
          </m:e>
          <m:sub>
            <m:r>
              <m:rPr/>
              <m:t>2</m:t>
            </m:r>
          </m:sub>
        </m:sSub>
      </m:oMath>
      <w:r>
        <w:t xml:space="preserve"> </w:t>
      </w:r>
      <w:r>
        <w:rPr>
          <w:rFonts w:hint="eastAsia"/>
        </w:rPr>
        <w:t>引入的频谱展宽</w:t>
      </w:r>
      <w:r>
        <w:t xml:space="preserve"> </w:t>
      </w:r>
      <m:oMath>
        <m:r>
          <m:rPr>
            <m:sty m:val="p"/>
          </m:rPr>
          <m:t>Δ</m:t>
        </m:r>
        <m:sSub>
          <m:sSubPr/>
          <m:e>
            <m:r>
              <m:rPr/>
              <m:t>f</m:t>
            </m:r>
          </m:e>
          <m:sub>
            <m:r>
              <m:rPr/>
              <m:t>D</m:t>
            </m:r>
          </m:sub>
        </m:sSub>
      </m:oMath>
      <w:r>
        <w:rPr>
          <w:rFonts w:hint="eastAsia"/>
        </w:rPr>
        <w:t>(式(3-27))进一步恶化了传统FFT方法的性能。在有限采样时长</w:t>
      </w:r>
      <w:r>
        <w:t xml:space="preserve"> </w:t>
      </w:r>
      <m:oMath>
        <m:sSub>
          <m:sSubPr/>
          <m:e>
            <m:r>
              <m:rPr/>
              <m:t>T</m:t>
            </m:r>
          </m:e>
          <m:sub>
            <m:r>
              <m:rPr/>
              <m:t>m</m:t>
            </m:r>
          </m:sub>
        </m:sSub>
      </m:oMath>
      <w:r>
        <w:t xml:space="preserve"> </w:t>
      </w:r>
      <w:r>
        <w:rPr>
          <w:rFonts w:hint="eastAsia"/>
        </w:rPr>
        <w:t>下,FFT的频率分辨率为</w:t>
      </w:r>
      <w:r>
        <w:t xml:space="preserve"> </w:t>
      </w:r>
      <m:oMath>
        <m:r>
          <m:rPr/>
          <m:t>δf</m:t>
        </m:r>
        <m:r>
          <m:rPr>
            <m:sty m:val="p"/>
          </m:rPr>
          <m:t>=</m:t>
        </m:r>
        <m:r>
          <m:rPr/>
          <m:t>1</m:t>
        </m:r>
        <m:r>
          <m:rPr>
            <m:sty m:val="p"/>
          </m:rPr>
          <m:t>/</m:t>
        </m:r>
        <m:sSub>
          <m:sSubPr/>
          <m:e>
            <m:r>
              <m:rPr/>
              <m:t>T</m:t>
            </m:r>
          </m:e>
          <m:sub>
            <m:r>
              <m:rPr/>
              <m:t>m</m:t>
            </m:r>
          </m:sub>
        </m:sSub>
      </m:oMath>
      <w:r>
        <w:rPr>
          <w:rFonts w:hint="eastAsia"/>
        </w:rPr>
        <w:t>。若频谱展宽满足</w:t>
      </w:r>
      <w:r>
        <w:t xml:space="preserve"> </w:t>
      </w:r>
      <m:oMath>
        <m:r>
          <m:rPr>
            <m:sty m:val="p"/>
          </m:rPr>
          <m:t>Δ</m:t>
        </m:r>
        <m:sSub>
          <m:sSubPr/>
          <m:e>
            <m:r>
              <m:rPr/>
              <m:t>f</m:t>
            </m:r>
          </m:e>
          <m:sub>
            <m:r>
              <m:rPr/>
              <m:t>D</m:t>
            </m:r>
          </m:sub>
        </m:sSub>
        <m:r>
          <m:rPr>
            <m:sty m:val="p"/>
          </m:rPr>
          <m:t>≫</m:t>
        </m:r>
        <m:r>
          <m:rPr/>
          <m:t>δf</m:t>
        </m:r>
      </m:oMath>
      <w:r>
        <w:rPr>
          <w:rFonts w:hint="eastAsia"/>
        </w:rPr>
        <w:t>,意味着差频能量分散到多个频率采样点上,主瓣峰值幅度按</w:t>
      </w:r>
      <w:r>
        <w:t xml:space="preserve"> </w:t>
      </w:r>
      <m:oMath>
        <m:r>
          <m:rPr>
            <m:sty m:val="p"/>
          </m:rPr>
          <m:t>∼</m:t>
        </m:r>
        <m:r>
          <m:rPr/>
          <m:t>1</m:t>
        </m:r>
        <m:r>
          <m:rPr>
            <m:sty m:val="p"/>
          </m:rPr>
          <m:t>/Δ</m:t>
        </m:r>
        <m:sSub>
          <m:sSubPr/>
          <m:e>
            <m:r>
              <m:rPr/>
              <m:t>f</m:t>
            </m:r>
          </m:e>
          <m:sub>
            <m:r>
              <m:rPr/>
              <m:t>D</m:t>
            </m:r>
          </m:sub>
        </m:sSub>
      </m:oMath>
      <w:r>
        <w:t xml:space="preserve"> </w:t>
      </w:r>
      <w:r>
        <w:rPr>
          <w:rFonts w:hint="eastAsia"/>
        </w:rPr>
        <w:t>的比例下降,导致信噪比(SNR)严重劣化。</w:t>
      </w:r>
    </w:p>
    <w:p w14:paraId="1E143BC3">
      <w:r>
        <w:rPr>
          <w:rFonts w:hint="eastAsia"/>
        </w:rPr>
        <w:t>更严重的是,由于FFT采用的是离散频率网格,真实的峰值频率</w:t>
      </w:r>
      <w:r>
        <w:t xml:space="preserve"> </w:t>
      </w:r>
      <m:oMath>
        <m:sSubSup>
          <m:sSubSupPr/>
          <m:e>
            <m:r>
              <m:rPr/>
              <m:t>f</m:t>
            </m:r>
          </m:e>
          <m:sub>
            <m:r>
              <m:rPr/>
              <m:t>0</m:t>
            </m:r>
          </m:sub>
          <m:sup>
            <m:r>
              <m:rPr>
                <m:sty m:val="p"/>
              </m:rPr>
              <m:t>′</m:t>
            </m:r>
          </m:sup>
        </m:sSubSup>
      </m:oMath>
      <w:r>
        <w:t xml:space="preserve"> </w:t>
      </w:r>
      <w:r>
        <w:rPr>
          <w:rFonts w:hint="eastAsia"/>
        </w:rPr>
        <w:t>往往不落在某个采样点上,而是位于两个相邻频点之间。栅栏效应在频谱尖锐时可通过插值或加窗缓解,但当频谱严重展宽时,主瓣形态失真,传统的抛物线插值或质心法将引入附加估计误差。一旦</w:t>
      </w:r>
      <w:r>
        <w:t xml:space="preserve"> </w:t>
      </w:r>
      <m:oMath>
        <m:r>
          <m:rPr>
            <m:sty m:val="p"/>
          </m:rPr>
          <m:t>Δ</m:t>
        </m:r>
        <m:sSub>
          <m:sSubPr/>
          <m:e>
            <m:r>
              <m:rPr/>
              <m:t>f</m:t>
            </m:r>
          </m:e>
          <m:sub>
            <m:r>
              <m:rPr/>
              <m:t>D</m:t>
            </m:r>
          </m:sub>
        </m:sSub>
      </m:oMath>
      <w:r>
        <w:t xml:space="preserve"> </w:t>
      </w:r>
      <w:r>
        <w:rPr>
          <w:rFonts w:hint="eastAsia"/>
        </w:rPr>
        <w:t>与</w:t>
      </w:r>
      <w:r>
        <w:t xml:space="preserve"> </w:t>
      </w:r>
      <m:oMath>
        <m:r>
          <m:rPr/>
          <m:t>δf</m:t>
        </m:r>
      </m:oMath>
      <w:r>
        <w:t xml:space="preserve"> </w:t>
      </w:r>
      <w:r>
        <w:rPr>
          <w:rFonts w:hint="eastAsia"/>
        </w:rPr>
        <w:t>同量级甚至更大,差频能量便不再由单个FFT分辨单元主导,峰值位置将显著依赖窗函数、插值策略与采样相位;此时误差已不宜再用单一固定阈值概括,而应结合具体系统配置作数值评估。</w:t>
      </w:r>
    </w:p>
    <w:p w14:paraId="2AECADE1">
      <w:r>
        <w:rPr>
          <w:rFonts w:hint="eastAsia"/>
        </w:rPr>
        <w:t>综上所述,传统LFMCW全频段FFT模型在色散介质中的失效,本质上源于其隐含了介质透明假设,即默认所有频率成分经历相同的传播速度。而等离子体的Drude色散特性从根本上违背了这一前提。色散效应将静态的频域非线性强制映射为动态的时域非平稳特性,使得差频信号从单频信号退化为调频信号。传统模型基于稳态信号设计的参数提取流程(FFT峰值检测),在处理非稳态信号时必然产生系统性失配。</w:t>
      </w:r>
    </w:p>
    <w:p w14:paraId="71FD65A6">
      <w:r>
        <w:rPr>
          <w:rFonts w:hint="eastAsia"/>
        </w:rPr>
        <w:t>这一失配机理的揭示,为下一节建立定量判据奠定了理论基础:只有当色散引入的时变效应足够微弱,使得</w:t>
      </w:r>
      <w:r>
        <w:t xml:space="preserve"> </w:t>
      </w:r>
      <m:oMath>
        <m:r>
          <m:rPr>
            <m:sty m:val="p"/>
          </m:rPr>
          <m:t>|</m:t>
        </m:r>
        <m:r>
          <m:rPr/>
          <m:t>α</m:t>
        </m:r>
        <m:r>
          <m:rPr>
            <m:sty m:val="p"/>
          </m:rPr>
          <m:t>|≈</m:t>
        </m:r>
        <m:r>
          <m:rPr/>
          <m:t>0</m:t>
        </m:r>
      </m:oMath>
      <w:r>
        <w:t xml:space="preserve"> </w:t>
      </w:r>
      <w:r>
        <w:rPr>
          <w:rFonts w:hint="eastAsia"/>
        </w:rPr>
        <w:t>且</w:t>
      </w:r>
      <w:r>
        <w:t xml:space="preserve"> </w:t>
      </w:r>
      <m:oMath>
        <m:r>
          <m:rPr>
            <m:sty m:val="p"/>
          </m:rPr>
          <m:t>|Δ</m:t>
        </m:r>
        <m:sSub>
          <m:sSubPr/>
          <m:e>
            <m:r>
              <m:rPr/>
              <m:t>τ</m:t>
            </m:r>
          </m:e>
          <m:sub>
            <m:r>
              <m:rPr/>
              <m:t>sys</m:t>
            </m:r>
          </m:sub>
        </m:sSub>
        <m:r>
          <m:rPr>
            <m:sty m:val="p"/>
          </m:rPr>
          <m:t>|</m:t>
        </m:r>
      </m:oMath>
      <w:r>
        <w:t xml:space="preserve"> </w:t>
      </w:r>
      <w:r>
        <w:rPr>
          <w:rFonts w:hint="eastAsia"/>
        </w:rPr>
        <w:t>被抑制在测量噪声以下时,传统方法才能安全使用。</w:t>
      </w:r>
    </w:p>
    <w:bookmarkEnd w:id="53"/>
    <w:p w14:paraId="16821F26">
      <w:pPr>
        <w:pStyle w:val="4"/>
      </w:pPr>
      <w:bookmarkStart w:id="54" w:name="工程判据与适用边界"/>
      <w:r>
        <w:rPr>
          <w:rFonts w:hint="eastAsia"/>
        </w:rPr>
        <w:t>工程判据与适用边界</w:t>
      </w:r>
    </w:p>
    <w:p w14:paraId="0E35CE29">
      <w:r>
        <w:rPr>
          <w:rFonts w:hint="eastAsia"/>
        </w:rPr>
        <w:t>为了建立传统全频段FFT诊断方法与后续特征提取和参数反演方法的定量分界线,本节基于FFT频率分辨率限制和局部线性化近似,从物理量纲分析的角度推导色散效应可忽略的工程判据,并结合Ka波段等离子体诊断的实际参数进行量级分析,给出明确的适用性边界。</w:t>
      </w:r>
    </w:p>
    <w:p w14:paraId="59B7323F">
      <w:r>
        <w:rPr>
          <w:rFonts w:hint="eastAsia"/>
        </w:rPr>
        <w:t>色散效应是否可忽略,其核心判定标准是色散引入的差频频率误差(或展宽)是否小于雷达系统的固有频率分辨率。若误差被淹没在测量的最小可分辨单元内,则该误差在工程上不具有可观测性,可视为可忽略。</w:t>
      </w:r>
    </w:p>
    <w:p w14:paraId="027C9A69">
      <w:r>
        <w:rPr>
          <w:rFonts w:hint="eastAsia"/>
        </w:rPr>
        <w:t>LFMCW雷达通过对时长为</w:t>
      </w:r>
      <w:r>
        <w:t xml:space="preserve"> </w:t>
      </w:r>
      <m:oMath>
        <m:sSub>
          <m:sSubPr/>
          <m:e>
            <m:r>
              <m:rPr/>
              <m:t>T</m:t>
            </m:r>
          </m:e>
          <m:sub>
            <m:r>
              <m:rPr/>
              <m:t>m</m:t>
            </m:r>
          </m:sub>
        </m:sSub>
      </m:oMath>
      <w:r>
        <w:t xml:space="preserve"> </w:t>
      </w:r>
      <w:r>
        <w:rPr>
          <w:rFonts w:hint="eastAsia"/>
        </w:rPr>
        <w:t>的差频信号进行FFT分析,其频率分辨率(瑞利限)由采样定理严格决定:</w:t>
      </w:r>
    </w:p>
    <w:p w14:paraId="5FDEFB0C">
      <w:r>
        <w:t xml:space="preserve"> </w:t>
      </w:r>
    </w:p>
    <w:p w14:paraId="64D84A59">
      <w:pPr>
        <w:pStyle w:val="44"/>
        <w:spacing w:before="0" w:after="0" w:line="400" w:lineRule="atLeast"/>
      </w:pPr>
      <w:r>
        <w:tab/>
      </w:r>
      <m:oMath>
        <m:r>
          <m:rPr/>
          <m:t>δf</m:t>
        </m:r>
        <m:r>
          <m:rPr>
            <m:sty m:val="p"/>
          </m:rPr>
          <m:t>=</m:t>
        </m:r>
        <m:f>
          <m:fPr/>
          <m:num>
            <m:r>
              <m:rPr/>
              <m:t>1</m:t>
            </m:r>
          </m:num>
          <m:den>
            <m:sSub>
              <m:sSubPr/>
              <m:e>
                <m:r>
                  <m:rPr/>
                  <m:t>T</m:t>
                </m:r>
              </m:e>
              <m:sub>
                <m:r>
                  <m:rPr/>
                  <m:t>m</m:t>
                </m:r>
              </m:sub>
            </m:sSub>
          </m:den>
        </m:f>
      </m:oMath>
      <w:r>
        <w:tab/>
      </w:r>
      <w:r>
        <w:t>(3</w:t>
      </w:r>
      <w:r>
        <w:noBreakHyphen/>
      </w:r>
      <w:r>
        <w:t>33)</w:t>
      </w:r>
    </w:p>
    <w:p w14:paraId="574B78AE">
      <w:r>
        <w:t xml:space="preserve"> </w:t>
      </w:r>
    </w:p>
    <w:p w14:paraId="45DE37C1">
      <w:r>
        <w:rPr>
          <w:rFonts w:hint="eastAsia"/>
        </w:rPr>
        <w:t>该分辨率为FFT频谱的主瓣宽度。物理上,它规定了系统能够区分两个相邻频率成分的最小间隔。因此,在本文采用的局部线性化近似与FFT分辨率约束下,传统方法近似有效的工程条件可写为:</w:t>
      </w:r>
    </w:p>
    <w:p w14:paraId="172CE46F">
      <w:r>
        <w:t xml:space="preserve"> </w:t>
      </w:r>
    </w:p>
    <w:p w14:paraId="36BB76F8">
      <w:pPr>
        <w:pStyle w:val="44"/>
        <w:spacing w:before="0" w:after="0" w:line="400" w:lineRule="atLeast"/>
      </w:pPr>
      <w:r>
        <w:tab/>
      </w:r>
      <m:oMath>
        <m:r>
          <m:rPr>
            <m:sty m:val="p"/>
          </m:rPr>
          <m:t>Δ</m:t>
        </m:r>
        <m:sSub>
          <m:sSubPr/>
          <m:e>
            <m:r>
              <m:rPr/>
              <m:t>f</m:t>
            </m:r>
          </m:e>
          <m:sub>
            <m:r>
              <m:rPr/>
              <m:t>D</m:t>
            </m:r>
          </m:sub>
        </m:sSub>
        <m:r>
          <m:rPr>
            <m:sty m:val="p"/>
          </m:rPr>
          <m:t>≤</m:t>
        </m:r>
        <m:r>
          <m:rPr/>
          <m:t>δf</m:t>
        </m:r>
        <m:r>
          <m:rPr>
            <m:sty m:val="p"/>
          </m:rPr>
          <m:t>=</m:t>
        </m:r>
        <m:f>
          <m:fPr/>
          <m:num>
            <m:r>
              <m:rPr/>
              <m:t>1</m:t>
            </m:r>
          </m:num>
          <m:den>
            <m:sSub>
              <m:sSubPr/>
              <m:e>
                <m:r>
                  <m:rPr/>
                  <m:t>T</m:t>
                </m:r>
              </m:e>
              <m:sub>
                <m:r>
                  <m:rPr/>
                  <m:t>m</m:t>
                </m:r>
              </m:sub>
            </m:sSub>
          </m:den>
        </m:f>
      </m:oMath>
      <w:r>
        <w:tab/>
      </w:r>
      <w:r>
        <w:t>(3</w:t>
      </w:r>
      <w:r>
        <w:noBreakHyphen/>
      </w:r>
      <w:r>
        <w:t>34)</w:t>
      </w:r>
    </w:p>
    <w:p w14:paraId="197C10C9">
      <w:r>
        <w:t xml:space="preserve"> </w:t>
      </w:r>
    </w:p>
    <w:p w14:paraId="2009DC8E">
      <w:r>
        <w:rPr>
          <w:rFonts w:hint="eastAsia"/>
        </w:rPr>
        <w:t>在传统常时延近似下,差频频率满足</w:t>
      </w:r>
      <w:r>
        <w:t xml:space="preserve"> </w:t>
      </w:r>
      <m:oMath>
        <m:sSub>
          <m:sSubPr/>
          <m:e>
            <m:r>
              <m:rPr/>
              <m:t>f</m:t>
            </m:r>
          </m:e>
          <m:sub>
            <m:r>
              <m:rPr/>
              <m:t>D</m:t>
            </m:r>
          </m:sub>
        </m:sSub>
        <m:r>
          <m:rPr>
            <m:sty m:val="p"/>
          </m:rPr>
          <m:t>=</m:t>
        </m:r>
        <m:r>
          <m:rPr/>
          <m:t>K</m:t>
        </m:r>
        <m:r>
          <m:rPr>
            <m:sty m:val="p"/>
          </m:rPr>
          <m:t>⋅</m:t>
        </m:r>
        <m:sSub>
          <m:sSubPr/>
          <m:e>
            <m:r>
              <m:rPr/>
              <m:t>τ</m:t>
            </m:r>
          </m:e>
          <m:sub>
            <m:r>
              <m:rPr/>
              <m:t>g</m:t>
            </m:r>
          </m:sub>
        </m:sSub>
      </m:oMath>
      <w:r>
        <w:rPr>
          <w:rFonts w:hint="eastAsia"/>
        </w:rPr>
        <w:t>,其中</w:t>
      </w:r>
      <w:r>
        <w:t xml:space="preserve"> </w:t>
      </w:r>
      <m:oMath>
        <m:r>
          <m:rPr/>
          <m:t>K</m:t>
        </m:r>
        <m:r>
          <m:rPr>
            <m:sty m:val="p"/>
          </m:rPr>
          <m:t>=</m:t>
        </m:r>
        <m:r>
          <m:rPr/>
          <m:t>B</m:t>
        </m:r>
        <m:r>
          <m:rPr>
            <m:sty m:val="p"/>
          </m:rPr>
          <m:t>/</m:t>
        </m:r>
        <m:sSub>
          <m:sSubPr/>
          <m:e>
            <m:r>
              <m:rPr/>
              <m:t>T</m:t>
            </m:r>
          </m:e>
          <m:sub>
            <m:r>
              <m:rPr/>
              <m:t>m</m:t>
            </m:r>
          </m:sub>
        </m:sSub>
      </m:oMath>
      <w:r>
        <w:t xml:space="preserve"> </w:t>
      </w:r>
      <w:r>
        <w:rPr>
          <w:rFonts w:hint="eastAsia"/>
        </w:rPr>
        <w:t>为调频斜率。介质色散引起的带宽内群时延变化量</w:t>
      </w:r>
      <w:r>
        <w:t xml:space="preserve"> </w:t>
      </w:r>
      <m:oMath>
        <m:r>
          <m:rPr>
            <m:sty m:val="p"/>
          </m:rPr>
          <m:t>Δ</m:t>
        </m:r>
        <m:sSubSup>
          <m:sSubSupPr/>
          <m:e>
            <m:r>
              <m:rPr/>
              <m:t>τ</m:t>
            </m:r>
          </m:e>
          <m:sub>
            <m:r>
              <m:rPr/>
              <m:t>g</m:t>
            </m:r>
          </m:sub>
          <m:sup>
            <m:r>
              <m:rPr>
                <m:sty m:val="p"/>
              </m:rPr>
              <m:t>(</m:t>
            </m:r>
            <m:r>
              <m:rPr/>
              <m:t>B</m:t>
            </m:r>
            <m:r>
              <m:rPr>
                <m:sty m:val="p"/>
              </m:rPr>
              <m:t>)</m:t>
            </m:r>
          </m:sup>
        </m:sSubSup>
      </m:oMath>
      <w:r>
        <w:t xml:space="preserve"> </w:t>
      </w:r>
      <w:r>
        <w:rPr>
          <w:rFonts w:hint="eastAsia"/>
        </w:rPr>
        <w:t>因而会直接映射为差频信号的频率展宽。</w:t>
      </w:r>
    </w:p>
    <w:p w14:paraId="05A9B798">
      <w:r>
        <w:rPr>
          <w:rFonts w:hint="eastAsia"/>
        </w:rPr>
        <w:t>根据3.2.3节的分析,在雷达带宽</w:t>
      </w:r>
      <w:r>
        <w:t xml:space="preserve"> </w:t>
      </w:r>
      <m:oMath>
        <m:r>
          <m:rPr/>
          <m:t>B</m:t>
        </m:r>
      </m:oMath>
      <w:r>
        <w:t xml:space="preserve"> </w:t>
      </w:r>
      <w:r>
        <w:rPr>
          <w:rFonts w:hint="eastAsia"/>
        </w:rPr>
        <w:t>范围内,群时延随频率发生非线性漂移。定义带宽内的总时延变化量(取绝对值)为:</w:t>
      </w:r>
    </w:p>
    <w:p w14:paraId="45F218D5">
      <w:r>
        <w:t xml:space="preserve"> </w:t>
      </w:r>
    </w:p>
    <w:p w14:paraId="1266753E">
      <w:pPr>
        <w:pStyle w:val="44"/>
        <w:spacing w:before="0" w:after="0" w:line="400" w:lineRule="atLeast"/>
      </w:pPr>
      <w:r>
        <w:tab/>
      </w:r>
      <m:oMath>
        <m:r>
          <m:rPr>
            <m:sty m:val="p"/>
          </m:rPr>
          <m:t>Δ</m:t>
        </m:r>
        <m:sSubSup>
          <m:sSubSupPr/>
          <m:e>
            <m:r>
              <m:rPr/>
              <m:t>τ</m:t>
            </m:r>
          </m:e>
          <m:sub>
            <m:r>
              <m:rPr/>
              <m:t>g</m:t>
            </m:r>
          </m:sub>
          <m:sup>
            <m:r>
              <m:rPr>
                <m:sty m:val="p"/>
              </m:rPr>
              <m:t>(</m:t>
            </m:r>
            <m:r>
              <m:rPr/>
              <m:t>B</m:t>
            </m:r>
            <m:r>
              <m:rPr>
                <m:sty m:val="p"/>
              </m:rPr>
              <m:t>)</m:t>
            </m:r>
          </m:sup>
        </m:sSubSup>
        <m:r>
          <m:rPr>
            <m:sty m:val="p"/>
          </m:rPr>
          <m:t>=</m:t>
        </m:r>
        <m:d>
          <m:dPr>
            <m:begChr m:val="|"/>
            <m:sepChr m:val=""/>
            <m:endChr m:val="|"/>
          </m:dPr>
          <m:e>
            <m:sSub>
              <m:sSubPr/>
              <m:e>
                <m:r>
                  <m:rPr/>
                  <m:t>τ</m:t>
                </m:r>
              </m:e>
              <m:sub>
                <m:r>
                  <m:rPr/>
                  <m:t>g</m:t>
                </m:r>
              </m:sub>
            </m:sSub>
            <m:r>
              <m:rPr>
                <m:sty m:val="p"/>
              </m:rPr>
              <m:t>(</m:t>
            </m:r>
            <m:sSub>
              <m:sSubPr/>
              <m:e>
                <m:r>
                  <m:rPr/>
                  <m:t>f</m:t>
                </m:r>
              </m:e>
              <m:sub>
                <m:r>
                  <m:rPr/>
                  <m:t>start</m:t>
                </m:r>
              </m:sub>
            </m:sSub>
            <m:r>
              <m:rPr>
                <m:sty m:val="p"/>
              </m:rPr>
              <m:t>+</m:t>
            </m:r>
            <m:r>
              <m:rPr/>
              <m:t>B</m:t>
            </m:r>
            <m:r>
              <m:rPr>
                <m:sty m:val="p"/>
              </m:rPr>
              <m:t>)−</m:t>
            </m:r>
            <m:sSub>
              <m:sSubPr/>
              <m:e>
                <m:r>
                  <m:rPr/>
                  <m:t>τ</m:t>
                </m:r>
              </m:e>
              <m:sub>
                <m:r>
                  <m:rPr/>
                  <m:t>g</m:t>
                </m:r>
              </m:sub>
            </m:sSub>
            <m:r>
              <m:rPr>
                <m:sty m:val="p"/>
              </m:rPr>
              <m:t>(</m:t>
            </m:r>
            <m:sSub>
              <m:sSubPr/>
              <m:e>
                <m:r>
                  <m:rPr/>
                  <m:t>f</m:t>
                </m:r>
              </m:e>
              <m:sub>
                <m:r>
                  <m:rPr/>
                  <m:t>start</m:t>
                </m:r>
              </m:sub>
            </m:sSub>
            <m:r>
              <m:rPr>
                <m:sty m:val="p"/>
              </m:rPr>
              <m:t>)</m:t>
            </m:r>
          </m:e>
        </m:d>
      </m:oMath>
      <w:r>
        <w:tab/>
      </w:r>
      <w:r>
        <w:t>(3</w:t>
      </w:r>
      <w:r>
        <w:noBreakHyphen/>
      </w:r>
      <w:r>
        <w:t>35)</w:t>
      </w:r>
    </w:p>
    <w:p w14:paraId="75BFEA3E">
      <w:r>
        <w:t xml:space="preserve"> </w:t>
      </w:r>
    </w:p>
    <w:p w14:paraId="3A15D7EB">
      <w:r>
        <w:rPr>
          <w:rFonts w:hint="eastAsia"/>
        </w:rPr>
        <w:t>为避免将3.4节的局部展开误读为全频段定理,这里明确将代表频率取为带宽中点</w:t>
      </w:r>
      <w:r>
        <w:t xml:space="preserve"> </w:t>
      </w:r>
      <m:oMath>
        <m:sSub>
          <m:sSubPr/>
          <m:e>
            <m:r>
              <m:rPr/>
              <m:t>f</m:t>
            </m:r>
          </m:e>
          <m:sub>
            <m:r>
              <m:rPr/>
              <m:t>c</m:t>
            </m:r>
          </m:sub>
        </m:sSub>
        <m:r>
          <m:rPr>
            <m:sty m:val="p"/>
          </m:rPr>
          <m:t>=</m:t>
        </m:r>
        <m:sSub>
          <m:sSubPr/>
          <m:e>
            <m:r>
              <m:rPr/>
              <m:t>f</m:t>
            </m:r>
          </m:e>
          <m:sub>
            <m:r>
              <m:rPr/>
              <m:t>start</m:t>
            </m:r>
          </m:sub>
        </m:sSub>
        <m:r>
          <m:rPr>
            <m:sty m:val="p"/>
          </m:rPr>
          <m:t>+</m:t>
        </m:r>
        <m:r>
          <m:rPr/>
          <m:t>B</m:t>
        </m:r>
        <m:r>
          <m:rPr>
            <m:sty m:val="p"/>
          </m:rPr>
          <m:t>/</m:t>
        </m:r>
        <m:r>
          <m:rPr/>
          <m:t>2</m:t>
        </m:r>
      </m:oMath>
      <w:r>
        <w:rPr>
          <w:rFonts w:hint="eastAsia"/>
        </w:rPr>
        <w:t>,并在区间</w:t>
      </w:r>
      <w:r>
        <w:t xml:space="preserve"> </w:t>
      </w:r>
      <m:oMath>
        <m:r>
          <m:rPr/>
          <m:t>I</m:t>
        </m:r>
        <m:r>
          <m:rPr>
            <m:sty m:val="p"/>
          </m:rPr>
          <m:t>=[</m:t>
        </m:r>
        <m:sSub>
          <m:sSubPr/>
          <m:e>
            <m:r>
              <m:rPr/>
              <m:t>f</m:t>
            </m:r>
          </m:e>
          <m:sub>
            <m:r>
              <m:rPr/>
              <m:t>start</m:t>
            </m:r>
          </m:sub>
        </m:sSub>
        <m:r>
          <m:rPr>
            <m:sty m:val="p"/>
          </m:rPr>
          <m:t>,</m:t>
        </m:r>
        <m:r>
          <m:rPr/>
          <m:t> </m:t>
        </m:r>
        <m:sSub>
          <m:sSubPr/>
          <m:e>
            <m:r>
              <m:rPr/>
              <m:t>f</m:t>
            </m:r>
          </m:e>
          <m:sub>
            <m:r>
              <m:rPr/>
              <m:t>start</m:t>
            </m:r>
          </m:sub>
        </m:sSub>
        <m:r>
          <m:rPr>
            <m:sty m:val="p"/>
          </m:rPr>
          <m:t>+</m:t>
        </m:r>
        <m:r>
          <m:rPr/>
          <m:t>B</m:t>
        </m:r>
        <m:r>
          <m:rPr>
            <m:sty m:val="p"/>
          </m:rPr>
          <m:t>]</m:t>
        </m:r>
      </m:oMath>
      <w:r>
        <w:t xml:space="preserve"> </w:t>
      </w:r>
      <w:r>
        <w:rPr>
          <w:rFonts w:hint="eastAsia"/>
        </w:rPr>
        <w:t>内对</w:t>
      </w:r>
      <w:r>
        <w:t xml:space="preserve"> </w:t>
      </w:r>
      <m:oMath>
        <m:sSub>
          <m:sSubPr/>
          <m:e>
            <m:r>
              <m:rPr/>
              <m:t>τ</m:t>
            </m:r>
          </m:e>
          <m:sub>
            <m:r>
              <m:rPr/>
              <m:t>g</m:t>
            </m:r>
          </m:sub>
        </m:sSub>
        <m:r>
          <m:rPr>
            <m:sty m:val="p"/>
          </m:rPr>
          <m:t>(</m:t>
        </m:r>
        <m:r>
          <m:rPr/>
          <m:t>f</m:t>
        </m:r>
        <m:r>
          <m:rPr>
            <m:sty m:val="p"/>
          </m:rPr>
          <m:t>)</m:t>
        </m:r>
      </m:oMath>
      <w:r>
        <w:t xml:space="preserve"> </w:t>
      </w:r>
      <w:r>
        <w:rPr>
          <w:rFonts w:hint="eastAsia"/>
        </w:rPr>
        <w:t>作中点展开。此时带宽两端的时延差可写为</w:t>
      </w:r>
    </w:p>
    <w:p w14:paraId="00E65581">
      <w:r>
        <w:t xml:space="preserve"> </w:t>
      </w:r>
    </w:p>
    <w:p w14:paraId="7E176643">
      <w:pPr>
        <w:pStyle w:val="44"/>
        <w:spacing w:before="0" w:after="0" w:line="400" w:lineRule="atLeast"/>
      </w:pPr>
      <w:r>
        <w:tab/>
      </w:r>
      <m:oMath>
        <m:r>
          <m:rPr>
            <m:sty m:val="p"/>
          </m:rPr>
          <m:t>Δ</m:t>
        </m:r>
        <m:sSubSup>
          <m:sSubSupPr/>
          <m:e>
            <m:r>
              <m:rPr/>
              <m:t>τ</m:t>
            </m:r>
          </m:e>
          <m:sub>
            <m:r>
              <m:rPr/>
              <m:t>g</m:t>
            </m:r>
          </m:sub>
          <m:sup>
            <m:r>
              <m:rPr>
                <m:sty m:val="p"/>
              </m:rPr>
              <m:t>(</m:t>
            </m:r>
            <m:r>
              <m:rPr/>
              <m:t>B</m:t>
            </m:r>
            <m:r>
              <m:rPr>
                <m:sty m:val="p"/>
              </m:rPr>
              <m:t>)</m:t>
            </m:r>
          </m:sup>
        </m:sSubSup>
        <m:r>
          <m:rPr>
            <m:sty m:val="p"/>
          </m:rPr>
          <m:t>=</m:t>
        </m:r>
        <m:d>
          <m:dPr>
            <m:begChr m:val="|"/>
            <m:sepChr m:val=""/>
            <m:endChr m:val="|"/>
          </m:dPr>
          <m:e>
            <m:sSubSup>
              <m:sSubSupPr/>
              <m:e>
                <m:r>
                  <m:rPr/>
                  <m:t>τ</m:t>
                </m:r>
              </m:e>
              <m:sub>
                <m:r>
                  <m:rPr/>
                  <m:t>g</m:t>
                </m:r>
              </m:sub>
              <m:sup>
                <m:r>
                  <m:rPr>
                    <m:sty m:val="p"/>
                  </m:rPr>
                  <m:t>′</m:t>
                </m:r>
              </m:sup>
            </m:sSubSup>
            <m:r>
              <m:rPr>
                <m:sty m:val="p"/>
              </m:rPr>
              <m:t>(</m:t>
            </m:r>
            <m:sSub>
              <m:sSubPr/>
              <m:e>
                <m:r>
                  <m:rPr/>
                  <m:t>f</m:t>
                </m:r>
              </m:e>
              <m:sub>
                <m:r>
                  <m:rPr/>
                  <m:t>c</m:t>
                </m:r>
              </m:sub>
            </m:sSub>
            <m:r>
              <m:rPr>
                <m:sty m:val="p"/>
              </m:rPr>
              <m:t>)</m:t>
            </m:r>
          </m:e>
        </m:d>
        <m:r>
          <m:rPr/>
          <m:t>B</m:t>
        </m:r>
        <m:r>
          <m:rPr>
            <m:sty m:val="p"/>
          </m:rPr>
          <m:t>+</m:t>
        </m:r>
        <m:sSub>
          <m:sSubPr/>
          <m:e>
            <m:r>
              <m:rPr/>
              <m:t>R</m:t>
            </m:r>
          </m:e>
          <m:sub>
            <m:r>
              <m:rPr/>
              <m:t>3</m:t>
            </m:r>
          </m:sub>
        </m:sSub>
        <m:r>
          <m:rPr>
            <m:sty m:val="p"/>
          </m:rPr>
          <m:t>,|</m:t>
        </m:r>
        <m:sSub>
          <m:sSubPr/>
          <m:e>
            <m:r>
              <m:rPr/>
              <m:t>R</m:t>
            </m:r>
          </m:e>
          <m:sub>
            <m:r>
              <m:rPr/>
              <m:t>3</m:t>
            </m:r>
          </m:sub>
        </m:sSub>
        <m:r>
          <m:rPr>
            <m:sty m:val="p"/>
          </m:rPr>
          <m:t>|≤</m:t>
        </m:r>
        <m:f>
          <m:fPr/>
          <m:num>
            <m:sSup>
              <m:sSupPr/>
              <m:e>
                <m:r>
                  <m:rPr/>
                  <m:t>B</m:t>
                </m:r>
              </m:e>
              <m:sup>
                <m:r>
                  <m:rPr/>
                  <m:t>3</m:t>
                </m:r>
              </m:sup>
            </m:sSup>
          </m:num>
          <m:den>
            <m:r>
              <m:rPr/>
              <m:t>24</m:t>
            </m:r>
          </m:den>
        </m:f>
        <m:limLow>
          <m:limLowPr/>
          <m:e>
            <m:r>
              <m:rPr>
                <m:sty m:val="p"/>
              </m:rPr>
              <m:t>max</m:t>
            </m:r>
          </m:e>
          <m:lim>
            <m:r>
              <m:rPr/>
              <m:t>f</m:t>
            </m:r>
            <m:r>
              <m:rPr>
                <m:sty m:val="p"/>
              </m:rPr>
              <m:t>∈</m:t>
            </m:r>
            <m:r>
              <m:rPr/>
              <m:t>I</m:t>
            </m:r>
          </m:lim>
        </m:limLow>
        <m:d>
          <m:dPr>
            <m:begChr m:val="|"/>
            <m:sepChr m:val=""/>
            <m:endChr m:val="|"/>
          </m:dPr>
          <m:e>
            <m:sSubSup>
              <m:sSubSupPr/>
              <m:e>
                <m:r>
                  <m:rPr/>
                  <m:t>τ</m:t>
                </m:r>
              </m:e>
              <m:sub>
                <m:r>
                  <m:rPr/>
                  <m:t>g</m:t>
                </m:r>
              </m:sub>
              <m:sup>
                <m:r>
                  <m:rPr>
                    <m:sty m:val="p"/>
                  </m:rPr>
                  <m:t>‴</m:t>
                </m:r>
              </m:sup>
            </m:sSubSup>
            <m:r>
              <m:rPr>
                <m:sty m:val="p"/>
              </m:rPr>
              <m:t>(</m:t>
            </m:r>
            <m:r>
              <m:rPr/>
              <m:t>f</m:t>
            </m:r>
            <m:r>
              <m:rPr>
                <m:sty m:val="p"/>
              </m:rPr>
              <m:t>)</m:t>
            </m:r>
          </m:e>
        </m:d>
      </m:oMath>
      <w:r>
        <w:tab/>
      </w:r>
      <w:r>
        <w:t>(3</w:t>
      </w:r>
      <w:r>
        <w:noBreakHyphen/>
      </w:r>
      <w:r>
        <w:t>36)</w:t>
      </w:r>
    </w:p>
    <w:p w14:paraId="03449CA9">
      <w:r>
        <w:t xml:space="preserve"> </w:t>
      </w:r>
    </w:p>
    <w:p w14:paraId="3DC676E5">
      <w:r>
        <w:rPr>
          <w:rFonts w:hint="eastAsia"/>
        </w:rPr>
        <w:t>因此,只有当工作带宽完全位于可传播区(</w:t>
      </w:r>
      <m:oMath>
        <m:sSub>
          <m:sSubPr/>
          <m:e>
            <m:r>
              <m:rPr/>
              <m:t>f</m:t>
            </m:r>
          </m:e>
          <m:sub>
            <m:r>
              <m:rPr/>
              <m:t>start</m:t>
            </m:r>
          </m:sub>
        </m:sSub>
        <m:r>
          <m:rPr>
            <m:sty m:val="p"/>
          </m:rPr>
          <m:t>&gt;</m:t>
        </m:r>
        <m:sSub>
          <m:sSubPr/>
          <m:e>
            <m:r>
              <m:rPr/>
              <m:t>f</m:t>
            </m:r>
          </m:e>
          <m:sub>
            <m:r>
              <m:rPr/>
              <m:t>p</m:t>
            </m:r>
          </m:sub>
        </m:sSub>
      </m:oMath>
      <w:r>
        <w:rPr>
          <w:rFonts w:hint="eastAsia"/>
        </w:rPr>
        <w:t>),且展开余项满足</w:t>
      </w:r>
    </w:p>
    <w:p w14:paraId="0EFFBDE7">
      <w:r>
        <w:t xml:space="preserve"> </w:t>
      </w:r>
    </w:p>
    <w:p w14:paraId="50D99191">
      <w:pPr>
        <w:pStyle w:val="44"/>
        <w:spacing w:before="0" w:after="0" w:line="400" w:lineRule="atLeast"/>
      </w:pPr>
      <w:r>
        <w:tab/>
      </w:r>
      <m:oMath>
        <m:f>
          <m:fPr/>
          <m:num>
            <m:sSup>
              <m:sSupPr/>
              <m:e>
                <m:r>
                  <m:rPr/>
                  <m:t>B</m:t>
                </m:r>
              </m:e>
              <m:sup>
                <m:r>
                  <m:rPr/>
                  <m:t>2</m:t>
                </m:r>
              </m:sup>
            </m:sSup>
          </m:num>
          <m:den>
            <m:r>
              <m:rPr/>
              <m:t>24</m:t>
            </m:r>
          </m:den>
        </m:f>
        <m:limLow>
          <m:limLowPr/>
          <m:e>
            <m:r>
              <m:rPr>
                <m:sty m:val="p"/>
              </m:rPr>
              <m:t>max</m:t>
            </m:r>
          </m:e>
          <m:lim>
            <m:r>
              <m:rPr/>
              <m:t>f</m:t>
            </m:r>
            <m:r>
              <m:rPr>
                <m:sty m:val="p"/>
              </m:rPr>
              <m:t>∈</m:t>
            </m:r>
            <m:r>
              <m:rPr/>
              <m:t>I</m:t>
            </m:r>
          </m:lim>
        </m:limLow>
        <m:d>
          <m:dPr>
            <m:begChr m:val="|"/>
            <m:sepChr m:val=""/>
            <m:endChr m:val="|"/>
          </m:dPr>
          <m:e>
            <m:sSubSup>
              <m:sSubSupPr/>
              <m:e>
                <m:r>
                  <m:rPr/>
                  <m:t>τ</m:t>
                </m:r>
              </m:e>
              <m:sub>
                <m:r>
                  <m:rPr/>
                  <m:t>g</m:t>
                </m:r>
              </m:sub>
              <m:sup>
                <m:r>
                  <m:rPr>
                    <m:sty m:val="p"/>
                  </m:rPr>
                  <m:t>‴</m:t>
                </m:r>
              </m:sup>
            </m:sSubSup>
            <m:r>
              <m:rPr>
                <m:sty m:val="p"/>
              </m:rPr>
              <m:t>(</m:t>
            </m:r>
            <m:r>
              <m:rPr/>
              <m:t>f</m:t>
            </m:r>
            <m:r>
              <m:rPr>
                <m:sty m:val="p"/>
              </m:rPr>
              <m:t>)</m:t>
            </m:r>
          </m:e>
        </m:d>
        <m:r>
          <m:rPr>
            <m:sty m:val="p"/>
          </m:rPr>
          <m:t>≪</m:t>
        </m:r>
        <m:d>
          <m:dPr>
            <m:begChr m:val="|"/>
            <m:sepChr m:val=""/>
            <m:endChr m:val="|"/>
          </m:dPr>
          <m:e>
            <m:sSubSup>
              <m:sSubSupPr/>
              <m:e>
                <m:r>
                  <m:rPr/>
                  <m:t>τ</m:t>
                </m:r>
              </m:e>
              <m:sub>
                <m:r>
                  <m:rPr/>
                  <m:t>g</m:t>
                </m:r>
              </m:sub>
              <m:sup>
                <m:r>
                  <m:rPr>
                    <m:sty m:val="p"/>
                  </m:rPr>
                  <m:t>′</m:t>
                </m:r>
              </m:sup>
            </m:sSubSup>
            <m:r>
              <m:rPr>
                <m:sty m:val="p"/>
              </m:rPr>
              <m:t>(</m:t>
            </m:r>
            <m:sSub>
              <m:sSubPr/>
              <m:e>
                <m:r>
                  <m:rPr/>
                  <m:t>f</m:t>
                </m:r>
              </m:e>
              <m:sub>
                <m:r>
                  <m:rPr/>
                  <m:t>c</m:t>
                </m:r>
              </m:sub>
            </m:sSub>
            <m:r>
              <m:rPr>
                <m:sty m:val="p"/>
              </m:rPr>
              <m:t>)</m:t>
            </m:r>
          </m:e>
        </m:d>
      </m:oMath>
      <w:r>
        <w:tab/>
      </w:r>
      <w:r>
        <w:t>(3</w:t>
      </w:r>
      <w:r>
        <w:noBreakHyphen/>
      </w:r>
      <w:r>
        <w:t>37)</w:t>
      </w:r>
    </w:p>
    <w:p w14:paraId="7651618D">
      <w:r>
        <w:t xml:space="preserve"> </w:t>
      </w:r>
    </w:p>
    <w:p w14:paraId="181458AC">
      <w:r>
        <w:rPr>
          <w:rFonts w:hint="eastAsia"/>
        </w:rPr>
        <w:t>时,才能把带宽内总时延变化近似为代表频率处局部斜率的线性外推。对于弱色散或中等色散区,上述条件通常成立,于是该变化量可进一步写为:</w:t>
      </w:r>
    </w:p>
    <w:p w14:paraId="636D8F44">
      <w:r>
        <w:t xml:space="preserve"> </w:t>
      </w:r>
    </w:p>
    <w:p w14:paraId="13914163">
      <w:pPr>
        <w:pStyle w:val="44"/>
        <w:spacing w:before="0" w:after="0" w:line="400" w:lineRule="atLeast"/>
      </w:pPr>
      <w:r>
        <w:tab/>
      </w:r>
      <m:oMath>
        <m:r>
          <m:rPr>
            <m:sty m:val="p"/>
          </m:rPr>
          <m:t>Δ</m:t>
        </m:r>
        <m:sSubSup>
          <m:sSubSupPr/>
          <m:e>
            <m:r>
              <m:rPr/>
              <m:t>τ</m:t>
            </m:r>
          </m:e>
          <m:sub>
            <m:r>
              <m:rPr/>
              <m:t>g</m:t>
            </m:r>
          </m:sub>
          <m:sup>
            <m:r>
              <m:rPr>
                <m:sty m:val="p"/>
              </m:rPr>
              <m:t>(</m:t>
            </m:r>
            <m:r>
              <m:rPr/>
              <m:t>B</m:t>
            </m:r>
            <m:r>
              <m:rPr>
                <m:sty m:val="p"/>
              </m:rPr>
              <m:t>)</m:t>
            </m:r>
          </m:sup>
        </m:sSubSup>
        <m:r>
          <m:rPr>
            <m:sty m:val="p"/>
          </m:rPr>
          <m:t>≈</m:t>
        </m:r>
        <m:d>
          <m:dPr>
            <m:begChr m:val="|"/>
            <m:sepChr m:val=""/>
            <m:endChr m:val="|"/>
          </m:dPr>
          <m:e>
            <m:f>
              <m:fPr/>
              <m:num>
                <m:r>
                  <m:rPr/>
                  <m:t>d</m:t>
                </m:r>
                <m:sSub>
                  <m:sSubPr/>
                  <m:e>
                    <m:r>
                      <m:rPr/>
                      <m:t>τ</m:t>
                    </m:r>
                  </m:e>
                  <m:sub>
                    <m:r>
                      <m:rPr/>
                      <m:t>g</m:t>
                    </m:r>
                  </m:sub>
                </m:sSub>
              </m:num>
              <m:den>
                <m:r>
                  <m:rPr/>
                  <m:t>df</m:t>
                </m:r>
              </m:den>
            </m:f>
            <m:sSub>
              <m:sSubPr/>
              <m:e>
                <m:r>
                  <m:rPr>
                    <m:sty m:val="p"/>
                  </m:rPr>
                  <m:t>|</m:t>
                </m:r>
              </m:e>
              <m:sub>
                <m:r>
                  <m:rPr/>
                  <m:t>f</m:t>
                </m:r>
                <m:r>
                  <m:rPr>
                    <m:sty m:val="p"/>
                  </m:rPr>
                  <m:t>=</m:t>
                </m:r>
                <m:sSub>
                  <m:sSubPr/>
                  <m:e>
                    <m:r>
                      <m:rPr/>
                      <m:t>f</m:t>
                    </m:r>
                  </m:e>
                  <m:sub>
                    <m:r>
                      <m:rPr/>
                      <m:t>c</m:t>
                    </m:r>
                  </m:sub>
                </m:sSub>
              </m:sub>
            </m:sSub>
          </m:e>
        </m:d>
        <m:r>
          <m:rPr>
            <m:sty m:val="p"/>
          </m:rPr>
          <m:t>⋅</m:t>
        </m:r>
        <m:r>
          <m:rPr/>
          <m:t>B</m:t>
        </m:r>
        <m:r>
          <m:rPr>
            <m:sty m:val="p"/>
          </m:rPr>
          <m:t>≈</m:t>
        </m:r>
        <m:r>
          <m:rPr/>
          <m:t>η</m:t>
        </m:r>
        <m:r>
          <m:rPr>
            <m:sty m:val="p"/>
          </m:rPr>
          <m:t>(</m:t>
        </m:r>
        <m:sSub>
          <m:sSubPr/>
          <m:e>
            <m:r>
              <m:rPr/>
              <m:t>f</m:t>
            </m:r>
          </m:e>
          <m:sub>
            <m:r>
              <m:rPr/>
              <m:t>c</m:t>
            </m:r>
          </m:sub>
        </m:sSub>
        <m:r>
          <m:rPr>
            <m:sty m:val="p"/>
          </m:rPr>
          <m:t>)⋅</m:t>
        </m:r>
        <m:sSub>
          <m:sSubPr/>
          <m:e>
            <m:r>
              <m:rPr/>
              <m:t>τ</m:t>
            </m:r>
          </m:e>
          <m:sub>
            <m:r>
              <m:rPr/>
              <m:t>0</m:t>
            </m:r>
          </m:sub>
        </m:sSub>
      </m:oMath>
      <w:r>
        <w:tab/>
      </w:r>
      <w:r>
        <w:t>(3</w:t>
      </w:r>
      <w:r>
        <w:noBreakHyphen/>
      </w:r>
      <w:r>
        <w:t>38)</w:t>
      </w:r>
    </w:p>
    <w:p w14:paraId="6C09438F">
      <w:r>
        <w:t xml:space="preserve"> </w:t>
      </w:r>
    </w:p>
    <w:p w14:paraId="4E7D0145">
      <w:r>
        <w:rPr>
          <w:rFonts w:hint="eastAsia"/>
        </w:rPr>
        <w:t>代入差频公式,得到由色散引起的总频率展宽:</w:t>
      </w:r>
    </w:p>
    <w:p w14:paraId="0DEEC0E0">
      <w:r>
        <w:t xml:space="preserve"> </w:t>
      </w:r>
    </w:p>
    <w:p w14:paraId="34B0D690">
      <w:pPr>
        <w:pStyle w:val="44"/>
        <w:spacing w:before="0" w:after="0" w:line="400" w:lineRule="atLeast"/>
      </w:pPr>
      <w:r>
        <w:tab/>
      </w:r>
      <m:oMath>
        <m:r>
          <m:rPr>
            <m:sty m:val="p"/>
          </m:rPr>
          <m:t>Δ</m:t>
        </m:r>
        <m:sSub>
          <m:sSubPr/>
          <m:e>
            <m:r>
              <m:rPr/>
              <m:t>f</m:t>
            </m:r>
          </m:e>
          <m:sub>
            <m:r>
              <m:rPr/>
              <m:t>D</m:t>
            </m:r>
          </m:sub>
        </m:sSub>
        <m:r>
          <m:rPr>
            <m:sty m:val="p"/>
          </m:rPr>
          <m:t>≈</m:t>
        </m:r>
        <m:r>
          <m:rPr/>
          <m:t>K</m:t>
        </m:r>
        <m:r>
          <m:rPr>
            <m:sty m:val="p"/>
          </m:rPr>
          <m:t>⋅Δ</m:t>
        </m:r>
        <m:sSubSup>
          <m:sSubSupPr/>
          <m:e>
            <m:r>
              <m:rPr/>
              <m:t>τ</m:t>
            </m:r>
          </m:e>
          <m:sub>
            <m:r>
              <m:rPr/>
              <m:t>g</m:t>
            </m:r>
          </m:sub>
          <m:sup>
            <m:r>
              <m:rPr>
                <m:sty m:val="p"/>
              </m:rPr>
              <m:t>(</m:t>
            </m:r>
            <m:r>
              <m:rPr/>
              <m:t>B</m:t>
            </m:r>
            <m:r>
              <m:rPr>
                <m:sty m:val="p"/>
              </m:rPr>
              <m:t>)</m:t>
            </m:r>
          </m:sup>
        </m:sSubSup>
        <m:r>
          <m:rPr>
            <m:sty m:val="p"/>
          </m:rPr>
          <m:t>≈</m:t>
        </m:r>
        <m:f>
          <m:fPr/>
          <m:num>
            <m:r>
              <m:rPr/>
              <m:t>B</m:t>
            </m:r>
          </m:num>
          <m:den>
            <m:sSub>
              <m:sSubPr/>
              <m:e>
                <m:r>
                  <m:rPr/>
                  <m:t>T</m:t>
                </m:r>
              </m:e>
              <m:sub>
                <m:r>
                  <m:rPr/>
                  <m:t>m</m:t>
                </m:r>
              </m:sub>
            </m:sSub>
          </m:den>
        </m:f>
        <m:r>
          <m:rPr>
            <m:sty m:val="p"/>
          </m:rPr>
          <m:t>⋅[</m:t>
        </m:r>
        <m:r>
          <m:rPr/>
          <m:t>η</m:t>
        </m:r>
        <m:r>
          <m:rPr>
            <m:sty m:val="p"/>
          </m:rPr>
          <m:t>(</m:t>
        </m:r>
        <m:sSub>
          <m:sSubPr/>
          <m:e>
            <m:r>
              <m:rPr/>
              <m:t>f</m:t>
            </m:r>
          </m:e>
          <m:sub>
            <m:r>
              <m:rPr/>
              <m:t>c</m:t>
            </m:r>
          </m:sub>
        </m:sSub>
        <m:r>
          <m:rPr>
            <m:sty m:val="p"/>
          </m:rPr>
          <m:t>)⋅</m:t>
        </m:r>
        <m:sSub>
          <m:sSubPr/>
          <m:e>
            <m:r>
              <m:rPr/>
              <m:t>τ</m:t>
            </m:r>
          </m:e>
          <m:sub>
            <m:r>
              <m:rPr/>
              <m:t>0</m:t>
            </m:r>
          </m:sub>
        </m:sSub>
        <m:r>
          <m:rPr>
            <m:sty m:val="p"/>
          </m:rPr>
          <m:t>]</m:t>
        </m:r>
      </m:oMath>
      <w:r>
        <w:tab/>
      </w:r>
      <w:r>
        <w:t>(3</w:t>
      </w:r>
      <w:r>
        <w:noBreakHyphen/>
      </w:r>
      <w:r>
        <w:t>39)</w:t>
      </w:r>
    </w:p>
    <w:p w14:paraId="5A38536B">
      <w:r>
        <w:t xml:space="preserve"> </w:t>
      </w:r>
    </w:p>
    <w:p w14:paraId="30BCD25B">
      <w:r>
        <w:rPr>
          <w:rFonts w:hint="eastAsia"/>
        </w:rPr>
        <w:t>以下推导均基于物理频率</w:t>
      </w:r>
      <w:r>
        <w:t xml:space="preserve"> </w:t>
      </w:r>
      <m:oMath>
        <m:r>
          <m:rPr/>
          <m:t>f</m:t>
        </m:r>
      </m:oMath>
      <w:r>
        <w:t xml:space="preserve"> </w:t>
      </w:r>
      <w:r>
        <w:rPr>
          <w:rFonts w:hint="eastAsia"/>
        </w:rPr>
        <w:t>(Hz),并将</w:t>
      </w:r>
      <m:oMath>
        <m:r>
          <m:rPr/>
          <m:t>η</m:t>
        </m:r>
        <m:r>
          <m:rPr>
            <m:sty m:val="p"/>
          </m:rPr>
          <m:t>(</m:t>
        </m:r>
        <m:sSub>
          <m:sSubPr/>
          <m:e>
            <m:r>
              <m:rPr/>
              <m:t>f</m:t>
            </m:r>
          </m:e>
          <m:sub>
            <m:r>
              <m:rPr/>
              <m:t>c</m:t>
            </m:r>
          </m:sub>
        </m:sSub>
        <m:r>
          <m:rPr>
            <m:sty m:val="p"/>
          </m:rPr>
          <m:t>)</m:t>
        </m:r>
      </m:oMath>
      <w:r>
        <w:rPr>
          <w:rFonts w:hint="eastAsia"/>
        </w:rPr>
        <w:t>视为代表频率</w:t>
      </w:r>
      <w:r>
        <w:t xml:space="preserve"> </w:t>
      </w:r>
      <m:oMath>
        <m:sSub>
          <m:sSubPr/>
          <m:e>
            <m:r>
              <m:rPr/>
              <m:t>f</m:t>
            </m:r>
          </m:e>
          <m:sub>
            <m:r>
              <m:rPr/>
              <m:t>c</m:t>
            </m:r>
          </m:sub>
        </m:sSub>
      </m:oMath>
      <w:r>
        <w:t xml:space="preserve"> </w:t>
      </w:r>
      <w:r>
        <w:rPr>
          <w:rFonts w:hint="eastAsia"/>
        </w:rPr>
        <w:t>处的一阶工程估计。若式(3-37)失效,或工作点继续逼近截止频率使</w:t>
      </w:r>
      <m:oMath>
        <m:sSubSup>
          <m:sSubSupPr/>
          <m:e>
            <m:r>
              <m:rPr/>
              <m:t>τ</m:t>
            </m:r>
          </m:e>
          <m:sub>
            <m:r>
              <m:rPr/>
              <m:t>g</m:t>
            </m:r>
          </m:sub>
          <m:sup>
            <m:r>
              <m:rPr>
                <m:sty m:val="p"/>
              </m:rPr>
              <m:t>‴</m:t>
            </m:r>
          </m:sup>
        </m:sSubSup>
        <m:r>
          <m:rPr>
            <m:sty m:val="p"/>
          </m:rPr>
          <m:t>(</m:t>
        </m:r>
        <m:r>
          <m:rPr/>
          <m:t>f</m:t>
        </m:r>
        <m:r>
          <m:rPr>
            <m:sty m:val="p"/>
          </m:rPr>
          <m:t>)</m:t>
        </m:r>
      </m:oMath>
      <w:r>
        <w:rPr>
          <w:rFonts w:hint="eastAsia"/>
        </w:rPr>
        <w:t>急剧放大,式(3-38)至式(3-41)便只适用于代表频率附近的局部工程评估,此时应回到3.2节全频段模型或数值仿真。</w:t>
      </w:r>
    </w:p>
    <w:p w14:paraId="3C204AC0">
      <w:r>
        <w:rPr>
          <w:rFonts w:hint="eastAsia"/>
        </w:rPr>
        <w:t>将式(3-39)代入分辨率限制条件</w:t>
      </w:r>
      <w:r>
        <w:t xml:space="preserve"> </w:t>
      </w:r>
      <m:oMath>
        <m:r>
          <m:rPr>
            <m:sty m:val="p"/>
          </m:rPr>
          <m:t>Δ</m:t>
        </m:r>
        <m:sSub>
          <m:sSubPr/>
          <m:e>
            <m:r>
              <m:rPr/>
              <m:t>f</m:t>
            </m:r>
          </m:e>
          <m:sub>
            <m:r>
              <m:rPr/>
              <m:t>D</m:t>
            </m:r>
          </m:sub>
        </m:sSub>
        <m:r>
          <m:rPr>
            <m:sty m:val="p"/>
          </m:rPr>
          <m:t>≤</m:t>
        </m:r>
        <m:r>
          <m:rPr/>
          <m:t>1</m:t>
        </m:r>
        <m:r>
          <m:rPr>
            <m:sty m:val="p"/>
          </m:rPr>
          <m:t>/</m:t>
        </m:r>
        <m:sSub>
          <m:sSubPr/>
          <m:e>
            <m:r>
              <m:rPr/>
              <m:t>T</m:t>
            </m:r>
          </m:e>
          <m:sub>
            <m:r>
              <m:rPr/>
              <m:t>m</m:t>
            </m:r>
          </m:sub>
        </m:sSub>
      </m:oMath>
      <w:r>
        <w:rPr>
          <w:rFonts w:hint="eastAsia"/>
        </w:rPr>
        <w:t>,得</w:t>
      </w:r>
    </w:p>
    <w:p w14:paraId="3AC36D4A">
      <w:r>
        <w:t xml:space="preserve"> </w:t>
      </w:r>
    </w:p>
    <w:p w14:paraId="68C850AD">
      <w:pPr>
        <w:pStyle w:val="44"/>
        <w:spacing w:before="0" w:after="0" w:line="400" w:lineRule="atLeast"/>
      </w:pPr>
      <w:r>
        <w:tab/>
      </w:r>
      <m:oMath>
        <m:f>
          <m:fPr/>
          <m:num>
            <m:r>
              <m:rPr/>
              <m:t>B</m:t>
            </m:r>
            <m:r>
              <m:rPr>
                <m:sty m:val="p"/>
              </m:rPr>
              <m:t>⋅</m:t>
            </m:r>
            <m:r>
              <m:rPr/>
              <m:t>η</m:t>
            </m:r>
            <m:r>
              <m:rPr>
                <m:sty m:val="p"/>
              </m:rPr>
              <m:t>(</m:t>
            </m:r>
            <m:sSub>
              <m:sSubPr/>
              <m:e>
                <m:r>
                  <m:rPr/>
                  <m:t>f</m:t>
                </m:r>
              </m:e>
              <m:sub>
                <m:r>
                  <m:rPr/>
                  <m:t>c</m:t>
                </m:r>
              </m:sub>
            </m:sSub>
            <m:r>
              <m:rPr>
                <m:sty m:val="p"/>
              </m:rPr>
              <m:t>)⋅</m:t>
            </m:r>
            <m:sSub>
              <m:sSubPr/>
              <m:e>
                <m:r>
                  <m:rPr/>
                  <m:t>τ</m:t>
                </m:r>
              </m:e>
              <m:sub>
                <m:r>
                  <m:rPr/>
                  <m:t>0</m:t>
                </m:r>
              </m:sub>
            </m:sSub>
          </m:num>
          <m:den>
            <m:sSub>
              <m:sSubPr/>
              <m:e>
                <m:r>
                  <m:rPr/>
                  <m:t>T</m:t>
                </m:r>
              </m:e>
              <m:sub>
                <m:r>
                  <m:rPr/>
                  <m:t>m</m:t>
                </m:r>
              </m:sub>
            </m:sSub>
          </m:den>
        </m:f>
        <m:r>
          <m:rPr>
            <m:sty m:val="p"/>
          </m:rPr>
          <m:t>≲</m:t>
        </m:r>
        <m:f>
          <m:fPr/>
          <m:num>
            <m:r>
              <m:rPr/>
              <m:t>1</m:t>
            </m:r>
          </m:num>
          <m:den>
            <m:sSub>
              <m:sSubPr/>
              <m:e>
                <m:r>
                  <m:rPr/>
                  <m:t>T</m:t>
                </m:r>
              </m:e>
              <m:sub>
                <m:r>
                  <m:rPr/>
                  <m:t>m</m:t>
                </m:r>
              </m:sub>
            </m:sSub>
          </m:den>
        </m:f>
      </m:oMath>
      <w:r>
        <w:tab/>
      </w:r>
      <w:r>
        <w:t>(3</w:t>
      </w:r>
      <w:r>
        <w:noBreakHyphen/>
      </w:r>
      <w:r>
        <w:t>40)</w:t>
      </w:r>
    </w:p>
    <w:p w14:paraId="3221BB45">
      <w:r>
        <w:t xml:space="preserve"> </w:t>
      </w:r>
    </w:p>
    <w:p w14:paraId="6A9F7291">
      <w:r>
        <w:rPr>
          <w:rFonts w:hint="eastAsia"/>
        </w:rPr>
        <w:t>在不等式两边同时消去调制周期</w:t>
      </w:r>
      <w:r>
        <w:t xml:space="preserve"> </w:t>
      </w:r>
      <m:oMath>
        <m:sSub>
          <m:sSubPr/>
          <m:e>
            <m:r>
              <m:rPr/>
              <m:t>T</m:t>
            </m:r>
          </m:e>
          <m:sub>
            <m:r>
              <m:rPr/>
              <m:t>m</m:t>
            </m:r>
          </m:sub>
        </m:sSub>
      </m:oMath>
      <w:r>
        <w:rPr>
          <w:rFonts w:hint="eastAsia"/>
        </w:rPr>
        <w:t>,即可得到用于判断传统方法是否近似适用的局部工程判据:</w:t>
      </w:r>
    </w:p>
    <w:p w14:paraId="6C80FEDC">
      <w:r>
        <w:t xml:space="preserve"> </w:t>
      </w:r>
    </w:p>
    <w:p w14:paraId="3A4EFE68">
      <w:pPr>
        <w:pStyle w:val="44"/>
        <w:spacing w:before="0" w:after="0" w:line="400" w:lineRule="atLeast"/>
      </w:pPr>
      <w:r>
        <w:tab/>
      </w:r>
      <m:oMath>
        <m:borderBox>
          <m:borderBoxPr/>
          <m:e>
            <m:r>
              <m:rPr/>
              <m:t>B</m:t>
            </m:r>
            <m:r>
              <m:rPr>
                <m:sty m:val="p"/>
              </m:rPr>
              <m:t>⋅</m:t>
            </m:r>
            <m:r>
              <m:rPr/>
              <m:t>η</m:t>
            </m:r>
            <m:r>
              <m:rPr>
                <m:sty m:val="p"/>
              </m:rPr>
              <m:t>(</m:t>
            </m:r>
            <m:sSub>
              <m:sSubPr/>
              <m:e>
                <m:r>
                  <m:rPr/>
                  <m:t>f</m:t>
                </m:r>
              </m:e>
              <m:sub>
                <m:r>
                  <m:rPr/>
                  <m:t>c</m:t>
                </m:r>
              </m:sub>
            </m:sSub>
            <m:r>
              <m:rPr>
                <m:sty m:val="p"/>
              </m:rPr>
              <m:t>)⋅</m:t>
            </m:r>
            <m:sSub>
              <m:sSubPr/>
              <m:e>
                <m:r>
                  <m:rPr/>
                  <m:t>τ</m:t>
                </m:r>
              </m:e>
              <m:sub>
                <m:r>
                  <m:rPr/>
                  <m:t>0</m:t>
                </m:r>
              </m:sub>
            </m:sSub>
            <m:r>
              <m:rPr>
                <m:sty m:val="p"/>
              </m:rPr>
              <m:t>≲</m:t>
            </m:r>
            <m:r>
              <m:rPr/>
              <m:t>1</m:t>
            </m:r>
          </m:e>
        </m:borderBox>
      </m:oMath>
      <w:r>
        <w:tab/>
      </w:r>
      <w:r>
        <w:t>(3</w:t>
      </w:r>
      <w:r>
        <w:noBreakHyphen/>
      </w:r>
      <w:r>
        <w:t>41)</w:t>
      </w:r>
    </w:p>
    <w:p w14:paraId="67025F11">
      <w:r>
        <w:t xml:space="preserve"> </w:t>
      </w:r>
    </w:p>
    <w:p w14:paraId="5B9663B6">
      <w:r>
        <w:rPr>
          <w:rFonts w:hint="eastAsia"/>
        </w:rPr>
        <w:t>为减轻记号负担,定义综合判据值</w:t>
      </w:r>
    </w:p>
    <w:p w14:paraId="25AE03FE">
      <w:pPr>
        <w:rPr>
          <w:i w:val="0"/>
        </w:rPr>
      </w:pPr>
      <m:oMathPara>
        <m:oMathParaPr>
          <m:jc m:val="center"/>
        </m:oMathParaPr>
        <m:oMath>
          <m:r>
            <m:rPr/>
            <m:t>χ</m:t>
          </m:r>
          <m:r>
            <m:rPr>
              <m:sty m:val="p"/>
            </m:rPr>
            <m:t>(</m:t>
          </m:r>
          <m:sSub>
            <m:sSubPr/>
            <m:e>
              <m:r>
                <m:rPr/>
                <m:t>f</m:t>
              </m:r>
            </m:e>
            <m:sub>
              <m:r>
                <m:rPr/>
                <m:t>c</m:t>
              </m:r>
            </m:sub>
          </m:sSub>
          <m:r>
            <m:rPr>
              <m:sty m:val="p"/>
            </m:rPr>
            <m:t>)≜</m:t>
          </m:r>
          <m:r>
            <m:rPr/>
            <m:t>B</m:t>
          </m:r>
          <m:r>
            <m:rPr>
              <m:sty m:val="p"/>
            </m:rPr>
            <m:t>⋅</m:t>
          </m:r>
          <m:r>
            <m:rPr/>
            <m:t>η</m:t>
          </m:r>
          <m:r>
            <m:rPr>
              <m:sty m:val="p"/>
            </m:rPr>
            <m:t>(</m:t>
          </m:r>
          <m:sSub>
            <m:sSubPr/>
            <m:e>
              <m:r>
                <m:rPr/>
                <m:t>f</m:t>
              </m:r>
            </m:e>
            <m:sub>
              <m:r>
                <m:rPr/>
                <m:t>c</m:t>
              </m:r>
            </m:sub>
          </m:sSub>
          <m:r>
            <m:rPr>
              <m:sty m:val="p"/>
            </m:rPr>
            <m:t>)⋅</m:t>
          </m:r>
          <m:sSub>
            <m:sSubPr/>
            <m:e>
              <m:r>
                <m:rPr/>
                <m:t>τ</m:t>
              </m:r>
            </m:e>
            <m:sub>
              <m:r>
                <m:rPr/>
                <m:t>0</m:t>
              </m:r>
            </m:sub>
          </m:sSub>
          <m:r>
            <m:rPr>
              <m:sty m:val="p"/>
            </m:rPr>
            <m:t>=</m:t>
          </m:r>
          <m:sSub>
            <m:sSubPr/>
            <m:e>
              <m:r>
                <m:rPr/>
                <m:t>τ</m:t>
              </m:r>
            </m:e>
            <m:sub>
              <m:r>
                <m:rPr/>
                <m:t>0</m:t>
              </m:r>
            </m:sub>
          </m:sSub>
          <m:r>
            <m:rPr>
              <m:sty m:val="p"/>
            </m:rPr>
            <m:t>⋅</m:t>
          </m:r>
          <m:f>
            <m:fPr/>
            <m:num>
              <m:sSup>
                <m:sSupPr/>
                <m:e>
                  <m:r>
                    <m:rPr/>
                    <m:t>B</m:t>
                  </m:r>
                </m:e>
                <m:sup>
                  <m:r>
                    <m:rPr/>
                    <m:t>2</m:t>
                  </m:r>
                </m:sup>
              </m:sSup>
            </m:num>
            <m:den>
              <m:sSub>
                <m:sSubPr/>
                <m:e>
                  <m:r>
                    <m:rPr/>
                    <m:t>f</m:t>
                  </m:r>
                </m:e>
                <m:sub>
                  <m:r>
                    <m:rPr/>
                    <m:t>c</m:t>
                  </m:r>
                </m:sub>
              </m:sSub>
            </m:den>
          </m:f>
          <m:r>
            <m:rPr>
              <m:sty m:val="p"/>
            </m:rPr>
            <m:t>⋅</m:t>
          </m:r>
          <m:f>
            <m:fPr/>
            <m:num>
              <m:r>
                <m:rPr>
                  <m:sty m:val="p"/>
                </m:rPr>
                <m:t>(</m:t>
              </m:r>
              <m:sSub>
                <m:sSubPr/>
                <m:e>
                  <m:r>
                    <m:rPr/>
                    <m:t>f</m:t>
                  </m:r>
                </m:e>
                <m:sub>
                  <m:r>
                    <m:rPr/>
                    <m:t>p</m:t>
                  </m:r>
                </m:sub>
              </m:sSub>
              <m:r>
                <m:rPr>
                  <m:sty m:val="p"/>
                </m:rPr>
                <m:t>/</m:t>
              </m:r>
              <m:sSub>
                <m:sSubPr/>
                <m:e>
                  <m:r>
                    <m:rPr/>
                    <m:t>f</m:t>
                  </m:r>
                </m:e>
                <m:sub>
                  <m:r>
                    <m:rPr/>
                    <m:t>c</m:t>
                  </m:r>
                </m:sub>
              </m:sSub>
              <m:sSup>
                <m:sSupPr/>
                <m:e>
                  <m:r>
                    <m:rPr>
                      <m:sty m:val="p"/>
                    </m:rPr>
                    <m:t>)</m:t>
                  </m:r>
                </m:e>
                <m:sup>
                  <m:r>
                    <m:rPr/>
                    <m:t>2</m:t>
                  </m:r>
                </m:sup>
              </m:sSup>
            </m:num>
            <m:den>
              <m:r>
                <m:rPr>
                  <m:sty m:val="p"/>
                </m:rPr>
                <m:t>[</m:t>
              </m:r>
              <m:r>
                <m:rPr/>
                <m:t>1</m:t>
              </m:r>
              <m:r>
                <m:rPr>
                  <m:sty m:val="p"/>
                </m:rPr>
                <m:t>−(</m:t>
              </m:r>
              <m:sSub>
                <m:sSubPr/>
                <m:e>
                  <m:r>
                    <m:rPr/>
                    <m:t>f</m:t>
                  </m:r>
                </m:e>
                <m:sub>
                  <m:r>
                    <m:rPr/>
                    <m:t>p</m:t>
                  </m:r>
                </m:sub>
              </m:sSub>
              <m:r>
                <m:rPr>
                  <m:sty m:val="p"/>
                </m:rPr>
                <m:t>/</m:t>
              </m:r>
              <m:sSub>
                <m:sSubPr/>
                <m:e>
                  <m:r>
                    <m:rPr/>
                    <m:t>f</m:t>
                  </m:r>
                </m:e>
                <m:sub>
                  <m:r>
                    <m:rPr/>
                    <m:t>c</m:t>
                  </m:r>
                </m:sub>
              </m:sSub>
              <m:sSup>
                <m:sSupPr/>
                <m:e>
                  <m:r>
                    <m:rPr>
                      <m:sty m:val="p"/>
                    </m:rPr>
                    <m:t>)</m:t>
                  </m:r>
                </m:e>
                <m:sup>
                  <m:r>
                    <m:rPr/>
                    <m:t>2</m:t>
                  </m:r>
                </m:sup>
              </m:sSup>
              <m:sSup>
                <m:sSupPr/>
                <m:e>
                  <m:r>
                    <m:rPr>
                      <m:sty m:val="p"/>
                    </m:rPr>
                    <m:t>]</m:t>
                  </m:r>
                </m:e>
                <m:sup>
                  <m:r>
                    <m:rPr/>
                    <m:t>3</m:t>
                  </m:r>
                  <m:r>
                    <m:rPr>
                      <m:sty m:val="p"/>
                    </m:rPr>
                    <m:t>/</m:t>
                  </m:r>
                  <m:r>
                    <m:rPr/>
                    <m:t>2</m:t>
                  </m:r>
                </m:sup>
              </m:sSup>
            </m:den>
          </m:f>
        </m:oMath>
      </m:oMathPara>
    </w:p>
    <w:p w14:paraId="623DF49D">
      <w:pPr>
        <w:rPr>
          <w:i w:val="0"/>
        </w:rPr>
      </w:pPr>
    </w:p>
    <w:p w14:paraId="2A7CA7CB">
      <w:r>
        <w:rPr>
          <w:rFonts w:hint="eastAsia"/>
        </w:rPr>
        <w:t>则式(3-41)可简写为</w:t>
      </w:r>
      <m:oMath>
        <m:r>
          <m:rPr/>
          <m:t>χ</m:t>
        </m:r>
        <m:r>
          <m:rPr>
            <m:sty m:val="p"/>
          </m:rPr>
          <m:t>(</m:t>
        </m:r>
        <m:sSub>
          <m:sSubPr/>
          <m:e>
            <m:r>
              <m:rPr/>
              <m:t>f</m:t>
            </m:r>
          </m:e>
          <m:sub>
            <m:r>
              <m:rPr/>
              <m:t>c</m:t>
            </m:r>
          </m:sub>
        </m:sSub>
        <m:r>
          <m:rPr>
            <m:sty m:val="p"/>
          </m:rPr>
          <m:t>)≲</m:t>
        </m:r>
        <m:r>
          <m:rPr/>
          <m:t>1</m:t>
        </m:r>
      </m:oMath>
      <w:r>
        <w:t>。</w:t>
      </w:r>
      <m:oMath>
        <m:r>
          <m:rPr/>
          <m:t>χ</m:t>
        </m:r>
        <m:r>
          <m:rPr>
            <m:sty m:val="p"/>
          </m:rPr>
          <m:t>(</m:t>
        </m:r>
        <m:sSub>
          <m:sSubPr/>
          <m:e>
            <m:r>
              <m:rPr/>
              <m:t>f</m:t>
            </m:r>
          </m:e>
          <m:sub>
            <m:r>
              <m:rPr/>
              <m:t>c</m:t>
            </m:r>
          </m:sub>
        </m:sSub>
        <m:r>
          <m:rPr>
            <m:sty m:val="p"/>
          </m:rPr>
          <m:t>)</m:t>
        </m:r>
      </m:oMath>
      <w:r>
        <w:rPr>
          <w:rFonts w:hint="eastAsia"/>
        </w:rPr>
        <w:t>将</w:t>
      </w:r>
      <m:oMath>
        <m:sSub>
          <m:sSubPr/>
          <m:e>
            <m:r>
              <m:rPr/>
              <m:t>f</m:t>
            </m:r>
          </m:e>
          <m:sub>
            <m:r>
              <m:rPr/>
              <m:t>c</m:t>
            </m:r>
          </m:sub>
        </m:sSub>
      </m:oMath>
      <w:r>
        <w:t>、</w:t>
      </w:r>
      <m:oMath>
        <m:sSub>
          <m:sSubPr/>
          <m:e>
            <m:r>
              <m:rPr/>
              <m:t>f</m:t>
            </m:r>
          </m:e>
          <m:sub>
            <m:r>
              <m:rPr/>
              <m:t>p</m:t>
            </m:r>
          </m:sub>
        </m:sSub>
      </m:oMath>
      <w:r>
        <w:rPr>
          <w:rFonts w:hint="eastAsia"/>
        </w:rPr>
        <w:t>、带宽</w:t>
      </w:r>
      <m:oMath>
        <m:r>
          <m:rPr/>
          <m:t>B</m:t>
        </m:r>
      </m:oMath>
      <w:r>
        <w:rPr>
          <w:rFonts w:hint="eastAsia"/>
        </w:rPr>
        <w:t>与传播时延</w:t>
      </w:r>
      <m:oMath>
        <m:sSub>
          <m:sSubPr/>
          <m:e>
            <m:r>
              <m:rPr/>
              <m:t>τ</m:t>
            </m:r>
          </m:e>
          <m:sub>
            <m:r>
              <m:rPr/>
              <m:t>0</m:t>
            </m:r>
          </m:sub>
        </m:sSub>
      </m:oMath>
      <w:r>
        <w:rPr>
          <w:rFonts w:hint="eastAsia"/>
        </w:rPr>
        <w:t>合并为一个综合边界量;由于</w:t>
      </w:r>
      <m:oMath>
        <m:r>
          <m:rPr/>
          <m:t>η</m:t>
        </m:r>
        <m:r>
          <m:rPr>
            <m:sty m:val="p"/>
          </m:rPr>
          <m:t>(</m:t>
        </m:r>
        <m:sSub>
          <m:sSubPr/>
          <m:e>
            <m:r>
              <m:rPr/>
              <m:t>f</m:t>
            </m:r>
          </m:e>
          <m:sub>
            <m:r>
              <m:rPr/>
              <m:t>c</m:t>
            </m:r>
          </m:sub>
        </m:sSub>
        <m:r>
          <m:rPr>
            <m:sty m:val="p"/>
          </m:rPr>
          <m:t>)</m:t>
        </m:r>
      </m:oMath>
      <w:r>
        <w:rPr>
          <w:rFonts w:hint="eastAsia"/>
        </w:rPr>
        <w:t>按3.2节定义已包含</w:t>
      </w:r>
      <m:oMath>
        <m:r>
          <m:rPr/>
          <m:t>B</m:t>
        </m:r>
      </m:oMath>
      <w:r>
        <w:rPr>
          <w:rFonts w:hint="eastAsia"/>
        </w:rPr>
        <w:t>,这里不再把</w:t>
      </w:r>
      <m:oMath>
        <m:r>
          <m:rPr/>
          <m:t>B</m:t>
        </m:r>
      </m:oMath>
      <w:r>
        <w:rPr>
          <w:rFonts w:hint="eastAsia"/>
        </w:rPr>
        <w:t>与</w:t>
      </w:r>
      <m:oMath>
        <m:r>
          <m:rPr/>
          <m:t>η</m:t>
        </m:r>
      </m:oMath>
      <w:r>
        <w:rPr>
          <w:rFonts w:hint="eastAsia"/>
        </w:rPr>
        <w:t>视为两个独立自由量。</w:t>
      </w:r>
    </w:p>
    <w:p w14:paraId="5629B9A3">
      <w:r>
        <w:rPr>
          <w:rFonts w:hint="eastAsia"/>
        </w:rPr>
        <w:t>为说明该局部判据在其适用域内的量级意义并明确传统方法的适用边界,现以典型Ka波段LFMCW诊断系统为例进行定量分析。考虑工作频段32.5-35.5</w:t>
      </w:r>
      <w:r>
        <w:t xml:space="preserve"> </w:t>
      </w:r>
      <w:r>
        <w:rPr>
          <w:rFonts w:hint="eastAsia"/>
        </w:rPr>
        <w:t>GHz、带宽</w:t>
      </w:r>
      <w:r>
        <w:t xml:space="preserve"> </w:t>
      </w:r>
      <m:oMath>
        <m:r>
          <m:rPr/>
          <m:t>B</m:t>
        </m:r>
        <m:r>
          <m:rPr>
            <m:sty m:val="p"/>
          </m:rPr>
          <m:t>=</m:t>
        </m:r>
        <m:r>
          <m:rPr/>
          <m:t>3</m:t>
        </m:r>
      </m:oMath>
      <w:r>
        <w:t xml:space="preserve"> </w:t>
      </w:r>
      <w:r>
        <w:rPr>
          <w:rFonts w:hint="eastAsia"/>
        </w:rPr>
        <w:t>GHz、调制周期</w:t>
      </w:r>
      <w:r>
        <w:t xml:space="preserve"> </w:t>
      </w:r>
      <m:oMath>
        <m:sSub>
          <m:sSubPr/>
          <m:e>
            <m:r>
              <m:rPr/>
              <m:t>T</m:t>
            </m:r>
          </m:e>
          <m:sub>
            <m:r>
              <m:rPr/>
              <m:t>m</m:t>
            </m:r>
          </m:sub>
        </m:sSub>
        <m:r>
          <m:rPr>
            <m:sty m:val="p"/>
          </m:rPr>
          <m:t>=</m:t>
        </m:r>
        <m:r>
          <m:rPr/>
          <m:t>1</m:t>
        </m:r>
      </m:oMath>
      <w:r>
        <w:t xml:space="preserve"> </w:t>
      </w:r>
      <w:r>
        <w:rPr>
          <w:rFonts w:hint="eastAsia"/>
        </w:rPr>
        <w:t>ms的系统配置,介质厚度取</w:t>
      </w:r>
      <w:r>
        <w:t xml:space="preserve"> </w:t>
      </w:r>
      <m:oMath>
        <m:r>
          <m:rPr/>
          <m:t>d</m:t>
        </m:r>
        <m:r>
          <m:rPr>
            <m:sty m:val="p"/>
          </m:rPr>
          <m:t>=</m:t>
        </m:r>
        <m:r>
          <m:rPr/>
          <m:t>0.15</m:t>
        </m:r>
      </m:oMath>
      <w:r>
        <w:t xml:space="preserve"> </w:t>
      </w:r>
      <w:r>
        <w:rPr>
          <w:rFonts w:hint="eastAsia"/>
        </w:rPr>
        <w:t>m,对应基础时延</w:t>
      </w:r>
      <w:r>
        <w:t xml:space="preserve"> </w:t>
      </w:r>
      <m:oMath>
        <m:sSub>
          <m:sSubPr/>
          <m:e>
            <m:r>
              <m:rPr/>
              <m:t>τ</m:t>
            </m:r>
          </m:e>
          <m:sub>
            <m:r>
              <m:rPr/>
              <m:t>0</m:t>
            </m:r>
          </m:sub>
        </m:sSub>
        <m:r>
          <m:rPr>
            <m:sty m:val="p"/>
          </m:rPr>
          <m:t>=</m:t>
        </m:r>
        <m:r>
          <m:rPr/>
          <m:t>0.5</m:t>
        </m:r>
      </m:oMath>
      <w:r>
        <w:t xml:space="preserve"> </w:t>
      </w:r>
      <w:r>
        <w:rPr>
          <w:rFonts w:hint="eastAsia"/>
        </w:rPr>
        <w:t>ns。以下非线性度均按代表频率</w:t>
      </w:r>
      <w:r>
        <w:t xml:space="preserve"> </w:t>
      </w:r>
      <m:oMath>
        <m:sSub>
          <m:sSubPr/>
          <m:e>
            <m:r>
              <m:rPr/>
              <m:t>f</m:t>
            </m:r>
          </m:e>
          <m:sub>
            <m:r>
              <m:rPr/>
              <m:t>c</m:t>
            </m:r>
          </m:sub>
        </m:sSub>
        <m:r>
          <m:rPr>
            <m:sty m:val="p"/>
          </m:rPr>
          <m:t>=</m:t>
        </m:r>
        <m:r>
          <m:rPr/>
          <m:t>34</m:t>
        </m:r>
      </m:oMath>
      <w:r>
        <w:t xml:space="preserve"> GHz </w:t>
      </w:r>
      <w:r>
        <w:rPr>
          <w:rFonts w:hint="eastAsia"/>
        </w:rPr>
        <w:t>处的</w:t>
      </w:r>
      <w:r>
        <w:t xml:space="preserve"> </w:t>
      </w:r>
      <m:oMath>
        <m:r>
          <m:rPr/>
          <m:t>η</m:t>
        </m:r>
        <m:r>
          <m:rPr>
            <m:sty m:val="p"/>
          </m:rPr>
          <m:t>(</m:t>
        </m:r>
        <m:sSub>
          <m:sSubPr/>
          <m:e>
            <m:r>
              <m:rPr/>
              <m:t>f</m:t>
            </m:r>
          </m:e>
          <m:sub>
            <m:r>
              <m:rPr/>
              <m:t>c</m:t>
            </m:r>
          </m:sub>
        </m:sSub>
        <m:r>
          <m:rPr>
            <m:sty m:val="p"/>
          </m:rPr>
          <m:t>)</m:t>
        </m:r>
      </m:oMath>
      <w:r>
        <w:t xml:space="preserve"> </w:t>
      </w:r>
      <w:r>
        <w:rPr>
          <w:rFonts w:hint="eastAsia"/>
        </w:rPr>
        <w:t>进行工程估算。</w:t>
      </w:r>
    </w:p>
    <w:p w14:paraId="6240A79A">
      <w:r>
        <w:rPr>
          <w:rFonts w:hint="eastAsia"/>
        </w:rPr>
        <w:t>先对式(3-37)给出的余项控制条件和式(3-41)给出的局部判据作数量级核查。对代表性的中等密度工况</w:t>
      </w:r>
      <m:oMath>
        <m:sSub>
          <m:sSubPr/>
          <m:e>
            <m:r>
              <m:rPr/>
              <m:t>f</m:t>
            </m:r>
          </m:e>
          <m:sub>
            <m:r>
              <m:rPr/>
              <m:t>p</m:t>
            </m:r>
          </m:sub>
        </m:sSub>
        <m:r>
          <m:rPr>
            <m:sty m:val="p"/>
          </m:rPr>
          <m:t>=</m:t>
        </m:r>
        <m:r>
          <m:rPr/>
          <m:t>29</m:t>
        </m:r>
      </m:oMath>
      <w:r>
        <w:t xml:space="preserve"> </w:t>
      </w:r>
      <w:r>
        <w:rPr>
          <w:rFonts w:hint="eastAsia"/>
        </w:rPr>
        <w:t>GHz,在32.5</w:t>
      </w:r>
      <w:r>
        <w:t xml:space="preserve"> GHz、34 </w:t>
      </w:r>
      <w:r>
        <w:rPr>
          <w:rFonts w:hint="eastAsia"/>
        </w:rPr>
        <w:t>GHz和35.5</w:t>
      </w:r>
      <w:r>
        <w:t xml:space="preserve"> </w:t>
      </w:r>
      <w:r>
        <w:rPr>
          <w:rFonts w:hint="eastAsia"/>
        </w:rPr>
        <w:t>GHz处分别有</w:t>
      </w:r>
      <m:oMath>
        <m:r>
          <m:rPr>
            <m:sty m:val="p"/>
          </m:rPr>
          <m:t>|</m:t>
        </m:r>
        <m:sSub>
          <m:sSubPr/>
          <m:e>
            <m:acc>
              <m:accPr>
                <m:chr m:val="̇"/>
              </m:accPr>
              <m:e>
                <m:r>
                  <m:rPr/>
                  <m:t>τ</m:t>
                </m:r>
              </m:e>
            </m:acc>
          </m:e>
          <m:sub>
            <m:r>
              <m:rPr/>
              <m:t>g</m:t>
            </m:r>
          </m:sub>
        </m:sSub>
        <m:r>
          <m:rPr>
            <m:sty m:val="p"/>
          </m:rPr>
          <m:t>|≈</m:t>
        </m:r>
        <m:r>
          <m:rPr/>
          <m:t>4.00</m:t>
        </m:r>
        <m:r>
          <m:rPr>
            <m:sty m:val="p"/>
          </m:rPr>
          <m:t>×</m:t>
        </m:r>
        <m:sSup>
          <m:sSupPr/>
          <m:e>
            <m:r>
              <m:rPr/>
              <m:t>10</m:t>
            </m:r>
          </m:e>
          <m:sup>
            <m:r>
              <m:rPr>
                <m:sty m:val="p"/>
              </m:rPr>
              <m:t>−</m:t>
            </m:r>
            <m:r>
              <m:rPr/>
              <m:t>7</m:t>
            </m:r>
          </m:sup>
        </m:sSup>
      </m:oMath>
      <w:r>
        <w:t>、</w:t>
      </w:r>
      <m:oMath>
        <m:r>
          <m:rPr/>
          <m:t>2.26</m:t>
        </m:r>
        <m:r>
          <m:rPr>
            <m:sty m:val="p"/>
          </m:rPr>
          <m:t>×</m:t>
        </m:r>
        <m:sSup>
          <m:sSupPr/>
          <m:e>
            <m:r>
              <m:rPr/>
              <m:t>10</m:t>
            </m:r>
          </m:e>
          <m:sup>
            <m:r>
              <m:rPr>
                <m:sty m:val="p"/>
              </m:rPr>
              <m:t>−</m:t>
            </m:r>
            <m:r>
              <m:rPr/>
              <m:t>7</m:t>
            </m:r>
          </m:sup>
        </m:sSup>
      </m:oMath>
      <w:r>
        <w:rPr>
          <w:rFonts w:hint="eastAsia"/>
        </w:rPr>
        <w:t>和</w:t>
      </w:r>
      <m:oMath>
        <m:r>
          <m:rPr/>
          <m:t>1.47</m:t>
        </m:r>
        <m:r>
          <m:rPr>
            <m:sty m:val="p"/>
          </m:rPr>
          <m:t>×</m:t>
        </m:r>
        <m:sSup>
          <m:sSupPr/>
          <m:e>
            <m:r>
              <m:rPr/>
              <m:t>10</m:t>
            </m:r>
          </m:e>
          <m:sup>
            <m:r>
              <m:rPr>
                <m:sty m:val="p"/>
              </m:rPr>
              <m:t>−</m:t>
            </m:r>
            <m:r>
              <m:rPr/>
              <m:t>7</m:t>
            </m:r>
          </m:sup>
        </m:sSup>
      </m:oMath>
      <w:r>
        <w:rPr>
          <w:rFonts w:hint="eastAsia"/>
        </w:rPr>
        <w:t>;按中点线性化得到的带宽内时延变化量为</w:t>
      </w:r>
      <m:oMath>
        <m:r>
          <m:rPr>
            <m:sty m:val="p"/>
          </m:rPr>
          <m:t>Δ</m:t>
        </m:r>
        <m:sSubSup>
          <m:sSubSupPr/>
          <m:e>
            <m:r>
              <m:rPr/>
              <m:t>τ</m:t>
            </m:r>
          </m:e>
          <m:sub>
            <m:r>
              <m:rPr/>
              <m:t>g</m:t>
            </m:r>
          </m:sub>
          <m:sup>
            <m:r>
              <m:rPr>
                <m:sty m:val="p"/>
              </m:rPr>
              <m:t>(</m:t>
            </m:r>
            <m:r>
              <m:rPr/>
              <m:t>B</m:t>
            </m:r>
            <m:r>
              <m:rPr>
                <m:sty m:val="p"/>
              </m:rPr>
              <m:t>,</m:t>
            </m:r>
            <m:r>
              <m:rPr/>
              <m:t>lin</m:t>
            </m:r>
            <m:r>
              <m:rPr>
                <m:sty m:val="p"/>
              </m:rPr>
              <m:t>)</m:t>
            </m:r>
          </m:sup>
        </m:sSubSup>
        <m:r>
          <m:rPr>
            <m:sty m:val="p"/>
          </m:rPr>
          <m:t>≈</m:t>
        </m:r>
        <m:r>
          <m:rPr/>
          <m:t>0.2258</m:t>
        </m:r>
      </m:oMath>
      <w:r>
        <w:t xml:space="preserve"> </w:t>
      </w:r>
      <w:r>
        <w:rPr>
          <w:rFonts w:hint="eastAsia"/>
        </w:rPr>
        <w:t>ns,而由全频段模型直接计算的精确值为</w:t>
      </w:r>
      <m:oMath>
        <m:r>
          <m:rPr>
            <m:sty m:val="p"/>
          </m:rPr>
          <m:t>Δ</m:t>
        </m:r>
        <m:sSubSup>
          <m:sSubSupPr/>
          <m:e>
            <m:r>
              <m:rPr/>
              <m:t>τ</m:t>
            </m:r>
          </m:e>
          <m:sub>
            <m:r>
              <m:rPr/>
              <m:t>g</m:t>
            </m:r>
          </m:sub>
          <m:sup>
            <m:r>
              <m:rPr>
                <m:sty m:val="p"/>
              </m:rPr>
              <m:t>(</m:t>
            </m:r>
            <m:r>
              <m:rPr/>
              <m:t>B</m:t>
            </m:r>
            <m:r>
              <m:rPr>
                <m:sty m:val="p"/>
              </m:rPr>
              <m:t>,</m:t>
            </m:r>
            <m:r>
              <m:rPr/>
              <m:t>exact</m:t>
            </m:r>
            <m:r>
              <m:rPr>
                <m:sty m:val="p"/>
              </m:rPr>
              <m:t>)</m:t>
            </m:r>
          </m:sup>
        </m:sSubSup>
        <m:r>
          <m:rPr>
            <m:sty m:val="p"/>
          </m:rPr>
          <m:t>≈</m:t>
        </m:r>
        <m:r>
          <m:rPr/>
          <m:t>0.2409</m:t>
        </m:r>
      </m:oMath>
      <w:r>
        <w:t xml:space="preserve"> </w:t>
      </w:r>
      <w:r>
        <w:rPr>
          <w:rFonts w:hint="eastAsia"/>
        </w:rPr>
        <w:t>ns,两者相差约6.26%。与此同时,余项控制比值</w:t>
      </w:r>
      <m:oMath>
        <m:f>
          <m:fPr/>
          <m:num>
            <m:sSup>
              <m:sSupPr/>
              <m:e>
                <m:r>
                  <m:rPr/>
                  <m:t>B</m:t>
                </m:r>
              </m:e>
              <m:sup>
                <m:r>
                  <m:rPr/>
                  <m:t>2</m:t>
                </m:r>
              </m:sup>
            </m:sSup>
          </m:num>
          <m:den>
            <m:r>
              <m:rPr/>
              <m:t>24</m:t>
            </m:r>
          </m:den>
        </m:f>
        <m:sSub>
          <m:sSubPr/>
          <m:e>
            <m:r>
              <m:rPr>
                <m:sty m:val="p"/>
              </m:rPr>
              <m:t>max</m:t>
            </m:r>
          </m:e>
          <m:sub>
            <m:r>
              <m:rPr/>
              <m:t>I</m:t>
            </m:r>
          </m:sub>
        </m:sSub>
        <m:r>
          <m:rPr>
            <m:sty m:val="p"/>
          </m:rPr>
          <m:t>|</m:t>
        </m:r>
        <m:sSubSup>
          <m:sSubSupPr/>
          <m:e>
            <m:r>
              <m:rPr/>
              <m:t>τ</m:t>
            </m:r>
          </m:e>
          <m:sub>
            <m:r>
              <m:rPr/>
              <m:t>g</m:t>
            </m:r>
          </m:sub>
          <m:sup>
            <m:r>
              <m:rPr>
                <m:sty m:val="p"/>
              </m:rPr>
              <m:t>‴</m:t>
            </m:r>
          </m:sup>
        </m:sSubSup>
        <m:r>
          <m:rPr>
            <m:sty m:val="p"/>
          </m:rPr>
          <m:t>(</m:t>
        </m:r>
        <m:r>
          <m:rPr/>
          <m:t>f</m:t>
        </m:r>
        <m:r>
          <m:rPr>
            <m:sty m:val="p"/>
          </m:rPr>
          <m:t>)|/|</m:t>
        </m:r>
        <m:sSubSup>
          <m:sSubSupPr/>
          <m:e>
            <m:r>
              <m:rPr/>
              <m:t>τ</m:t>
            </m:r>
          </m:e>
          <m:sub>
            <m:r>
              <m:rPr/>
              <m:t>g</m:t>
            </m:r>
          </m:sub>
          <m:sup>
            <m:r>
              <m:rPr>
                <m:sty m:val="p"/>
              </m:rPr>
              <m:t>′</m:t>
            </m:r>
          </m:sup>
        </m:sSubSup>
        <m:r>
          <m:rPr>
            <m:sty m:val="p"/>
          </m:rPr>
          <m:t>(</m:t>
        </m:r>
        <m:sSub>
          <m:sSubPr/>
          <m:e>
            <m:r>
              <m:rPr/>
              <m:t>f</m:t>
            </m:r>
          </m:e>
          <m:sub>
            <m:r>
              <m:rPr/>
              <m:t>c</m:t>
            </m:r>
          </m:sub>
        </m:sSub>
        <m:r>
          <m:rPr>
            <m:sty m:val="p"/>
          </m:rPr>
          <m:t>)|≈</m:t>
        </m:r>
        <m:r>
          <m:rPr/>
          <m:t>0.218</m:t>
        </m:r>
      </m:oMath>
      <w:r>
        <w:rPr>
          <w:rFonts w:hint="eastAsia"/>
        </w:rPr>
        <w:t>,说明式(3-38)至式(3-41)在该工况下可作为数量级正确的局部工程判据使用。</w:t>
      </w:r>
    </w:p>
    <w:p w14:paraId="3C44B3B5">
      <w:r>
        <w:rPr>
          <w:rFonts w:hint="eastAsia"/>
        </w:rPr>
        <w:t>对于中等密度的安全工况,当电子密度约为</w:t>
      </w:r>
      <w:r>
        <w:t xml:space="preserve"> </w:t>
      </w:r>
      <m:oMath>
        <m:sSub>
          <m:sSubPr/>
          <m:e>
            <m:r>
              <m:rPr/>
              <m:t>n</m:t>
            </m:r>
          </m:e>
          <m:sub>
            <m:r>
              <m:rPr/>
              <m:t>e</m:t>
            </m:r>
          </m:sub>
        </m:sSub>
        <m:r>
          <m:rPr>
            <m:sty m:val="p"/>
          </m:rPr>
          <m:t>≈</m:t>
        </m:r>
        <m:r>
          <m:rPr/>
          <m:t>1.04</m:t>
        </m:r>
        <m:r>
          <m:rPr>
            <m:sty m:val="p"/>
          </m:rPr>
          <m:t>×</m:t>
        </m:r>
        <m:sSup>
          <m:sSupPr/>
          <m:e>
            <m:r>
              <m:rPr/>
              <m:t>10</m:t>
            </m:r>
          </m:e>
          <m:sup>
            <m:r>
              <m:rPr/>
              <m:t>19</m:t>
            </m:r>
          </m:sup>
        </m:sSup>
      </m:oMath>
      <w:r>
        <w:t xml:space="preserve"> m</w:t>
      </w:r>
      <m:oMath>
        <m:sSup>
          <m:sSupPr/>
          <m:e>
            <m:r>
              <m:rPr/>
              <m:t>​</m:t>
            </m:r>
          </m:e>
          <m:sup>
            <m:r>
              <m:rPr>
                <m:sty m:val="p"/>
              </m:rPr>
              <m:t>−</m:t>
            </m:r>
            <m:r>
              <m:rPr/>
              <m:t>3</m:t>
            </m:r>
          </m:sup>
        </m:sSup>
      </m:oMath>
      <w:r>
        <w:rPr>
          <w:rFonts w:hint="eastAsia"/>
        </w:rPr>
        <w:t>、对应截止频率</w:t>
      </w:r>
      <w:r>
        <w:t xml:space="preserve"> </w:t>
      </w:r>
      <m:oMath>
        <m:sSub>
          <m:sSubPr/>
          <m:e>
            <m:r>
              <m:rPr/>
              <m:t>f</m:t>
            </m:r>
          </m:e>
          <m:sub>
            <m:r>
              <m:rPr/>
              <m:t>p</m:t>
            </m:r>
          </m:sub>
        </m:sSub>
        <m:r>
          <m:rPr>
            <m:sty m:val="p"/>
          </m:rPr>
          <m:t>=</m:t>
        </m:r>
        <m:r>
          <m:rPr/>
          <m:t>29</m:t>
        </m:r>
      </m:oMath>
      <w:r>
        <w:t xml:space="preserve"> </w:t>
      </w:r>
      <w:r>
        <w:rPr>
          <w:rFonts w:hint="eastAsia"/>
        </w:rPr>
        <w:t>GHz时,按</w:t>
      </w:r>
      <w:r>
        <w:t xml:space="preserve"> </w:t>
      </w:r>
      <m:oMath>
        <m:sSub>
          <m:sSubPr/>
          <m:e>
            <m:r>
              <m:rPr/>
              <m:t>f</m:t>
            </m:r>
          </m:e>
          <m:sub>
            <m:r>
              <m:rPr/>
              <m:t>c</m:t>
            </m:r>
          </m:sub>
        </m:sSub>
        <m:r>
          <m:rPr>
            <m:sty m:val="p"/>
          </m:rPr>
          <m:t>=</m:t>
        </m:r>
        <m:r>
          <m:rPr/>
          <m:t>34</m:t>
        </m:r>
      </m:oMath>
      <w:r>
        <w:t xml:space="preserve"> GHz </w:t>
      </w:r>
      <w:r>
        <w:rPr>
          <w:rFonts w:hint="eastAsia"/>
        </w:rPr>
        <w:t>处的代表频率近似,根据式(3-16)计算得非线性度因子</w:t>
      </w:r>
      <w:r>
        <w:t xml:space="preserve"> </w:t>
      </w:r>
      <m:oMath>
        <m:r>
          <m:rPr/>
          <m:t>η</m:t>
        </m:r>
        <m:r>
          <m:rPr>
            <m:sty m:val="p"/>
          </m:rPr>
          <m:t>(</m:t>
        </m:r>
        <m:sSub>
          <m:sSubPr/>
          <m:e>
            <m:r>
              <m:rPr/>
              <m:t>f</m:t>
            </m:r>
          </m:e>
          <m:sub>
            <m:r>
              <m:rPr/>
              <m:t>c</m:t>
            </m:r>
          </m:sub>
        </m:sSub>
        <m:r>
          <m:rPr>
            <m:sty m:val="p"/>
          </m:rPr>
          <m:t>)≈</m:t>
        </m:r>
        <m:r>
          <m:rPr/>
          <m:t>0.45</m:t>
        </m:r>
      </m:oMath>
      <w:r>
        <w:rPr>
          <w:rFonts w:hint="eastAsia"/>
        </w:rPr>
        <w:t>,代入工程判据可得</w:t>
      </w:r>
      <w:r>
        <w:t xml:space="preserve"> </w:t>
      </w:r>
      <m:oMath>
        <m:sSub>
          <m:sSubPr/>
          <m:e>
            <m:r>
              <m:rPr/>
              <m:t>χ</m:t>
            </m:r>
          </m:e>
          <m:sub>
            <m:r>
              <m:rPr/>
              <m:t>A</m:t>
            </m:r>
          </m:sub>
        </m:sSub>
        <m:r>
          <m:rPr>
            <m:sty m:val="p"/>
          </m:rPr>
          <m:t>≈</m:t>
        </m:r>
        <m:r>
          <m:rPr/>
          <m:t>0.68</m:t>
        </m:r>
      </m:oMath>
      <w:r>
        <w:rPr>
          <w:rFonts w:hint="eastAsia"/>
        </w:rPr>
        <w:t>。该值小于临界阈值1,表明色散引入的频率展宽尚在FFT分辨率限制内,传统峰值检测方法可以正常工作。</w:t>
      </w:r>
    </w:p>
    <w:p w14:paraId="09459DD8">
      <w:r>
        <w:rPr>
          <w:rFonts w:hint="eastAsia"/>
        </w:rPr>
        <w:t>若截止频率上升至</w:t>
      </w:r>
      <w:r>
        <w:t xml:space="preserve"> </w:t>
      </w:r>
      <m:oMath>
        <m:sSub>
          <m:sSubPr/>
          <m:e>
            <m:r>
              <m:rPr/>
              <m:t>f</m:t>
            </m:r>
          </m:e>
          <m:sub>
            <m:r>
              <m:rPr/>
              <m:t>p</m:t>
            </m:r>
          </m:sub>
        </m:sSub>
        <m:r>
          <m:rPr>
            <m:sty m:val="p"/>
          </m:rPr>
          <m:t>=</m:t>
        </m:r>
        <m:r>
          <m:rPr/>
          <m:t>30</m:t>
        </m:r>
      </m:oMath>
      <w:r>
        <w:t xml:space="preserve"> </w:t>
      </w:r>
      <w:r>
        <w:rPr>
          <w:rFonts w:hint="eastAsia"/>
        </w:rPr>
        <w:t>GHz,则按代表频率</w:t>
      </w:r>
      <w:r>
        <w:t xml:space="preserve"> </w:t>
      </w:r>
      <m:oMath>
        <m:sSub>
          <m:sSubPr/>
          <m:e>
            <m:r>
              <m:rPr/>
              <m:t>f</m:t>
            </m:r>
          </m:e>
          <m:sub>
            <m:r>
              <m:rPr/>
              <m:t>c</m:t>
            </m:r>
          </m:sub>
        </m:sSub>
        <m:r>
          <m:rPr>
            <m:sty m:val="p"/>
          </m:rPr>
          <m:t>=</m:t>
        </m:r>
        <m:r>
          <m:rPr/>
          <m:t>34</m:t>
        </m:r>
      </m:oMath>
      <w:r>
        <w:t xml:space="preserve"> GHz </w:t>
      </w:r>
      <w:r>
        <w:rPr>
          <w:rFonts w:hint="eastAsia"/>
        </w:rPr>
        <w:t>评估有</w:t>
      </w:r>
      <w:r>
        <w:t xml:space="preserve"> </w:t>
      </w:r>
      <m:oMath>
        <m:r>
          <m:rPr/>
          <m:t>χ</m:t>
        </m:r>
        <m:r>
          <m:rPr>
            <m:sty m:val="p"/>
          </m:rPr>
          <m:t>≈</m:t>
        </m:r>
        <m:r>
          <m:rPr/>
          <m:t>0.99</m:t>
        </m:r>
      </m:oMath>
      <w:r>
        <w:rPr>
          <w:rFonts w:hint="eastAsia"/>
        </w:rPr>
        <w:t>,已逼近局部判据边界,同时余项控制比值增至约0.50,说明局部线性化裕量已经明显不足。因此,该工况更适合被视为临界过渡工况或边界附近工况,用于说明</w:t>
      </w:r>
      <m:oMath>
        <m:r>
          <m:rPr/>
          <m:t>χ</m:t>
        </m:r>
        <m:r>
          <m:rPr>
            <m:sty m:val="p"/>
          </m:rPr>
          <m:t>≈</m:t>
        </m:r>
        <m:r>
          <m:rPr/>
          <m:t>1</m:t>
        </m:r>
      </m:oMath>
      <w:r>
        <w:rPr>
          <w:rFonts w:hint="eastAsia"/>
        </w:rPr>
        <w:t>与余项条件开始同时收紧,而不应再被理解为局部判据仍稳健成立的安全示例。继续升至</w:t>
      </w:r>
      <w:r>
        <w:t xml:space="preserve"> </w:t>
      </w:r>
      <m:oMath>
        <m:sSub>
          <m:sSubPr/>
          <m:e>
            <m:r>
              <m:rPr/>
              <m:t>f</m:t>
            </m:r>
          </m:e>
          <m:sub>
            <m:r>
              <m:rPr/>
              <m:t>p</m:t>
            </m:r>
          </m:sub>
        </m:sSub>
        <m:r>
          <m:rPr>
            <m:sty m:val="p"/>
          </m:rPr>
          <m:t>=</m:t>
        </m:r>
        <m:r>
          <m:rPr/>
          <m:t>31</m:t>
        </m:r>
      </m:oMath>
      <w:r>
        <w:t xml:space="preserve"> </w:t>
      </w:r>
      <w:r>
        <w:rPr>
          <w:rFonts w:hint="eastAsia"/>
        </w:rPr>
        <w:t>GHz时,</w:t>
      </w:r>
      <m:oMath>
        <m:r>
          <m:rPr/>
          <m:t>χ</m:t>
        </m:r>
        <m:r>
          <m:rPr>
            <m:sty m:val="p"/>
          </m:rPr>
          <m:t>≈</m:t>
        </m:r>
        <m:r>
          <m:rPr/>
          <m:t>1.59</m:t>
        </m:r>
      </m:oMath>
      <w:r>
        <w:rPr>
          <w:rFonts w:hint="eastAsia"/>
        </w:rPr>
        <w:t>,余项控制比值约1.88,式(3-41)的局部线性化基础已明显恶化,应切换到后续特征提取与参数反演流程。</w:t>
      </w:r>
    </w:p>
    <w:p w14:paraId="2EA4669B">
      <w:r>
        <w:rPr>
          <w:rFonts w:hint="eastAsia"/>
        </w:rPr>
        <w:t>更强的截止逼近工况可用</w:t>
      </w:r>
      <m:oMath>
        <m:sSub>
          <m:sSubPr/>
          <m:e>
            <m:r>
              <m:rPr/>
              <m:t>f</m:t>
            </m:r>
          </m:e>
          <m:sub>
            <m:r>
              <m:rPr/>
              <m:t>p</m:t>
            </m:r>
          </m:sub>
        </m:sSub>
        <m:r>
          <m:rPr>
            <m:sty m:val="p"/>
          </m:rPr>
          <m:t>=</m:t>
        </m:r>
        <m:r>
          <m:rPr/>
          <m:t>33.5</m:t>
        </m:r>
      </m:oMath>
      <w:r>
        <w:t xml:space="preserve"> </w:t>
      </w:r>
      <w:r>
        <w:rPr>
          <w:rFonts w:hint="eastAsia"/>
        </w:rPr>
        <w:t>GHz说明。若仅按代表频率</w:t>
      </w:r>
      <m:oMath>
        <m:sSub>
          <m:sSubPr/>
          <m:e>
            <m:r>
              <m:rPr/>
              <m:t>f</m:t>
            </m:r>
          </m:e>
          <m:sub>
            <m:r>
              <m:rPr/>
              <m:t>c</m:t>
            </m:r>
          </m:sub>
        </m:sSub>
        <m:r>
          <m:rPr>
            <m:sty m:val="p"/>
          </m:rPr>
          <m:t>=</m:t>
        </m:r>
        <m:r>
          <m:rPr/>
          <m:t>34</m:t>
        </m:r>
      </m:oMath>
      <w:r>
        <w:t xml:space="preserve"> </w:t>
      </w:r>
      <w:r>
        <w:rPr>
          <w:rFonts w:hint="eastAsia"/>
        </w:rPr>
        <w:t>GHz作局部代入,可得</w:t>
      </w:r>
      <m:oMath>
        <m:r>
          <m:rPr/>
          <m:t>χ</m:t>
        </m:r>
        <m:r>
          <m:rPr>
            <m:sty m:val="p"/>
          </m:rPr>
          <m:t>≈</m:t>
        </m:r>
        <m:r>
          <m:rPr/>
          <m:t>25.76</m:t>
        </m:r>
      </m:oMath>
      <w:r>
        <w:rPr>
          <w:rFonts w:hint="eastAsia"/>
        </w:rPr>
        <w:t>,表明代表频率处的非线性已远超弱色散区;但此时工作带宽下边缘已满足</w:t>
      </w:r>
      <m:oMath>
        <m:r>
          <m:rPr/>
          <m:t>32.5</m:t>
        </m:r>
        <m:r>
          <m:rPr>
            <m:sty m:val="p"/>
          </m:rPr>
          <m:t>&lt;</m:t>
        </m:r>
        <m:sSub>
          <m:sSubPr/>
          <m:e>
            <m:r>
              <m:rPr/>
              <m:t>f</m:t>
            </m:r>
          </m:e>
          <m:sub>
            <m:r>
              <m:rPr/>
              <m:t>p</m:t>
            </m:r>
          </m:sub>
        </m:sSub>
      </m:oMath>
      <w:r>
        <w:rPr>
          <w:rFonts w:hint="eastAsia"/>
        </w:rPr>
        <w:t>,整段带宽不再完全位于传播区,式(3-41)的适用前提本身已经失效。因此,该数值只能作为局部非线性急剧恶化的预警量,不能再当作判据的有效适用示例;对这类工况应直接回到3.2节全频段模型或数值仿真进行评估。</w:t>
      </w:r>
    </w:p>
    <w:p w14:paraId="6F595F45">
      <w:r>
        <w:rPr>
          <w:rFonts w:hint="eastAsia"/>
        </w:rPr>
        <w:t>图3-13给出了上述约束在参数空间中的表现。由式(3-41)得到的临界边界</w:t>
      </w:r>
      <m:oMath>
        <m:r>
          <m:rPr/>
          <m:t>χ</m:t>
        </m:r>
        <m:r>
          <m:rPr>
            <m:sty m:val="p"/>
          </m:rPr>
          <m:t>=</m:t>
        </m:r>
        <m:r>
          <m:rPr/>
          <m:t>1</m:t>
        </m:r>
      </m:oMath>
      <w:r>
        <w:rPr>
          <w:rFonts w:hint="eastAsia"/>
        </w:rPr>
        <w:t>可将工作点划分为近似安全区与失效区:位于边界下方时,传统FFT主峰读数仍可作为近似工具;越过边界后,则应转入后续特征提取与反演流程。</w:t>
      </w:r>
    </w:p>
    <w:p w14:paraId="16D9F4BD">
      <w:pPr>
        <w:spacing w:line="240" w:lineRule="auto"/>
        <w:ind w:firstLine="480"/>
        <w:jc w:val="center"/>
        <w:rPr>
          <w:rFonts w:hint="eastAsia" w:ascii="宋体" w:hAnsi="宋体" w:eastAsia="宋体"/>
          <w:szCs w:val="24"/>
          <w:lang w:eastAsia="zh-CN"/>
        </w:rPr>
      </w:pPr>
      <w:r>
        <w:rPr>
          <w:rFonts w:hint="eastAsia" w:ascii="宋体" w:hAnsi="宋体" w:eastAsia="宋体"/>
          <w:szCs w:val="24"/>
          <w:lang w:eastAsia="zh-CN"/>
        </w:rPr>
        <w:drawing>
          <wp:inline distT="0" distB="0" distL="114300" distR="114300">
            <wp:extent cx="4963795" cy="2853690"/>
            <wp:effectExtent l="0" t="0" r="4445" b="11430"/>
            <wp:docPr id="21" name="图片 21" descr="fig_2_2_dispersion_comparison_layout_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ig_2_2_dispersion_comparison_layout_fixed"/>
                    <pic:cNvPicPr>
                      <a:picLocks noChangeAspect="1"/>
                    </pic:cNvPicPr>
                  </pic:nvPicPr>
                  <pic:blipFill>
                    <a:blip r:embed="rId23"/>
                    <a:stretch>
                      <a:fillRect/>
                    </a:stretch>
                  </pic:blipFill>
                  <pic:spPr>
                    <a:xfrm>
                      <a:off x="0" y="0"/>
                      <a:ext cx="4963795" cy="2853690"/>
                    </a:xfrm>
                    <a:prstGeom prst="rect">
                      <a:avLst/>
                    </a:prstGeom>
                  </pic:spPr>
                </pic:pic>
              </a:graphicData>
            </a:graphic>
          </wp:inline>
        </w:drawing>
      </w:r>
    </w:p>
    <w:p w14:paraId="4360B147">
      <w:r>
        <w:rPr>
          <w:rFonts w:hint="eastAsia"/>
        </w:rPr>
        <w:t xml:space="preserve"> </w:t>
      </w:r>
    </w:p>
    <w:p w14:paraId="0E8BA7C0">
      <w:pPr>
        <w:pStyle w:val="43"/>
        <w:bidi w:val="0"/>
      </w:pPr>
      <w:r>
        <w:t xml:space="preserve"> </w:t>
      </w:r>
      <w:r>
        <w:rPr>
          <w:rFonts w:hint="eastAsia"/>
        </w:rPr>
        <w:t>固定碰撞频率条件下不同电子密度的相对群时延曲线（CST</w:t>
      </w:r>
      <w:r>
        <w:t xml:space="preserve"> </w:t>
      </w:r>
      <w:r>
        <w:rPr>
          <w:rFonts w:hint="eastAsia"/>
        </w:rPr>
        <w:t>全波仿真）</w:t>
      </w:r>
    </w:p>
    <w:p w14:paraId="65FF0E98"/>
    <w:p w14:paraId="47583A11">
      <w:r>
        <w:rPr>
          <w:rFonts w:hint="eastAsia"/>
        </w:rPr>
        <w:t>图3-13</w:t>
      </w:r>
      <w:r>
        <w:t xml:space="preserve"> </w:t>
      </w:r>
      <w:r>
        <w:rPr>
          <w:rFonts w:hint="eastAsia"/>
        </w:rPr>
        <w:t>色散效应工程判据的参数空间约束</w:t>
      </w:r>
    </w:p>
    <w:p w14:paraId="0A056C14">
      <w:r>
        <w:rPr>
          <w:rFonts w:hint="eastAsia"/>
        </w:rPr>
        <w:t>上述分析表明,在临近空间再入环境的典型密度范围内,判据值</w:t>
      </w:r>
      <m:oMath>
        <m:r>
          <m:rPr/>
          <m:t>χ</m:t>
        </m:r>
      </m:oMath>
      <w:r>
        <w:rPr>
          <w:rFonts w:hint="eastAsia"/>
        </w:rPr>
        <w:t>很容易逼近或越过阈值1,强色散区内传统方法的稳定性和精度都会明显下降。工程上可由</w:t>
      </w:r>
      <m:oMath>
        <m:r>
          <m:rPr/>
          <m:t>χ</m:t>
        </m:r>
        <m:r>
          <m:rPr>
            <m:sty m:val="p"/>
          </m:rPr>
          <m:t>=</m:t>
        </m:r>
        <m:sSub>
          <m:sSubPr/>
          <m:e>
            <m:r>
              <m:rPr/>
              <m:t>τ</m:t>
            </m:r>
          </m:e>
          <m:sub>
            <m:r>
              <m:rPr/>
              <m:t>0</m:t>
            </m:r>
          </m:sub>
        </m:sSub>
        <m:r>
          <m:rPr>
            <m:sty m:val="p"/>
          </m:rPr>
          <m:t>⋅</m:t>
        </m:r>
        <m:f>
          <m:fPr/>
          <m:num>
            <m:sSup>
              <m:sSupPr/>
              <m:e>
                <m:r>
                  <m:rPr/>
                  <m:t>B</m:t>
                </m:r>
              </m:e>
              <m:sup>
                <m:r>
                  <m:rPr/>
                  <m:t>2</m:t>
                </m:r>
              </m:sup>
            </m:sSup>
          </m:num>
          <m:den>
            <m:sSub>
              <m:sSubPr/>
              <m:e>
                <m:r>
                  <m:rPr/>
                  <m:t>f</m:t>
                </m:r>
              </m:e>
              <m:sub>
                <m:r>
                  <m:rPr/>
                  <m:t>c</m:t>
                </m:r>
              </m:sub>
            </m:sSub>
          </m:den>
        </m:f>
        <m:r>
          <m:rPr>
            <m:sty m:val="p"/>
          </m:rPr>
          <m:t>⋅</m:t>
        </m:r>
        <m:f>
          <m:fPr/>
          <m:num>
            <m:r>
              <m:rPr>
                <m:sty m:val="p"/>
              </m:rPr>
              <m:t>(</m:t>
            </m:r>
            <m:sSub>
              <m:sSubPr/>
              <m:e>
                <m:r>
                  <m:rPr/>
                  <m:t>f</m:t>
                </m:r>
              </m:e>
              <m:sub>
                <m:r>
                  <m:rPr/>
                  <m:t>p</m:t>
                </m:r>
              </m:sub>
            </m:sSub>
            <m:r>
              <m:rPr>
                <m:sty m:val="p"/>
              </m:rPr>
              <m:t>/</m:t>
            </m:r>
            <m:sSub>
              <m:sSubPr/>
              <m:e>
                <m:r>
                  <m:rPr/>
                  <m:t>f</m:t>
                </m:r>
              </m:e>
              <m:sub>
                <m:r>
                  <m:rPr/>
                  <m:t>c</m:t>
                </m:r>
              </m:sub>
            </m:sSub>
            <m:sSup>
              <m:sSupPr/>
              <m:e>
                <m:r>
                  <m:rPr>
                    <m:sty m:val="p"/>
                  </m:rPr>
                  <m:t>)</m:t>
                </m:r>
              </m:e>
              <m:sup>
                <m:r>
                  <m:rPr/>
                  <m:t>2</m:t>
                </m:r>
              </m:sup>
            </m:sSup>
          </m:num>
          <m:den>
            <m:r>
              <m:rPr>
                <m:sty m:val="p"/>
              </m:rPr>
              <m:t>[</m:t>
            </m:r>
            <m:r>
              <m:rPr/>
              <m:t>1</m:t>
            </m:r>
            <m:r>
              <m:rPr>
                <m:sty m:val="p"/>
              </m:rPr>
              <m:t>−(</m:t>
            </m:r>
            <m:sSub>
              <m:sSubPr/>
              <m:e>
                <m:r>
                  <m:rPr/>
                  <m:t>f</m:t>
                </m:r>
              </m:e>
              <m:sub>
                <m:r>
                  <m:rPr/>
                  <m:t>p</m:t>
                </m:r>
              </m:sub>
            </m:sSub>
            <m:r>
              <m:rPr>
                <m:sty m:val="p"/>
              </m:rPr>
              <m:t>/</m:t>
            </m:r>
            <m:sSub>
              <m:sSubPr/>
              <m:e>
                <m:r>
                  <m:rPr/>
                  <m:t>f</m:t>
                </m:r>
              </m:e>
              <m:sub>
                <m:r>
                  <m:rPr/>
                  <m:t>c</m:t>
                </m:r>
              </m:sub>
            </m:sSub>
            <m:sSup>
              <m:sSupPr/>
              <m:e>
                <m:r>
                  <m:rPr>
                    <m:sty m:val="p"/>
                  </m:rPr>
                  <m:t>)</m:t>
                </m:r>
              </m:e>
              <m:sup>
                <m:r>
                  <m:rPr/>
                  <m:t>2</m:t>
                </m:r>
              </m:sup>
            </m:sSup>
            <m:sSup>
              <m:sSupPr/>
              <m:e>
                <m:r>
                  <m:rPr>
                    <m:sty m:val="p"/>
                  </m:rPr>
                  <m:t>]</m:t>
                </m:r>
              </m:e>
              <m:sup>
                <m:r>
                  <m:rPr/>
                  <m:t>3</m:t>
                </m:r>
                <m:r>
                  <m:rPr>
                    <m:sty m:val="p"/>
                  </m:rPr>
                  <m:t>/</m:t>
                </m:r>
                <m:r>
                  <m:rPr/>
                  <m:t>2</m:t>
                </m:r>
              </m:sup>
            </m:sSup>
          </m:den>
        </m:f>
      </m:oMath>
      <w:r>
        <w:rPr>
          <w:rFonts w:hint="eastAsia"/>
        </w:rPr>
        <w:t>反算允许的最大带宽</w:t>
      </w:r>
      <m:oMath>
        <m:sSub>
          <m:sSubPr/>
          <m:e>
            <m:r>
              <m:rPr/>
              <m:t>B</m:t>
            </m:r>
          </m:e>
          <m:sub>
            <m:r>
              <m:rPr/>
              <m:t>max</m:t>
            </m:r>
          </m:sub>
        </m:sSub>
        <m:r>
          <m:rPr>
            <m:sty m:val="p"/>
          </m:rPr>
          <m:t>=</m:t>
        </m:r>
        <m:rad>
          <m:radPr>
            <m:degHide m:val="1"/>
          </m:radPr>
          <m:deg/>
          <m:e>
            <m:f>
              <m:fPr/>
              <m:num>
                <m:sSub>
                  <m:sSubPr/>
                  <m:e>
                    <m:r>
                      <m:rPr/>
                      <m:t>f</m:t>
                    </m:r>
                  </m:e>
                  <m:sub>
                    <m:r>
                      <m:rPr/>
                      <m:t>c</m:t>
                    </m:r>
                  </m:sub>
                </m:sSub>
              </m:num>
              <m:den>
                <m:sSub>
                  <m:sSubPr/>
                  <m:e>
                    <m:r>
                      <m:rPr/>
                      <m:t>τ</m:t>
                    </m:r>
                  </m:e>
                  <m:sub>
                    <m:r>
                      <m:rPr/>
                      <m:t>0</m:t>
                    </m:r>
                  </m:sub>
                </m:sSub>
              </m:den>
            </m:f>
            <m:r>
              <m:rPr>
                <m:sty m:val="p"/>
              </m:rPr>
              <m:t>⋅</m:t>
            </m:r>
            <m:f>
              <m:fPr/>
              <m:num>
                <m:r>
                  <m:rPr>
                    <m:sty m:val="p"/>
                  </m:rPr>
                  <m:t>[</m:t>
                </m:r>
                <m:r>
                  <m:rPr/>
                  <m:t>1</m:t>
                </m:r>
                <m:r>
                  <m:rPr>
                    <m:sty m:val="p"/>
                  </m:rPr>
                  <m:t>−(</m:t>
                </m:r>
                <m:sSub>
                  <m:sSubPr/>
                  <m:e>
                    <m:r>
                      <m:rPr/>
                      <m:t>f</m:t>
                    </m:r>
                  </m:e>
                  <m:sub>
                    <m:r>
                      <m:rPr/>
                      <m:t>p</m:t>
                    </m:r>
                  </m:sub>
                </m:sSub>
                <m:r>
                  <m:rPr>
                    <m:sty m:val="p"/>
                  </m:rPr>
                  <m:t>/</m:t>
                </m:r>
                <m:sSub>
                  <m:sSubPr/>
                  <m:e>
                    <m:r>
                      <m:rPr/>
                      <m:t>f</m:t>
                    </m:r>
                  </m:e>
                  <m:sub>
                    <m:r>
                      <m:rPr/>
                      <m:t>c</m:t>
                    </m:r>
                  </m:sub>
                </m:sSub>
                <m:sSup>
                  <m:sSupPr/>
                  <m:e>
                    <m:r>
                      <m:rPr>
                        <m:sty m:val="p"/>
                      </m:rPr>
                      <m:t>)</m:t>
                    </m:r>
                  </m:e>
                  <m:sup>
                    <m:r>
                      <m:rPr/>
                      <m:t>2</m:t>
                    </m:r>
                  </m:sup>
                </m:sSup>
                <m:sSup>
                  <m:sSupPr/>
                  <m:e>
                    <m:r>
                      <m:rPr>
                        <m:sty m:val="p"/>
                      </m:rPr>
                      <m:t>]</m:t>
                    </m:r>
                  </m:e>
                  <m:sup>
                    <m:r>
                      <m:rPr/>
                      <m:t>3</m:t>
                    </m:r>
                    <m:r>
                      <m:rPr>
                        <m:sty m:val="p"/>
                      </m:rPr>
                      <m:t>/</m:t>
                    </m:r>
                    <m:r>
                      <m:rPr/>
                      <m:t>2</m:t>
                    </m:r>
                  </m:sup>
                </m:sSup>
              </m:num>
              <m:den>
                <m:r>
                  <m:rPr>
                    <m:sty m:val="p"/>
                  </m:rPr>
                  <m:t>(</m:t>
                </m:r>
                <m:sSub>
                  <m:sSubPr/>
                  <m:e>
                    <m:r>
                      <m:rPr/>
                      <m:t>f</m:t>
                    </m:r>
                  </m:e>
                  <m:sub>
                    <m:r>
                      <m:rPr/>
                      <m:t>p</m:t>
                    </m:r>
                  </m:sub>
                </m:sSub>
                <m:r>
                  <m:rPr>
                    <m:sty m:val="p"/>
                  </m:rPr>
                  <m:t>/</m:t>
                </m:r>
                <m:sSub>
                  <m:sSubPr/>
                  <m:e>
                    <m:r>
                      <m:rPr/>
                      <m:t>f</m:t>
                    </m:r>
                  </m:e>
                  <m:sub>
                    <m:r>
                      <m:rPr/>
                      <m:t>c</m:t>
                    </m:r>
                  </m:sub>
                </m:sSub>
                <m:sSup>
                  <m:sSupPr/>
                  <m:e>
                    <m:r>
                      <m:rPr>
                        <m:sty m:val="p"/>
                      </m:rPr>
                      <m:t>)</m:t>
                    </m:r>
                  </m:e>
                  <m:sup>
                    <m:r>
                      <m:rPr/>
                      <m:t>2</m:t>
                    </m:r>
                  </m:sup>
                </m:sSup>
              </m:den>
            </m:f>
          </m:e>
        </m:rad>
      </m:oMath>
      <w:r>
        <w:rPr>
          <w:rFonts w:hint="eastAsia"/>
        </w:rPr>
        <w:t>;若该带宽仍不足以满足分辨率要求，则应采用后续的特征提取与参数反演方案。运行阶段则可实时估计</w:t>
      </w:r>
      <m:oMath>
        <m:r>
          <m:rPr/>
          <m:t>χ</m:t>
        </m:r>
      </m:oMath>
      <w:r>
        <w:rPr>
          <w:rFonts w:hint="eastAsia"/>
        </w:rPr>
        <w:t>,当其接近或超过1,或式(3-37)不再满足时,直接转入全频段评估与后续算法流程。第四章将在此基础上进一步讨论强色散条件下的特征提取与参数反演方法。</w:t>
      </w:r>
    </w:p>
    <w:bookmarkEnd w:id="52"/>
    <w:bookmarkEnd w:id="54"/>
    <w:p w14:paraId="477F5CEF">
      <w:pPr>
        <w:pStyle w:val="3"/>
      </w:pPr>
      <w:r>
        <w:rPr>
          <w:rFonts w:hint="eastAsia"/>
        </w:rPr>
        <w:t>本章小结</w:t>
      </w:r>
    </w:p>
    <w:p w14:paraId="16070197">
      <w:r>
        <w:rPr>
          <w:rFonts w:hint="eastAsia"/>
        </w:rPr>
        <w:t>本章围绕强色散条件下LFMCW诊断的理论前提展开分析。基于Drude自由电子气模型得到的群时延表达式表明,电子密度</w:t>
      </w:r>
      <m:oMath>
        <m:sSub>
          <m:sSubPr/>
          <m:e>
            <m:r>
              <m:rPr/>
              <m:t>n</m:t>
            </m:r>
          </m:e>
          <m:sub>
            <m:r>
              <m:rPr/>
              <m:t>e</m:t>
            </m:r>
          </m:sub>
        </m:sSub>
      </m:oMath>
      <w:r>
        <w:rPr>
          <w:rFonts w:hint="eastAsia"/>
        </w:rPr>
        <w:t>通过截止频率主导群时延曲线的整体形态,碰撞频率</w:t>
      </w:r>
      <m:oMath>
        <m:sSub>
          <m:sSubPr/>
          <m:e>
            <m:r>
              <m:rPr/>
              <m:t>ν</m:t>
            </m:r>
          </m:e>
          <m:sub>
            <m:r>
              <m:rPr/>
              <m:t>e</m:t>
            </m:r>
          </m:sub>
        </m:sSub>
      </m:oMath>
      <w:r>
        <w:rPr>
          <w:rFonts w:hint="eastAsia"/>
        </w:rPr>
        <w:t>对群时延仅表现为二阶微扰,其主要作用体现在幅度衰减而非时延主项。这一结果说明,后续反演中将</w:t>
      </w:r>
      <m:oMath>
        <m:sSub>
          <m:sSubPr/>
          <m:e>
            <m:r>
              <m:rPr/>
              <m:t>ν</m:t>
            </m:r>
          </m:e>
          <m:sub>
            <m:r>
              <m:rPr/>
              <m:t>e</m:t>
            </m:r>
          </m:sub>
        </m:sSub>
      </m:oMath>
      <w:r>
        <w:rPr>
          <w:rFonts w:hint="eastAsia"/>
        </w:rPr>
        <w:t>固定为常数、仅反演</w:t>
      </w:r>
      <m:oMath>
        <m:sSub>
          <m:sSubPr/>
          <m:e>
            <m:r>
              <m:rPr/>
              <m:t>n</m:t>
            </m:r>
          </m:e>
          <m:sub>
            <m:r>
              <m:rPr/>
              <m:t>e</m:t>
            </m:r>
          </m:sub>
        </m:sSub>
      </m:oMath>
      <w:r>
        <w:rPr>
          <w:rFonts w:hint="eastAsia"/>
        </w:rPr>
        <w:t>是有物理依据的降维处理。进一步的仿真与解析还表明,群时延在近截止区对电子密度最敏感,而单点观测不足以支撑稳定辨识,必须利用跨频段的曲线形状信息。</w:t>
      </w:r>
    </w:p>
    <w:p w14:paraId="257B9593">
      <w:r>
        <w:rPr>
          <w:rFonts w:hint="eastAsia"/>
        </w:rPr>
        <w:t>差频信号层面,色散信道中的时变群时延会破坏稳态单频假设,使混频输出转化为瞬时频率随时间漂移的非稳态信号,并进一步引发频谱散焦与中心频率偏移。传统全频段FFT方法因此只能在局部工程近似意义下使用,其适用性需同时满足判据</w:t>
      </w:r>
      <m:oMath>
        <m:r>
          <m:rPr/>
          <m:t>B</m:t>
        </m:r>
        <m:r>
          <m:rPr>
            <m:sty m:val="p"/>
          </m:rPr>
          <m:t>⋅</m:t>
        </m:r>
        <m:r>
          <m:rPr/>
          <m:t>η</m:t>
        </m:r>
        <m:r>
          <m:rPr>
            <m:sty m:val="p"/>
          </m:rPr>
          <m:t>(</m:t>
        </m:r>
        <m:sSub>
          <m:sSubPr/>
          <m:e>
            <m:r>
              <m:rPr/>
              <m:t>f</m:t>
            </m:r>
          </m:e>
          <m:sub>
            <m:r>
              <m:rPr/>
              <m:t>c</m:t>
            </m:r>
          </m:sub>
        </m:sSub>
        <m:r>
          <m:rPr>
            <m:sty m:val="p"/>
          </m:rPr>
          <m:t>)⋅</m:t>
        </m:r>
        <m:sSub>
          <m:sSubPr/>
          <m:e>
            <m:r>
              <m:rPr/>
              <m:t>τ</m:t>
            </m:r>
          </m:e>
          <m:sub>
            <m:r>
              <m:rPr/>
              <m:t>0</m:t>
            </m:r>
          </m:sub>
        </m:sSub>
        <m:r>
          <m:rPr>
            <m:sty m:val="p"/>
          </m:rPr>
          <m:t>≲</m:t>
        </m:r>
        <m:r>
          <m:rPr/>
          <m:t>1</m:t>
        </m:r>
      </m:oMath>
      <w:r>
        <w:rPr>
          <w:rFonts w:hint="eastAsia"/>
        </w:rPr>
        <w:t>及余项受控条件。超出这一范围后,诊断过程便不能继续依赖单峰时延观测,而应转向基于局部频率演化与群时延轨迹的特征提取和参数反演方法,这也构成了第四章开展特征提取与参数反演的理论出发点。</w:t>
      </w:r>
    </w:p>
    <w:bookmarkEnd w:id="39"/>
    <w:p w14:paraId="581F582C">
      <w:pPr>
        <w:pStyle w:val="2"/>
      </w:pPr>
      <w:bookmarkStart w:id="55" w:name="强色散条件下的特征提取与参数反演方法"/>
      <w:r>
        <w:rPr>
          <w:rFonts w:hint="eastAsia"/>
        </w:rPr>
        <w:t>基于滑动时频特征的贝叶斯反演算法与等离子体</w:t>
      </w:r>
      <w:r>
        <w:rPr>
          <w:rFonts w:hint="eastAsia"/>
          <w:lang w:val="en-US" w:eastAsia="zh-CN"/>
        </w:rPr>
        <w:t>仿真</w:t>
      </w:r>
      <w:r>
        <w:rPr>
          <w:rFonts w:hint="eastAsia"/>
        </w:rPr>
        <w:t>验证</w:t>
      </w:r>
    </w:p>
    <w:p w14:paraId="389F051C">
      <w:pPr>
        <w:pStyle w:val="3"/>
      </w:pPr>
      <w:r>
        <w:rPr>
          <w:rFonts w:hint="eastAsia"/>
        </w:rPr>
        <w:t>引言</w:t>
      </w:r>
    </w:p>
    <w:p w14:paraId="36195D6E">
      <w:r>
        <w:rPr>
          <w:rFonts w:hint="eastAsia"/>
        </w:rPr>
        <w:t>第三章已经表明，在强色散区（</w:t>
      </w:r>
      <m:oMath>
        <m:sSub>
          <m:sSubPr/>
          <m:e>
            <m:r>
              <m:rPr/>
              <m:t>f</m:t>
            </m:r>
          </m:e>
          <m:sub>
            <m:r>
              <m:rPr/>
              <m:t>p</m:t>
            </m:r>
          </m:sub>
        </m:sSub>
        <m:r>
          <m:rPr>
            <m:sty m:val="p"/>
          </m:rPr>
          <m:t>≈</m:t>
        </m:r>
        <m:sSub>
          <m:sSubPr/>
          <m:e>
            <m:r>
              <m:rPr/>
              <m:t>f</m:t>
            </m:r>
          </m:e>
          <m:sub>
            <m:r>
              <m:rPr/>
              <m:t>0</m:t>
            </m:r>
          </m:sub>
        </m:sSub>
      </m:oMath>
      <w:r>
        <w:rPr>
          <w:rFonts w:hint="eastAsia"/>
        </w:rPr>
        <w:t>），LFMCW差频信号不再满足稳态单频近似，传统全周期FFT方法难以继续承担电子密度诊断任务。第四章不再重复讨论FFT失效机理，而是转向建立一条可落地的诊断链路：从差频信号中提取群时延轨迹，并据此完成电子密度反演。</w:t>
      </w:r>
    </w:p>
    <w:p w14:paraId="7065081F">
      <w:r>
        <w:rPr>
          <w:rFonts w:hint="eastAsia"/>
        </w:rPr>
        <w:t>围绕这一目标，本章沿“物理约束—特征提取—贝叶斯反演—Drude验证“的主线展开：首先明确反演变量的物理约束，随后建立滑动窗口—MDL—TLS-ESPRIT特征提取链，再构建基于Metropolis-Hastings的贝叶斯反演框架，最后在Drude等离子体仿真场景下验证整条链路的有效性。全章结论统一指向一点：在群时延主导的LFMCW诊断链路中，应固定</w:t>
      </w:r>
      <m:oMath>
        <m:sSub>
          <m:sSubPr/>
          <m:e>
            <m:r>
              <m:rPr/>
              <m:t>ν</m:t>
            </m:r>
          </m:e>
          <m:sub>
            <m:r>
              <m:rPr/>
              <m:t>e</m:t>
            </m:r>
          </m:sub>
        </m:sSub>
      </m:oMath>
      <w:r>
        <w:rPr>
          <w:rFonts w:hint="eastAsia"/>
        </w:rPr>
        <w:t>，仅将</w:t>
      </w:r>
      <m:oMath>
        <m:sSub>
          <m:sSubPr/>
          <m:e>
            <m:r>
              <m:rPr/>
              <m:t>n</m:t>
            </m:r>
          </m:e>
          <m:sub>
            <m:r>
              <m:rPr/>
              <m:t>e</m:t>
            </m:r>
          </m:sub>
        </m:sSub>
      </m:oMath>
      <w:r>
        <w:rPr>
          <w:rFonts w:hint="eastAsia"/>
        </w:rPr>
        <w:t>作为主反演参数。</w:t>
      </w:r>
    </w:p>
    <w:p w14:paraId="5A7D85F9">
      <w:pPr>
        <w:pStyle w:val="3"/>
      </w:pPr>
      <w:bookmarkStart w:id="56" w:name="诊断问题的物理约束与降维动机"/>
      <w:r>
        <w:rPr>
          <w:rFonts w:hint="eastAsia"/>
        </w:rPr>
        <w:t>诊断问题的物理约束与降维动机</w:t>
      </w:r>
    </w:p>
    <w:p w14:paraId="2F311DFA">
      <w:r>
        <w:rPr>
          <w:rFonts w:hint="eastAsia"/>
        </w:rPr>
        <w:t>由于完整Drude模型同时包含电子密度</w:t>
      </w:r>
      <m:oMath>
        <m:sSub>
          <m:sSubPr/>
          <m:e>
            <m:r>
              <m:rPr/>
              <m:t>n</m:t>
            </m:r>
          </m:e>
          <m:sub>
            <m:r>
              <m:rPr/>
              <m:t>e</m:t>
            </m:r>
          </m:sub>
        </m:sSub>
      </m:oMath>
      <w:r>
        <w:rPr>
          <w:rFonts w:hint="eastAsia"/>
        </w:rPr>
        <w:t>与碰撞频率</w:t>
      </w:r>
      <m:oMath>
        <m:sSub>
          <m:sSubPr/>
          <m:e>
            <m:r>
              <m:rPr/>
              <m:t>ν</m:t>
            </m:r>
          </m:e>
          <m:sub>
            <m:r>
              <m:rPr/>
              <m:t>e</m:t>
            </m:r>
          </m:sub>
        </m:sSub>
      </m:oMath>
      <w:r>
        <w:rPr>
          <w:rFonts w:hint="eastAsia"/>
        </w:rPr>
        <w:t>，本节必须先说明在群时延观测通道下为何</w:t>
      </w:r>
      <m:oMath>
        <m:sSub>
          <m:sSubPr/>
          <m:e>
            <m:r>
              <m:rPr/>
              <m:t>ν</m:t>
            </m:r>
          </m:e>
          <m:sub>
            <m:r>
              <m:rPr/>
              <m:t>e</m:t>
            </m:r>
          </m:sub>
        </m:sSub>
      </m:oMath>
      <w:r>
        <w:rPr>
          <w:rFonts w:hint="eastAsia"/>
        </w:rPr>
        <w:t>不进入主反演，从而为后续特征提取、统计反演与仿真验证提供统一前提。</w:t>
      </w:r>
    </w:p>
    <w:p w14:paraId="13502EB8"/>
    <w:p w14:paraId="2522022E">
      <w:pPr>
        <w:pStyle w:val="4"/>
      </w:pPr>
      <w:bookmarkStart w:id="57" w:name="碰撞频率nu_e的二阶微扰特性与时延不敏感机理"/>
      <w:r>
        <w:rPr>
          <w:rFonts w:hint="eastAsia"/>
        </w:rPr>
        <w:t>碰撞频率(</w:t>
      </w:r>
      <m:oMath>
        <m:sSub>
          <m:sSubPr/>
          <m:e>
            <m:r>
              <m:rPr/>
              <m:t>ν</m:t>
            </m:r>
          </m:e>
          <m:sub>
            <m:r>
              <m:rPr/>
              <m:t>e</m:t>
            </m:r>
          </m:sub>
        </m:sSub>
      </m:oMath>
      <w:r>
        <w:rPr>
          <w:rFonts w:hint="eastAsia"/>
        </w:rPr>
        <w:t>)的二阶微扰特性与时延不敏感机理</w:t>
      </w:r>
    </w:p>
    <w:p w14:paraId="58380276">
      <w:r>
        <w:rPr>
          <w:rFonts w:hint="eastAsia"/>
        </w:rPr>
        <w:t>在等离子体的电磁特性描述中，Drude模型给出的复介电常数</w:t>
      </w:r>
      <m:oMath>
        <m:sSub>
          <m:sSubPr/>
          <m:e>
            <m:acc>
              <m:accPr>
                <m:chr m:val="̃"/>
              </m:accPr>
              <m:e>
                <m:r>
                  <m:rPr/>
                  <m:t>ε</m:t>
                </m:r>
              </m:e>
            </m:acc>
          </m:e>
          <m:sub>
            <m:r>
              <m:rPr/>
              <m:t>r</m:t>
            </m:r>
          </m:sub>
        </m:sSub>
        <m:r>
          <m:rPr>
            <m:sty m:val="p"/>
          </m:rPr>
          <m:t>(</m:t>
        </m:r>
        <m:r>
          <m:rPr/>
          <m:t>ω</m:t>
        </m:r>
        <m:r>
          <m:rPr>
            <m:sty m:val="p"/>
          </m:rPr>
          <m:t>)</m:t>
        </m:r>
      </m:oMath>
      <w:r>
        <w:rPr>
          <w:rFonts w:hint="eastAsia"/>
        </w:rPr>
        <w:t>完整包含了电子密度与碰撞频率两个参数的贡献：</w:t>
      </w:r>
    </w:p>
    <w:p w14:paraId="5DD75E3B">
      <w:r>
        <w:t xml:space="preserve"> </w:t>
      </w:r>
    </w:p>
    <w:p w14:paraId="0FA29ADA">
      <w:pPr>
        <w:pStyle w:val="44"/>
        <w:spacing w:before="0" w:after="0" w:line="400" w:lineRule="atLeast"/>
      </w:pPr>
      <w:r>
        <w:tab/>
      </w:r>
      <m:oMath>
        <m:sSub>
          <m:sSubPr/>
          <m:e>
            <m:acc>
              <m:accPr>
                <m:chr m:val="̃"/>
              </m:accPr>
              <m:e>
                <m:r>
                  <m:rPr/>
                  <m:t>ε</m:t>
                </m:r>
              </m:e>
            </m:acc>
          </m:e>
          <m:sub>
            <m:r>
              <m:rPr/>
              <m:t>r</m:t>
            </m:r>
          </m:sub>
        </m:sSub>
        <m:r>
          <m:rPr>
            <m:sty m:val="p"/>
          </m:rPr>
          <m:t>(</m:t>
        </m:r>
        <m:r>
          <m:rPr/>
          <m:t>ω</m:t>
        </m:r>
        <m:r>
          <m:rPr>
            <m:sty m:val="p"/>
          </m:rPr>
          <m:t>)=</m:t>
        </m:r>
        <m:r>
          <m:rPr/>
          <m:t>1</m:t>
        </m:r>
        <m:r>
          <m:rPr>
            <m:sty m:val="p"/>
          </m:rPr>
          <m:t>−</m:t>
        </m:r>
        <m:f>
          <m:fPr/>
          <m:num>
            <m:sSubSup>
              <m:sSubSupPr/>
              <m:e>
                <m:r>
                  <m:rPr/>
                  <m:t>ω</m:t>
                </m:r>
              </m:e>
              <m:sub>
                <m:r>
                  <m:rPr/>
                  <m:t>p</m:t>
                </m:r>
              </m:sub>
              <m:sup>
                <m:r>
                  <m:rPr/>
                  <m:t>2</m:t>
                </m:r>
              </m:sup>
            </m:sSubSup>
          </m:num>
          <m:den>
            <m:r>
              <m:rPr/>
              <m:t>ω</m:t>
            </m:r>
            <m:r>
              <m:rPr>
                <m:sty m:val="p"/>
              </m:rPr>
              <m:t>(</m:t>
            </m:r>
            <m:r>
              <m:rPr/>
              <m:t>ω</m:t>
            </m:r>
            <m:r>
              <m:rPr>
                <m:sty m:val="p"/>
              </m:rPr>
              <m:t>+</m:t>
            </m:r>
            <m:r>
              <m:rPr/>
              <m:t>j</m:t>
            </m:r>
            <m:sSub>
              <m:sSubPr/>
              <m:e>
                <m:r>
                  <m:rPr/>
                  <m:t>ν</m:t>
                </m:r>
              </m:e>
              <m:sub>
                <m:r>
                  <m:rPr/>
                  <m:t>e</m:t>
                </m:r>
              </m:sub>
            </m:sSub>
            <m:r>
              <m:rPr>
                <m:sty m:val="p"/>
              </m:rPr>
              <m:t>)</m:t>
            </m:r>
          </m:den>
        </m:f>
        <m:r>
          <m:rPr>
            <m:sty m:val="p"/>
          </m:rPr>
          <m:t>=</m:t>
        </m:r>
        <m:d>
          <m:dPr>
            <m:sepChr m:val=""/>
          </m:dPr>
          <m:e>
            <m:r>
              <m:rPr/>
              <m:t>1</m:t>
            </m:r>
            <m:r>
              <m:rPr>
                <m:sty m:val="p"/>
              </m:rPr>
              <m:t>−</m:t>
            </m:r>
            <m:f>
              <m:fPr/>
              <m:num>
                <m:sSubSup>
                  <m:sSubSupPr/>
                  <m:e>
                    <m:r>
                      <m:rPr/>
                      <m:t>ω</m:t>
                    </m:r>
                  </m:e>
                  <m:sub>
                    <m:r>
                      <m:rPr/>
                      <m:t>p</m:t>
                    </m:r>
                  </m:sub>
                  <m:sup>
                    <m:r>
                      <m:rPr/>
                      <m:t>2</m:t>
                    </m:r>
                  </m:sup>
                </m:sSubSup>
              </m:num>
              <m:den>
                <m:sSup>
                  <m:sSupPr/>
                  <m:e>
                    <m:r>
                      <m:rPr/>
                      <m:t>ω</m:t>
                    </m:r>
                  </m:e>
                  <m:sup>
                    <m:r>
                      <m:rPr/>
                      <m:t>2</m:t>
                    </m:r>
                  </m:sup>
                </m:sSup>
                <m:r>
                  <m:rPr>
                    <m:sty m:val="p"/>
                  </m:rPr>
                  <m:t>+</m:t>
                </m:r>
                <m:sSubSup>
                  <m:sSubSupPr/>
                  <m:e>
                    <m:r>
                      <m:rPr/>
                      <m:t>ν</m:t>
                    </m:r>
                  </m:e>
                  <m:sub>
                    <m:r>
                      <m:rPr/>
                      <m:t>e</m:t>
                    </m:r>
                  </m:sub>
                  <m:sup>
                    <m:r>
                      <m:rPr/>
                      <m:t>2</m:t>
                    </m:r>
                  </m:sup>
                </m:sSubSup>
              </m:den>
            </m:f>
          </m:e>
        </m:d>
        <m:r>
          <m:rPr>
            <m:sty m:val="p"/>
          </m:rPr>
          <m:t>+</m:t>
        </m:r>
        <m:r>
          <m:rPr/>
          <m:t>j</m:t>
        </m:r>
        <m:d>
          <m:dPr>
            <m:sepChr m:val=""/>
          </m:dPr>
          <m:e>
            <m:f>
              <m:fPr/>
              <m:num>
                <m:sSub>
                  <m:sSubPr/>
                  <m:e>
                    <m:r>
                      <m:rPr/>
                      <m:t>ν</m:t>
                    </m:r>
                  </m:e>
                  <m:sub>
                    <m:r>
                      <m:rPr/>
                      <m:t>e</m:t>
                    </m:r>
                  </m:sub>
                </m:sSub>
              </m:num>
              <m:den>
                <m:r>
                  <m:rPr/>
                  <m:t>ω</m:t>
                </m:r>
              </m:den>
            </m:f>
            <m:f>
              <m:fPr/>
              <m:num>
                <m:sSubSup>
                  <m:sSubSupPr/>
                  <m:e>
                    <m:r>
                      <m:rPr/>
                      <m:t>ω</m:t>
                    </m:r>
                  </m:e>
                  <m:sub>
                    <m:r>
                      <m:rPr/>
                      <m:t>p</m:t>
                    </m:r>
                  </m:sub>
                  <m:sup>
                    <m:r>
                      <m:rPr/>
                      <m:t>2</m:t>
                    </m:r>
                  </m:sup>
                </m:sSubSup>
              </m:num>
              <m:den>
                <m:sSup>
                  <m:sSupPr/>
                  <m:e>
                    <m:r>
                      <m:rPr/>
                      <m:t>ω</m:t>
                    </m:r>
                  </m:e>
                  <m:sup>
                    <m:r>
                      <m:rPr/>
                      <m:t>2</m:t>
                    </m:r>
                  </m:sup>
                </m:sSup>
                <m:r>
                  <m:rPr>
                    <m:sty m:val="p"/>
                  </m:rPr>
                  <m:t>+</m:t>
                </m:r>
                <m:sSubSup>
                  <m:sSubSupPr/>
                  <m:e>
                    <m:r>
                      <m:rPr/>
                      <m:t>ν</m:t>
                    </m:r>
                  </m:e>
                  <m:sub>
                    <m:r>
                      <m:rPr/>
                      <m:t>e</m:t>
                    </m:r>
                  </m:sub>
                  <m:sup>
                    <m:r>
                      <m:rPr/>
                      <m:t>2</m:t>
                    </m:r>
                  </m:sup>
                </m:sSubSup>
              </m:den>
            </m:f>
          </m:e>
        </m:d>
      </m:oMath>
      <w:r>
        <w:tab/>
      </w:r>
      <w:r>
        <w:t>(4</w:t>
      </w:r>
      <w:r>
        <w:noBreakHyphen/>
      </w:r>
      <w:r>
        <w:t>1)</w:t>
      </w:r>
    </w:p>
    <w:p w14:paraId="1F66C6A0">
      <w:r>
        <w:t xml:space="preserve"> </w:t>
      </w:r>
    </w:p>
    <w:p w14:paraId="034BBD7A">
      <w:r>
        <w:rPr>
          <w:rFonts w:hint="eastAsia"/>
        </w:rPr>
        <w:t>其中实部</w:t>
      </w:r>
      <m:oMath>
        <m:sSup>
          <m:sSupPr/>
          <m:e>
            <m:r>
              <m:rPr/>
              <m:t>ε</m:t>
            </m:r>
          </m:e>
          <m:sup>
            <m:r>
              <m:rPr>
                <m:sty m:val="p"/>
              </m:rPr>
              <m:t>′</m:t>
            </m:r>
          </m:sup>
        </m:sSup>
      </m:oMath>
      <w:r>
        <w:rPr>
          <w:rFonts w:hint="eastAsia"/>
        </w:rPr>
        <w:t>决定电磁波的相位特性（即群时延），虚部</w:t>
      </w:r>
      <m:oMath>
        <m:sSup>
          <m:sSupPr/>
          <m:e>
            <m:r>
              <m:rPr/>
              <m:t>ε</m:t>
            </m:r>
          </m:e>
          <m:sup>
            <m:r>
              <m:rPr>
                <m:sty m:val="p"/>
              </m:rPr>
              <m:t>″</m:t>
            </m:r>
          </m:sup>
        </m:sSup>
      </m:oMath>
      <w:r>
        <w:rPr>
          <w:rFonts w:hint="eastAsia"/>
        </w:rPr>
        <w:t>决定幅度衰减特性。为明确</w:t>
      </w:r>
      <m:oMath>
        <m:sSub>
          <m:sSubPr/>
          <m:e>
            <m:r>
              <m:rPr/>
              <m:t>ν</m:t>
            </m:r>
          </m:e>
          <m:sub>
            <m:r>
              <m:rPr/>
              <m:t>e</m:t>
            </m:r>
          </m:sub>
        </m:sSub>
      </m:oMath>
      <w:r>
        <w:rPr>
          <w:rFonts w:hint="eastAsia"/>
        </w:rPr>
        <w:t>对群时延的影响量级，本节基于第三章建立的泰勒展开框架，从数学与物理两个角度分析</w:t>
      </w:r>
      <m:oMath>
        <m:sSub>
          <m:sSubPr/>
          <m:e>
            <m:r>
              <m:rPr/>
              <m:t>ν</m:t>
            </m:r>
          </m:e>
          <m:sub>
            <m:r>
              <m:rPr/>
              <m:t>e</m:t>
            </m:r>
          </m:sub>
        </m:sSub>
      </m:oMath>
      <w:r>
        <w:rPr>
          <w:rFonts w:hint="eastAsia"/>
        </w:rPr>
        <w:t>对时延的贡献。</w:t>
      </w:r>
    </w:p>
    <w:p w14:paraId="292F1FDF">
      <w:r>
        <w:rPr>
          <w:rFonts w:hint="eastAsia"/>
        </w:rPr>
        <w:t>在典型Ka波段透射诊断场景中，探测频率</w:t>
      </w:r>
      <m:oMath>
        <m:r>
          <m:rPr/>
          <m:t>f</m:t>
        </m:r>
        <m:r>
          <m:rPr>
            <m:sty m:val="p"/>
          </m:rPr>
          <m:t>≈</m:t>
        </m:r>
        <m:r>
          <m:rPr/>
          <m:t>34</m:t>
        </m:r>
      </m:oMath>
      <w:r>
        <w:t xml:space="preserve"> </w:t>
      </w:r>
      <w:r>
        <w:rPr>
          <w:rFonts w:hint="eastAsia"/>
        </w:rPr>
        <w:t>GHz，对应角频率</w:t>
      </w:r>
      <m:oMath>
        <m:r>
          <m:rPr/>
          <m:t>ω</m:t>
        </m:r>
        <m:r>
          <m:rPr>
            <m:sty m:val="p"/>
          </m:rPr>
          <m:t>≈</m:t>
        </m:r>
        <m:r>
          <m:rPr/>
          <m:t>2.1</m:t>
        </m:r>
        <m:r>
          <m:rPr>
            <m:sty m:val="p"/>
          </m:rPr>
          <m:t>×</m:t>
        </m:r>
        <m:sSup>
          <m:sSupPr/>
          <m:e>
            <m:r>
              <m:rPr/>
              <m:t>10</m:t>
            </m:r>
          </m:e>
          <m:sup>
            <m:r>
              <m:rPr/>
              <m:t>11</m:t>
            </m:r>
          </m:sup>
        </m:sSup>
      </m:oMath>
      <w:r>
        <w:t xml:space="preserve"> </w:t>
      </w:r>
      <w:r>
        <w:rPr>
          <w:rFonts w:hint="eastAsia"/>
        </w:rPr>
        <w:t>rad/s，而碰撞频率</w:t>
      </w:r>
      <m:oMath>
        <m:sSub>
          <m:sSubPr/>
          <m:e>
            <m:r>
              <m:rPr/>
              <m:t>ν</m:t>
            </m:r>
          </m:e>
          <m:sub>
            <m:r>
              <m:rPr/>
              <m:t>e</m:t>
            </m:r>
          </m:sub>
        </m:sSub>
      </m:oMath>
      <w:r>
        <w:rPr>
          <w:rFonts w:hint="eastAsia"/>
        </w:rPr>
        <w:t>通常在</w:t>
      </w:r>
      <m:oMath>
        <m:sSup>
          <m:sSupPr/>
          <m:e>
            <m:r>
              <m:rPr/>
              <m:t>10</m:t>
            </m:r>
          </m:e>
          <m:sup>
            <m:r>
              <m:rPr/>
              <m:t>9</m:t>
            </m:r>
          </m:sup>
        </m:sSup>
      </m:oMath>
      <w:r>
        <w:t xml:space="preserve"> </w:t>
      </w:r>
      <w:r>
        <w:rPr>
          <w:rFonts w:hint="eastAsia"/>
        </w:rPr>
        <w:t>Hz量级，满足高频弱碰撞条件：</w:t>
      </w:r>
    </w:p>
    <w:p w14:paraId="1B1C8FD8">
      <w:r>
        <w:t xml:space="preserve"> </w:t>
      </w:r>
    </w:p>
    <w:p w14:paraId="17818B7D">
      <w:pPr>
        <w:pStyle w:val="44"/>
        <w:spacing w:before="0" w:after="0" w:line="400" w:lineRule="atLeast"/>
      </w:pPr>
      <w:r>
        <w:tab/>
      </w:r>
      <m:oMath>
        <m:sSup>
          <m:sSupPr/>
          <m:e>
            <m:d>
              <m:dPr>
                <m:sepChr m:val=""/>
              </m:dPr>
              <m:e>
                <m:f>
                  <m:fPr/>
                  <m:num>
                    <m:sSub>
                      <m:sSubPr/>
                      <m:e>
                        <m:r>
                          <m:rPr/>
                          <m:t>ν</m:t>
                        </m:r>
                      </m:e>
                      <m:sub>
                        <m:r>
                          <m:rPr/>
                          <m:t>e</m:t>
                        </m:r>
                      </m:sub>
                    </m:sSub>
                  </m:num>
                  <m:den>
                    <m:r>
                      <m:rPr/>
                      <m:t>ω</m:t>
                    </m:r>
                  </m:den>
                </m:f>
              </m:e>
            </m:d>
          </m:e>
          <m:sup>
            <m:r>
              <m:rPr/>
              <m:t>2</m:t>
            </m:r>
          </m:sup>
        </m:sSup>
        <m:r>
          <m:rPr>
            <m:sty m:val="p"/>
          </m:rPr>
          <m:t>≪</m:t>
        </m:r>
        <m:r>
          <m:rPr/>
          <m:t>1</m:t>
        </m:r>
      </m:oMath>
      <w:r>
        <w:tab/>
      </w:r>
      <w:r>
        <w:t>(4</w:t>
      </w:r>
      <w:r>
        <w:noBreakHyphen/>
      </w:r>
      <w:r>
        <w:t>2)</w:t>
      </w:r>
    </w:p>
    <w:p w14:paraId="147D961D">
      <w:r>
        <w:t xml:space="preserve"> </w:t>
      </w:r>
    </w:p>
    <w:p w14:paraId="7390A30A">
      <w:r>
        <w:rPr>
          <w:rFonts w:hint="eastAsia"/>
        </w:rPr>
        <w:t>在此前提下，对式(4-1)中介电常数的实部</w:t>
      </w:r>
      <m:oMath>
        <m:sSup>
          <m:sSupPr/>
          <m:e>
            <m:r>
              <m:rPr/>
              <m:t>ε</m:t>
            </m:r>
          </m:e>
          <m:sup>
            <m:r>
              <m:rPr>
                <m:sty m:val="p"/>
              </m:rPr>
              <m:t>′</m:t>
            </m:r>
          </m:sup>
        </m:sSup>
        <m:r>
          <m:rPr>
            <m:sty m:val="p"/>
          </m:rPr>
          <m:t>(</m:t>
        </m:r>
        <m:r>
          <m:rPr/>
          <m:t>ω</m:t>
        </m:r>
        <m:r>
          <m:rPr>
            <m:sty m:val="p"/>
          </m:rPr>
          <m:t>)</m:t>
        </m:r>
      </m:oMath>
      <w:r>
        <w:rPr>
          <w:rFonts w:hint="eastAsia"/>
        </w:rPr>
        <w:t>进行泰勒级数展开。分母项可改写为</w:t>
      </w:r>
      <m:oMath>
        <m:r>
          <m:rPr>
            <m:sty m:val="p"/>
          </m:rPr>
          <m:t>(</m:t>
        </m:r>
        <m:sSup>
          <m:sSupPr/>
          <m:e>
            <m:r>
              <m:rPr/>
              <m:t>ω</m:t>
            </m:r>
          </m:e>
          <m:sup>
            <m:r>
              <m:rPr/>
              <m:t>2</m:t>
            </m:r>
          </m:sup>
        </m:sSup>
        <m:r>
          <m:rPr>
            <m:sty m:val="p"/>
          </m:rPr>
          <m:t>+</m:t>
        </m:r>
        <m:sSubSup>
          <m:sSubSupPr/>
          <m:e>
            <m:r>
              <m:rPr/>
              <m:t>ν</m:t>
            </m:r>
          </m:e>
          <m:sub>
            <m:r>
              <m:rPr/>
              <m:t>e</m:t>
            </m:r>
          </m:sub>
          <m:sup>
            <m:r>
              <m:rPr/>
              <m:t>2</m:t>
            </m:r>
          </m:sup>
        </m:sSubSup>
        <m:sSup>
          <m:sSupPr/>
          <m:e>
            <m:r>
              <m:rPr>
                <m:sty m:val="p"/>
              </m:rPr>
              <m:t>)</m:t>
            </m:r>
          </m:e>
          <m:sup>
            <m:r>
              <m:rPr>
                <m:sty m:val="p"/>
              </m:rPr>
              <m:t>−</m:t>
            </m:r>
            <m:r>
              <m:rPr/>
              <m:t>1</m:t>
            </m:r>
          </m:sup>
        </m:sSup>
        <m:r>
          <m:rPr>
            <m:sty m:val="p"/>
          </m:rPr>
          <m:t>=</m:t>
        </m:r>
        <m:sSup>
          <m:sSupPr/>
          <m:e>
            <m:r>
              <m:rPr/>
              <m:t>ω</m:t>
            </m:r>
          </m:e>
          <m:sup>
            <m:r>
              <m:rPr>
                <m:sty m:val="p"/>
              </m:rPr>
              <m:t>−</m:t>
            </m:r>
            <m:r>
              <m:rPr/>
              <m:t>2</m:t>
            </m:r>
          </m:sup>
        </m:sSup>
        <m:r>
          <m:rPr>
            <m:sty m:val="p"/>
          </m:rPr>
          <m:t>(</m:t>
        </m:r>
        <m:r>
          <m:rPr/>
          <m:t>1</m:t>
        </m:r>
        <m:r>
          <m:rPr>
            <m:sty m:val="p"/>
          </m:rPr>
          <m:t>+(</m:t>
        </m:r>
        <m:sSub>
          <m:sSubPr/>
          <m:e>
            <m:r>
              <m:rPr/>
              <m:t>ν</m:t>
            </m:r>
          </m:e>
          <m:sub>
            <m:r>
              <m:rPr/>
              <m:t>e</m:t>
            </m:r>
          </m:sub>
        </m:sSub>
        <m:r>
          <m:rPr>
            <m:sty m:val="p"/>
          </m:rPr>
          <m:t>/</m:t>
        </m:r>
        <m:r>
          <m:rPr/>
          <m:t>ω</m:t>
        </m:r>
        <m:sSup>
          <m:sSupPr/>
          <m:e>
            <m:r>
              <m:rPr>
                <m:sty m:val="p"/>
              </m:rPr>
              <m:t>)</m:t>
            </m:r>
          </m:e>
          <m:sup>
            <m:r>
              <m:rPr/>
              <m:t>2</m:t>
            </m:r>
          </m:sup>
        </m:sSup>
        <m:sSup>
          <m:sSupPr/>
          <m:e>
            <m:r>
              <m:rPr>
                <m:sty m:val="p"/>
              </m:rPr>
              <m:t>)</m:t>
            </m:r>
          </m:e>
          <m:sup>
            <m:r>
              <m:rPr>
                <m:sty m:val="p"/>
              </m:rPr>
              <m:t>−</m:t>
            </m:r>
            <m:r>
              <m:rPr/>
              <m:t>1</m:t>
            </m:r>
          </m:sup>
        </m:sSup>
      </m:oMath>
      <w:r>
        <w:rPr>
          <w:rFonts w:hint="eastAsia"/>
        </w:rPr>
        <w:t>，利用几何级数</w:t>
      </w:r>
      <m:oMath>
        <m:r>
          <m:rPr>
            <m:sty m:val="p"/>
          </m:rPr>
          <m:t>(</m:t>
        </m:r>
        <m:r>
          <m:rPr/>
          <m:t>1</m:t>
        </m:r>
        <m:r>
          <m:rPr>
            <m:sty m:val="p"/>
          </m:rPr>
          <m:t>+</m:t>
        </m:r>
        <m:r>
          <m:rPr/>
          <m:t>x</m:t>
        </m:r>
        <m:sSup>
          <m:sSupPr/>
          <m:e>
            <m:r>
              <m:rPr>
                <m:sty m:val="p"/>
              </m:rPr>
              <m:t>)</m:t>
            </m:r>
          </m:e>
          <m:sup>
            <m:r>
              <m:rPr>
                <m:sty m:val="p"/>
              </m:rPr>
              <m:t>−</m:t>
            </m:r>
            <m:r>
              <m:rPr/>
              <m:t>1</m:t>
            </m:r>
          </m:sup>
        </m:sSup>
        <m:r>
          <m:rPr>
            <m:sty m:val="p"/>
          </m:rPr>
          <m:t>≈</m:t>
        </m:r>
        <m:r>
          <m:rPr/>
          <m:t>1</m:t>
        </m:r>
        <m:r>
          <m:rPr>
            <m:sty m:val="p"/>
          </m:rPr>
          <m:t>−</m:t>
        </m:r>
        <m:r>
          <m:rPr/>
          <m:t>x</m:t>
        </m:r>
      </m:oMath>
      <w:r>
        <w:rPr>
          <w:rFonts w:hint="eastAsia"/>
        </w:rPr>
        <w:t>，可得：</w:t>
      </w:r>
    </w:p>
    <w:p w14:paraId="30F719D5">
      <w:r>
        <w:t xml:space="preserve"> </w:t>
      </w:r>
    </w:p>
    <w:p w14:paraId="61770398">
      <w:pPr>
        <w:pStyle w:val="44"/>
        <w:spacing w:before="0" w:after="0" w:line="400" w:lineRule="atLeast"/>
      </w:pPr>
      <w:r>
        <w:tab/>
      </w:r>
      <m:oMath>
        <m:f>
          <m:fPr/>
          <m:num>
            <m:r>
              <m:rPr/>
              <m:t>1</m:t>
            </m:r>
          </m:num>
          <m:den>
            <m:sSup>
              <m:sSupPr/>
              <m:e>
                <m:r>
                  <m:rPr/>
                  <m:t>ω</m:t>
                </m:r>
              </m:e>
              <m:sup>
                <m:r>
                  <m:rPr/>
                  <m:t>2</m:t>
                </m:r>
              </m:sup>
            </m:sSup>
            <m:r>
              <m:rPr>
                <m:sty m:val="p"/>
              </m:rPr>
              <m:t>+</m:t>
            </m:r>
            <m:sSubSup>
              <m:sSubSupPr/>
              <m:e>
                <m:r>
                  <m:rPr/>
                  <m:t>ν</m:t>
                </m:r>
              </m:e>
              <m:sub>
                <m:r>
                  <m:rPr/>
                  <m:t>e</m:t>
                </m:r>
              </m:sub>
              <m:sup>
                <m:r>
                  <m:rPr/>
                  <m:t>2</m:t>
                </m:r>
              </m:sup>
            </m:sSubSup>
          </m:den>
        </m:f>
        <m:r>
          <m:rPr>
            <m:sty m:val="p"/>
          </m:rPr>
          <m:t>≈</m:t>
        </m:r>
        <m:f>
          <m:fPr/>
          <m:num>
            <m:r>
              <m:rPr/>
              <m:t>1</m:t>
            </m:r>
          </m:num>
          <m:den>
            <m:sSup>
              <m:sSupPr/>
              <m:e>
                <m:r>
                  <m:rPr/>
                  <m:t>ω</m:t>
                </m:r>
              </m:e>
              <m:sup>
                <m:r>
                  <m:rPr/>
                  <m:t>2</m:t>
                </m:r>
              </m:sup>
            </m:sSup>
          </m:den>
        </m:f>
        <m:d>
          <m:dPr>
            <m:begChr m:val="["/>
            <m:sepChr m:val=""/>
            <m:endChr m:val="]"/>
          </m:dPr>
          <m:e>
            <m:r>
              <m:rPr/>
              <m:t>1</m:t>
            </m:r>
            <m:r>
              <m:rPr>
                <m:sty m:val="p"/>
              </m:rPr>
              <m:t>−</m:t>
            </m:r>
            <m:sSup>
              <m:sSupPr/>
              <m:e>
                <m:d>
                  <m:dPr>
                    <m:sepChr m:val=""/>
                  </m:dPr>
                  <m:e>
                    <m:f>
                      <m:fPr/>
                      <m:num>
                        <m:sSub>
                          <m:sSubPr/>
                          <m:e>
                            <m:r>
                              <m:rPr/>
                              <m:t>ν</m:t>
                            </m:r>
                          </m:e>
                          <m:sub>
                            <m:r>
                              <m:rPr/>
                              <m:t>e</m:t>
                            </m:r>
                          </m:sub>
                        </m:sSub>
                      </m:num>
                      <m:den>
                        <m:r>
                          <m:rPr/>
                          <m:t>ω</m:t>
                        </m:r>
                      </m:den>
                    </m:f>
                  </m:e>
                </m:d>
              </m:e>
              <m:sup>
                <m:r>
                  <m:rPr/>
                  <m:t>2</m:t>
                </m:r>
              </m:sup>
            </m:sSup>
            <m:r>
              <m:rPr>
                <m:sty m:val="p"/>
              </m:rPr>
              <m:t>+</m:t>
            </m:r>
            <m:r>
              <m:rPr/>
              <m:t>O</m:t>
            </m:r>
            <m:d>
              <m:dPr>
                <m:sepChr m:val=""/>
              </m:dPr>
              <m:e>
                <m:sSup>
                  <m:sSupPr/>
                  <m:e>
                    <m:d>
                      <m:dPr>
                        <m:sepChr m:val=""/>
                      </m:dPr>
                      <m:e>
                        <m:f>
                          <m:fPr/>
                          <m:num>
                            <m:sSub>
                              <m:sSubPr/>
                              <m:e>
                                <m:r>
                                  <m:rPr/>
                                  <m:t>ν</m:t>
                                </m:r>
                              </m:e>
                              <m:sub>
                                <m:r>
                                  <m:rPr/>
                                  <m:t>e</m:t>
                                </m:r>
                              </m:sub>
                            </m:sSub>
                          </m:num>
                          <m:den>
                            <m:r>
                              <m:rPr/>
                              <m:t>ω</m:t>
                            </m:r>
                          </m:den>
                        </m:f>
                      </m:e>
                    </m:d>
                  </m:e>
                  <m:sup>
                    <m:r>
                      <m:rPr/>
                      <m:t>4</m:t>
                    </m:r>
                  </m:sup>
                </m:sSup>
              </m:e>
            </m:d>
          </m:e>
        </m:d>
      </m:oMath>
      <w:r>
        <w:tab/>
      </w:r>
      <w:r>
        <w:t>(4</w:t>
      </w:r>
      <w:r>
        <w:noBreakHyphen/>
      </w:r>
      <w:r>
        <w:t>3)</w:t>
      </w:r>
    </w:p>
    <w:p w14:paraId="7F85A6E3">
      <w:r>
        <w:t xml:space="preserve"> </w:t>
      </w:r>
    </w:p>
    <w:p w14:paraId="46F310D6">
      <w:r>
        <w:rPr>
          <w:rFonts w:hint="eastAsia"/>
        </w:rPr>
        <w:t>代入式(4-1)的实部并整理，得到显式的阶次分离形式：</w:t>
      </w:r>
    </w:p>
    <w:p w14:paraId="448EFAF8">
      <w:r>
        <w:t xml:space="preserve"> </w:t>
      </w:r>
    </w:p>
    <w:p w14:paraId="19751704">
      <w:pPr>
        <w:pStyle w:val="44"/>
        <w:spacing w:before="0" w:after="0" w:line="400" w:lineRule="atLeast"/>
      </w:pPr>
      <w:r>
        <w:tab/>
      </w:r>
      <m:oMath>
        <m:sSup>
          <m:sSupPr/>
          <m:e>
            <m:r>
              <m:rPr/>
              <m:t>ε</m:t>
            </m:r>
          </m:e>
          <m:sup>
            <m:r>
              <m:rPr>
                <m:sty m:val="p"/>
              </m:rPr>
              <m:t>′</m:t>
            </m:r>
          </m:sup>
        </m:sSup>
        <m:r>
          <m:rPr>
            <m:sty m:val="p"/>
          </m:rPr>
          <m:t>(</m:t>
        </m:r>
        <m:r>
          <m:rPr/>
          <m:t>ω</m:t>
        </m:r>
        <m:r>
          <m:rPr>
            <m:sty m:val="p"/>
          </m:rPr>
          <m:t>)≈</m:t>
        </m:r>
        <m:d>
          <m:dPr>
            <m:sepChr m:val=""/>
          </m:dPr>
          <m:e>
            <m:r>
              <m:rPr/>
              <m:t>1</m:t>
            </m:r>
            <m:r>
              <m:rPr>
                <m:sty m:val="p"/>
              </m:rPr>
              <m:t>−</m:t>
            </m:r>
            <m:f>
              <m:fPr/>
              <m:num>
                <m:sSubSup>
                  <m:sSubSupPr/>
                  <m:e>
                    <m:r>
                      <m:rPr/>
                      <m:t>ω</m:t>
                    </m:r>
                  </m:e>
                  <m:sub>
                    <m:r>
                      <m:rPr/>
                      <m:t>p</m:t>
                    </m:r>
                  </m:sub>
                  <m:sup>
                    <m:r>
                      <m:rPr/>
                      <m:t>2</m:t>
                    </m:r>
                  </m:sup>
                </m:sSubSup>
              </m:num>
              <m:den>
                <m:sSup>
                  <m:sSupPr/>
                  <m:e>
                    <m:r>
                      <m:rPr/>
                      <m:t>ω</m:t>
                    </m:r>
                  </m:e>
                  <m:sup>
                    <m:r>
                      <m:rPr/>
                      <m:t>2</m:t>
                    </m:r>
                  </m:sup>
                </m:sSup>
              </m:den>
            </m:f>
          </m:e>
        </m:d>
        <m:r>
          <m:rPr>
            <m:sty m:val="p"/>
          </m:rPr>
          <m:t>+</m:t>
        </m:r>
        <m:f>
          <m:fPr/>
          <m:num>
            <m:sSubSup>
              <m:sSubSupPr/>
              <m:e>
                <m:r>
                  <m:rPr/>
                  <m:t>ω</m:t>
                </m:r>
              </m:e>
              <m:sub>
                <m:r>
                  <m:rPr/>
                  <m:t>p</m:t>
                </m:r>
              </m:sub>
              <m:sup>
                <m:r>
                  <m:rPr/>
                  <m:t>2</m:t>
                </m:r>
              </m:sup>
            </m:sSubSup>
          </m:num>
          <m:den>
            <m:sSup>
              <m:sSupPr/>
              <m:e>
                <m:r>
                  <m:rPr/>
                  <m:t>ω</m:t>
                </m:r>
              </m:e>
              <m:sup>
                <m:r>
                  <m:rPr/>
                  <m:t>2</m:t>
                </m:r>
              </m:sup>
            </m:sSup>
          </m:den>
        </m:f>
        <m:sSup>
          <m:sSupPr/>
          <m:e>
            <m:d>
              <m:dPr>
                <m:sepChr m:val=""/>
              </m:dPr>
              <m:e>
                <m:f>
                  <m:fPr/>
                  <m:num>
                    <m:sSub>
                      <m:sSubPr/>
                      <m:e>
                        <m:r>
                          <m:rPr/>
                          <m:t>ν</m:t>
                        </m:r>
                      </m:e>
                      <m:sub>
                        <m:r>
                          <m:rPr/>
                          <m:t>e</m:t>
                        </m:r>
                      </m:sub>
                    </m:sSub>
                  </m:num>
                  <m:den>
                    <m:r>
                      <m:rPr/>
                      <m:t>ω</m:t>
                    </m:r>
                  </m:den>
                </m:f>
              </m:e>
            </m:d>
          </m:e>
          <m:sup>
            <m:r>
              <m:rPr/>
              <m:t>2</m:t>
            </m:r>
          </m:sup>
        </m:sSup>
      </m:oMath>
      <w:r>
        <w:tab/>
      </w:r>
      <w:r>
        <w:t>(4</w:t>
      </w:r>
      <w:r>
        <w:noBreakHyphen/>
      </w:r>
      <w:r>
        <w:t>4)</w:t>
      </w:r>
    </w:p>
    <w:p w14:paraId="6A0C3215">
      <w:r>
        <w:t xml:space="preserve"> </w:t>
      </w:r>
    </w:p>
    <w:p w14:paraId="10A93005">
      <w:r>
        <w:rPr>
          <w:rFonts w:hint="eastAsia"/>
        </w:rPr>
        <w:t>式(4-4)表明：电子密度</w:t>
      </w:r>
      <m:oMath>
        <m:sSub>
          <m:sSubPr/>
          <m:e>
            <m:r>
              <m:rPr/>
              <m:t>n</m:t>
            </m:r>
          </m:e>
          <m:sub>
            <m:r>
              <m:rPr/>
              <m:t>e</m:t>
            </m:r>
          </m:sub>
        </m:sSub>
      </m:oMath>
      <w:r>
        <w:rPr>
          <w:rFonts w:hint="eastAsia"/>
        </w:rPr>
        <w:t>（通过</w:t>
      </w:r>
      <m:oMath>
        <m:sSubSup>
          <m:sSubSupPr/>
          <m:e>
            <m:r>
              <m:rPr/>
              <m:t>ω</m:t>
            </m:r>
          </m:e>
          <m:sub>
            <m:r>
              <m:rPr/>
              <m:t>p</m:t>
            </m:r>
          </m:sub>
          <m:sup>
            <m:r>
              <m:rPr/>
              <m:t>2</m:t>
            </m:r>
          </m:sup>
        </m:sSubSup>
        <m:r>
          <m:rPr>
            <m:sty m:val="p"/>
          </m:rPr>
          <m:t>∝</m:t>
        </m:r>
        <m:sSub>
          <m:sSubPr/>
          <m:e>
            <m:r>
              <m:rPr/>
              <m:t>n</m:t>
            </m:r>
          </m:e>
          <m:sub>
            <m:r>
              <m:rPr/>
              <m:t>e</m:t>
            </m:r>
          </m:sub>
        </m:sSub>
      </m:oMath>
      <w:r>
        <w:rPr>
          <w:rFonts w:hint="eastAsia"/>
        </w:rPr>
        <w:t>）出现在主导项中，以零阶量的形式直接控制介电常数；而碰撞频率</w:t>
      </w:r>
      <m:oMath>
        <m:sSub>
          <m:sSubPr/>
          <m:e>
            <m:r>
              <m:rPr/>
              <m:t>ν</m:t>
            </m:r>
          </m:e>
          <m:sub>
            <m:r>
              <m:rPr/>
              <m:t>e</m:t>
            </m:r>
          </m:sub>
        </m:sSub>
      </m:oMath>
      <w:r>
        <w:rPr>
          <w:rFonts w:hint="eastAsia"/>
        </w:rPr>
        <w:t>仅出现在修正项，且以</w:t>
      </w:r>
      <m:oMath>
        <m:r>
          <m:rPr>
            <m:sty m:val="p"/>
          </m:rPr>
          <m:t>(</m:t>
        </m:r>
        <m:sSub>
          <m:sSubPr/>
          <m:e>
            <m:r>
              <m:rPr/>
              <m:t>ν</m:t>
            </m:r>
          </m:e>
          <m:sub>
            <m:r>
              <m:rPr/>
              <m:t>e</m:t>
            </m:r>
          </m:sub>
        </m:sSub>
        <m:r>
          <m:rPr>
            <m:sty m:val="p"/>
          </m:rPr>
          <m:t>/</m:t>
        </m:r>
        <m:r>
          <m:rPr/>
          <m:t>ω</m:t>
        </m:r>
        <m:sSup>
          <m:sSupPr/>
          <m:e>
            <m:r>
              <m:rPr>
                <m:sty m:val="p"/>
              </m:rPr>
              <m:t>)</m:t>
            </m:r>
          </m:e>
          <m:sup>
            <m:r>
              <m:rPr/>
              <m:t>2</m:t>
            </m:r>
          </m:sup>
        </m:sSup>
      </m:oMath>
      <w:r>
        <w:rPr>
          <w:rFonts w:hint="eastAsia"/>
        </w:rPr>
        <w:t>的形式存在，属于二阶小量。</w:t>
      </w:r>
    </w:p>
    <w:p w14:paraId="0899A48A">
      <w:r>
        <w:rPr>
          <w:rFonts w:hint="eastAsia"/>
        </w:rPr>
        <w:t>群时延</w:t>
      </w:r>
      <m:oMath>
        <m:sSub>
          <m:sSubPr/>
          <m:e>
            <m:r>
              <m:rPr/>
              <m:t>τ</m:t>
            </m:r>
          </m:e>
          <m:sub>
            <m:r>
              <m:rPr/>
              <m:t>g</m:t>
            </m:r>
          </m:sub>
        </m:sSub>
      </m:oMath>
      <w:r>
        <w:rPr>
          <w:rFonts w:hint="eastAsia"/>
        </w:rPr>
        <w:t>定义为相位对角频率的导数:</w:t>
      </w:r>
    </w:p>
    <w:p w14:paraId="720FE955">
      <w:r>
        <w:t xml:space="preserve"> </w:t>
      </w:r>
    </w:p>
    <w:p w14:paraId="5B1FBE07">
      <w:pPr>
        <w:pStyle w:val="44"/>
        <w:spacing w:before="0" w:after="0" w:line="400" w:lineRule="atLeast"/>
      </w:pPr>
      <w:r>
        <w:tab/>
      </w:r>
      <m:oMath>
        <m:sSub>
          <m:sSubPr/>
          <m:e>
            <m:r>
              <m:rPr/>
              <m:t>τ</m:t>
            </m:r>
          </m:e>
          <m:sub>
            <m:r>
              <m:rPr/>
              <m:t>g</m:t>
            </m:r>
          </m:sub>
        </m:sSub>
        <m:r>
          <m:rPr>
            <m:sty m:val="p"/>
          </m:rPr>
          <m:t>(</m:t>
        </m:r>
        <m:r>
          <m:rPr/>
          <m:t>ω</m:t>
        </m:r>
        <m:r>
          <m:rPr>
            <m:sty m:val="p"/>
          </m:rPr>
          <m:t>)=</m:t>
        </m:r>
        <m:f>
          <m:fPr/>
          <m:num>
            <m:r>
              <m:rPr/>
              <m:t>d</m:t>
            </m:r>
          </m:num>
          <m:den>
            <m:r>
              <m:rPr/>
              <m:t>dω</m:t>
            </m:r>
          </m:den>
        </m:f>
        <m:d>
          <m:dPr>
            <m:begChr m:val="["/>
            <m:sepChr m:val=""/>
            <m:endChr m:val="]"/>
          </m:dPr>
          <m:e>
            <m:f>
              <m:fPr/>
              <m:num>
                <m:r>
                  <m:rPr/>
                  <m:t>ωd</m:t>
                </m:r>
              </m:num>
              <m:den>
                <m:r>
                  <m:rPr/>
                  <m:t>c</m:t>
                </m:r>
              </m:den>
            </m:f>
            <m:r>
              <m:rPr>
                <m:nor/>
                <m:sty m:val="p"/>
              </m:rPr>
              <w:rPr>
                <w:b w:val="0"/>
                <w:i w:val="0"/>
              </w:rPr>
              <m:t>Re</m:t>
            </m:r>
            <m:d>
              <m:dPr>
                <m:sepChr m:val=""/>
              </m:dPr>
              <m:e>
                <m:rad>
                  <m:radPr>
                    <m:degHide m:val="1"/>
                  </m:radPr>
                  <m:deg/>
                  <m:e>
                    <m:sSub>
                      <m:sSubPr/>
                      <m:e>
                        <m:acc>
                          <m:accPr>
                            <m:chr m:val="̃"/>
                          </m:accPr>
                          <m:e>
                            <m:r>
                              <m:rPr/>
                              <m:t>ε</m:t>
                            </m:r>
                          </m:e>
                        </m:acc>
                      </m:e>
                      <m:sub>
                        <m:r>
                          <m:rPr/>
                          <m:t>r</m:t>
                        </m:r>
                      </m:sub>
                    </m:sSub>
                    <m:r>
                      <m:rPr>
                        <m:sty m:val="p"/>
                      </m:rPr>
                      <m:t>(</m:t>
                    </m:r>
                    <m:r>
                      <m:rPr/>
                      <m:t>ω</m:t>
                    </m:r>
                    <m:r>
                      <m:rPr>
                        <m:sty m:val="p"/>
                      </m:rPr>
                      <m:t>)</m:t>
                    </m:r>
                  </m:e>
                </m:rad>
              </m:e>
            </m:d>
          </m:e>
        </m:d>
      </m:oMath>
      <w:r>
        <w:tab/>
      </w:r>
      <w:r>
        <w:t>(4</w:t>
      </w:r>
      <w:r>
        <w:noBreakHyphen/>
      </w:r>
      <w:r>
        <w:t>5)</w:t>
      </w:r>
    </w:p>
    <w:p w14:paraId="143ED9E3">
      <w:r>
        <w:t xml:space="preserve"> </w:t>
      </w:r>
    </w:p>
    <w:p w14:paraId="4DC8E951">
      <w:r>
        <w:rPr>
          <w:rFonts w:hint="eastAsia"/>
        </w:rPr>
        <w:t>由于</w:t>
      </w:r>
      <m:oMath>
        <m:rad>
          <m:radPr>
            <m:degHide m:val="1"/>
          </m:radPr>
          <m:deg/>
          <m:e>
            <m:sSup>
              <m:sSupPr/>
              <m:e>
                <m:r>
                  <m:rPr/>
                  <m:t>ε</m:t>
                </m:r>
              </m:e>
              <m:sup>
                <m:r>
                  <m:rPr>
                    <m:sty m:val="p"/>
                  </m:rPr>
                  <m:t>′</m:t>
                </m:r>
              </m:sup>
            </m:sSup>
            <m:r>
              <m:rPr>
                <m:sty m:val="p"/>
              </m:rPr>
              <m:t>(</m:t>
            </m:r>
            <m:r>
              <m:rPr/>
              <m:t>ω</m:t>
            </m:r>
            <m:r>
              <m:rPr>
                <m:sty m:val="p"/>
              </m:rPr>
              <m:t>)</m:t>
            </m:r>
          </m:e>
        </m:rad>
      </m:oMath>
      <w:r>
        <w:rPr>
          <w:rFonts w:hint="eastAsia"/>
        </w:rPr>
        <w:t>是</w:t>
      </w:r>
      <m:oMath>
        <m:sSup>
          <m:sSupPr/>
          <m:e>
            <m:r>
              <m:rPr/>
              <m:t>ε</m:t>
            </m:r>
          </m:e>
          <m:sup>
            <m:r>
              <m:rPr>
                <m:sty m:val="p"/>
              </m:rPr>
              <m:t>′</m:t>
            </m:r>
          </m:sup>
        </m:sSup>
      </m:oMath>
      <w:r>
        <w:rPr>
          <w:rFonts w:hint="eastAsia"/>
        </w:rPr>
        <w:t>的非线性函数，碰撞频率</w:t>
      </w:r>
      <m:oMath>
        <m:sSub>
          <m:sSubPr/>
          <m:e>
            <m:r>
              <m:rPr/>
              <m:t>ν</m:t>
            </m:r>
          </m:e>
          <m:sub>
            <m:r>
              <m:rPr/>
              <m:t>e</m:t>
            </m:r>
          </m:sub>
        </m:sSub>
      </m:oMath>
      <w:r>
        <w:rPr>
          <w:rFonts w:hint="eastAsia"/>
        </w:rPr>
        <w:t>对时延的影响将通过两层传递路径发生衰减：</w:t>
      </w:r>
      <m:oMath>
        <m:sSub>
          <m:sSubPr/>
          <m:e>
            <m:r>
              <m:rPr/>
              <m:t>ν</m:t>
            </m:r>
          </m:e>
          <m:sub>
            <m:r>
              <m:rPr/>
              <m:t>e</m:t>
            </m:r>
          </m:sub>
        </m:sSub>
      </m:oMath>
      <w:r>
        <w:rPr>
          <w:rFonts w:hint="eastAsia"/>
        </w:rPr>
        <w:t>以二阶形式影响</w:t>
      </w:r>
      <m:oMath>
        <m:sSup>
          <m:sSupPr/>
          <m:e>
            <m:r>
              <m:rPr/>
              <m:t>ε</m:t>
            </m:r>
          </m:e>
          <m:sup>
            <m:r>
              <m:rPr>
                <m:sty m:val="p"/>
              </m:rPr>
              <m:t>′</m:t>
            </m:r>
          </m:sup>
        </m:sSup>
      </m:oMath>
      <w:r>
        <w:rPr>
          <w:rFonts w:hint="eastAsia"/>
        </w:rPr>
        <w:t>（式(4-4)），平方根运算再次将微扰量缩小。定性分析表明，</w:t>
      </w:r>
      <m:oMath>
        <m:r>
          <m:rPr>
            <m:sty m:val="p"/>
          </m:rPr>
          <m:t>∂</m:t>
        </m:r>
        <m:sSub>
          <m:sSubPr/>
          <m:e>
            <m:r>
              <m:rPr/>
              <m:t>τ</m:t>
            </m:r>
          </m:e>
          <m:sub>
            <m:r>
              <m:rPr/>
              <m:t>g</m:t>
            </m:r>
          </m:sub>
        </m:sSub>
        <m:r>
          <m:rPr>
            <m:sty m:val="p"/>
          </m:rPr>
          <m:t>/∂</m:t>
        </m:r>
        <m:sSub>
          <m:sSubPr/>
          <m:e>
            <m:r>
              <m:rPr/>
              <m:t>ν</m:t>
            </m:r>
          </m:e>
          <m:sub>
            <m:r>
              <m:rPr/>
              <m:t>e</m:t>
            </m:r>
          </m:sub>
        </m:sSub>
      </m:oMath>
      <w:r>
        <w:rPr>
          <w:rFonts w:hint="eastAsia"/>
        </w:rPr>
        <w:t>对应的响应量级远小于</w:t>
      </w:r>
      <m:oMath>
        <m:r>
          <m:rPr>
            <m:sty m:val="p"/>
          </m:rPr>
          <m:t>∂</m:t>
        </m:r>
        <m:sSub>
          <m:sSubPr/>
          <m:e>
            <m:r>
              <m:rPr/>
              <m:t>τ</m:t>
            </m:r>
          </m:e>
          <m:sub>
            <m:r>
              <m:rPr/>
              <m:t>g</m:t>
            </m:r>
          </m:sub>
        </m:sSub>
        <m:r>
          <m:rPr>
            <m:sty m:val="p"/>
          </m:rPr>
          <m:t>/∂</m:t>
        </m:r>
        <m:sSub>
          <m:sSubPr/>
          <m:e>
            <m:r>
              <m:rPr/>
              <m:t>n</m:t>
            </m:r>
          </m:e>
          <m:sub>
            <m:r>
              <m:rPr/>
              <m:t>e</m:t>
            </m:r>
          </m:sub>
        </m:sSub>
      </m:oMath>
      <w:r>
        <w:rPr>
          <w:rFonts w:hint="eastAsia"/>
        </w:rPr>
        <w:t>，即群时延对</w:t>
      </w:r>
      <m:oMath>
        <m:sSub>
          <m:sSubPr/>
          <m:e>
            <m:r>
              <m:rPr/>
              <m:t>ν</m:t>
            </m:r>
          </m:e>
          <m:sub>
            <m:r>
              <m:rPr/>
              <m:t>e</m:t>
            </m:r>
          </m:sub>
        </m:sSub>
      </m:oMath>
      <w:r>
        <w:rPr>
          <w:rFonts w:hint="eastAsia"/>
        </w:rPr>
        <w:t>的敏感性显著弱于对</w:t>
      </w:r>
      <m:oMath>
        <m:sSub>
          <m:sSubPr/>
          <m:e>
            <m:r>
              <m:rPr/>
              <m:t>n</m:t>
            </m:r>
          </m:e>
          <m:sub>
            <m:r>
              <m:rPr/>
              <m:t>e</m:t>
            </m:r>
          </m:sub>
        </m:sSub>
      </m:oMath>
      <w:r>
        <w:rPr>
          <w:rFonts w:hint="eastAsia"/>
        </w:rPr>
        <w:t>的敏感性。</w:t>
      </w:r>
    </w:p>
    <w:p w14:paraId="5556F85A">
      <w:r>
        <w:rPr>
          <w:rFonts w:hint="eastAsia"/>
        </w:rPr>
        <w:t>为将上述理论推导转化为可观测的物理结论，图4-1基于典型Ka波段参数（</w:t>
      </w:r>
      <m:oMath>
        <m:sSub>
          <m:sSubPr/>
          <m:e>
            <m:r>
              <m:rPr/>
              <m:t>f</m:t>
            </m:r>
          </m:e>
          <m:sub>
            <m:r>
              <m:rPr/>
              <m:t>p</m:t>
            </m:r>
          </m:sub>
        </m:sSub>
        <m:r>
          <m:rPr>
            <m:sty m:val="p"/>
          </m:rPr>
          <m:t>≈</m:t>
        </m:r>
        <m:r>
          <m:rPr/>
          <m:t>29</m:t>
        </m:r>
      </m:oMath>
      <w:r>
        <w:t xml:space="preserve"> </w:t>
      </w:r>
      <w:r>
        <w:rPr>
          <w:rFonts w:hint="eastAsia"/>
        </w:rPr>
        <w:t>GHz，</w:t>
      </w:r>
      <m:oMath>
        <m:r>
          <m:rPr/>
          <m:t>d</m:t>
        </m:r>
        <m:r>
          <m:rPr>
            <m:sty m:val="p"/>
          </m:rPr>
          <m:t>=</m:t>
        </m:r>
        <m:r>
          <m:rPr/>
          <m:t>0.15</m:t>
        </m:r>
      </m:oMath>
      <w:r>
        <w:t xml:space="preserve"> </w:t>
      </w:r>
      <w:r>
        <w:rPr>
          <w:rFonts w:hint="eastAsia"/>
        </w:rPr>
        <w:t>m）的数值仿真结果，直观展示了两类参数在宽范围变化时对群时延曲线的差异化影响。</w:t>
      </w:r>
    </w:p>
    <w:p w14:paraId="7C48FC2D">
      <w:r>
        <w:rPr>
          <w:rFonts w:hint="eastAsia"/>
        </w:rPr>
        <w:t>图4-1(a)显示，当电子密度</w:t>
      </w:r>
      <m:oMath>
        <m:sSub>
          <m:sSubPr/>
          <m:e>
            <m:r>
              <m:rPr/>
              <m:t>n</m:t>
            </m:r>
          </m:e>
          <m:sub>
            <m:r>
              <m:rPr/>
              <m:t>e</m:t>
            </m:r>
          </m:sub>
        </m:sSub>
      </m:oMath>
      <w:r>
        <w:rPr>
          <w:rFonts w:hint="eastAsia"/>
        </w:rPr>
        <w:t>在</w:t>
      </w:r>
      <m:oMath>
        <m:r>
          <m:rPr>
            <m:sty m:val="p"/>
          </m:rPr>
          <m:t>±</m:t>
        </m:r>
        <m:r>
          <m:rPr/>
          <m:t>40</m:t>
        </m:r>
        <m:r>
          <m:rPr>
            <m:sty m:val="p"/>
          </m:rPr>
          <m:t>%</m:t>
        </m:r>
      </m:oMath>
      <w:r>
        <w:rPr>
          <w:rFonts w:hint="eastAsia"/>
        </w:rPr>
        <w:t>范围内波动时，群时延曲线呈现剧烈的全频段分离。在有效统计区间内（截止频率上浮5%作为起点），密度变化引发的最大群时延偏移量达0.99</w:t>
      </w:r>
      <w:r>
        <w:t xml:space="preserve"> </w:t>
      </w:r>
      <w:r>
        <w:rPr>
          <w:rFonts w:hint="eastAsia"/>
        </w:rPr>
        <w:t>ns，曲线的整体走势随</w:t>
      </w:r>
      <m:oMath>
        <m:sSub>
          <m:sSubPr/>
          <m:e>
            <m:r>
              <m:rPr/>
              <m:t>n</m:t>
            </m:r>
          </m:e>
          <m:sub>
            <m:r>
              <m:rPr/>
              <m:t>e</m:t>
            </m:r>
          </m:sub>
        </m:sSub>
      </m:oMath>
      <w:r>
        <w:rPr>
          <w:rFonts w:hint="eastAsia"/>
        </w:rPr>
        <w:t>单调偏移，为反演算法提供了较高的参数辨识度。</w:t>
      </w:r>
    </w:p>
    <w:p w14:paraId="73586E3C">
      <w:r>
        <w:rPr>
          <w:rFonts w:hint="eastAsia"/>
        </w:rPr>
        <w:t>与之形成对比的是图4-1(b)所展示的碰撞频率特性。仿真表明，即使</w:t>
      </w:r>
      <m:oMath>
        <m:sSub>
          <m:sSubPr/>
          <m:e>
            <m:r>
              <m:rPr/>
              <m:t>ν</m:t>
            </m:r>
          </m:e>
          <m:sub>
            <m:r>
              <m:rPr/>
              <m:t>e</m:t>
            </m:r>
          </m:sub>
        </m:sSub>
      </m:oMath>
      <w:r>
        <w:rPr>
          <w:rFonts w:hint="eastAsia"/>
        </w:rPr>
        <w:t>发生700%的变化（从1.5</w:t>
      </w:r>
      <w:r>
        <w:t xml:space="preserve"> </w:t>
      </w:r>
      <w:r>
        <w:rPr>
          <w:rFonts w:hint="eastAsia"/>
        </w:rPr>
        <w:t>GHz增至12.0</w:t>
      </w:r>
      <w:r>
        <w:t xml:space="preserve"> </w:t>
      </w:r>
      <w:r>
        <w:rPr>
          <w:rFonts w:hint="eastAsia"/>
        </w:rPr>
        <w:t>GHz），其引起的最大群时延偏移量仅为0.21</w:t>
      </w:r>
      <w:r>
        <w:t xml:space="preserve"> </w:t>
      </w:r>
      <w:r>
        <w:rPr>
          <w:rFonts w:hint="eastAsia"/>
        </w:rPr>
        <w:t>ns。当</w:t>
      </w:r>
      <m:oMath>
        <m:sSub>
          <m:sSubPr/>
          <m:e>
            <m:r>
              <m:rPr/>
              <m:t>ν</m:t>
            </m:r>
          </m:e>
          <m:sub>
            <m:r>
              <m:rPr/>
              <m:t>e</m:t>
            </m:r>
          </m:sub>
        </m:sSub>
      </m:oMath>
      <w:r>
        <w:rPr>
          <w:rFonts w:hint="eastAsia"/>
        </w:rPr>
        <w:t>在典型范围内翻倍（从1.5</w:t>
      </w:r>
      <w:r>
        <w:t xml:space="preserve"> </w:t>
      </w:r>
      <w:r>
        <w:rPr>
          <w:rFonts w:hint="eastAsia"/>
        </w:rPr>
        <w:t>GHz增至3.0</w:t>
      </w:r>
      <w:r>
        <w:t xml:space="preserve"> </w:t>
      </w:r>
      <w:r>
        <w:rPr>
          <w:rFonts w:hint="eastAsia"/>
        </w:rPr>
        <w:t>GHz）时，时延误差仅约0.0127</w:t>
      </w:r>
      <w:r>
        <w:t xml:space="preserve"> </w:t>
      </w:r>
      <w:r>
        <w:rPr>
          <w:rFonts w:hint="eastAsia"/>
        </w:rPr>
        <w:t>ns，不仅远低于电子密度引起的纳秒级变化，也低于本文系统关注的工程测量分辨量级。这类“大参数波动—小时延响应“的钝感特性，从数值上验证了式(4-4)中的阶次分离机制。</w:t>
      </w:r>
    </w:p>
    <w:p w14:paraId="2683278A">
      <w:r>
        <w:rPr>
          <w:rFonts w:hint="eastAsia"/>
        </w:rPr>
        <w:t>这种敏感度差异揭示了参数与观测量之间的对应关系：群时延主要反映电子密度</w:t>
      </w:r>
      <m:oMath>
        <m:sSub>
          <m:sSubPr/>
          <m:e>
            <m:r>
              <m:rPr/>
              <m:t>n</m:t>
            </m:r>
          </m:e>
          <m:sub>
            <m:r>
              <m:rPr/>
              <m:t>e</m:t>
            </m:r>
          </m:sub>
        </m:sSub>
      </m:oMath>
      <w:r>
        <w:rPr>
          <w:rFonts w:hint="eastAsia"/>
        </w:rPr>
        <w:t>的信息，而幅度衰减则更多承载碰撞频率</w:t>
      </w:r>
      <m:oMath>
        <m:sSub>
          <m:sSubPr/>
          <m:e>
            <m:r>
              <m:rPr/>
              <m:t>ν</m:t>
            </m:r>
          </m:e>
          <m:sub>
            <m:r>
              <m:rPr/>
              <m:t>e</m:t>
            </m:r>
          </m:sub>
        </m:sSub>
      </m:oMath>
      <w:r>
        <w:rPr>
          <w:rFonts w:hint="eastAsia"/>
        </w:rPr>
        <w:t>的特征。图4-1(b)右轴同步给出的透射幅度</w:t>
      </w:r>
      <m:oMath>
        <m:sSub>
          <m:sSubPr/>
          <m:e>
            <m:r>
              <m:rPr/>
              <m:t>S</m:t>
            </m:r>
          </m:e>
          <m:sub>
            <m:r>
              <m:rPr/>
              <m:t>21</m:t>
            </m:r>
          </m:sub>
        </m:sSub>
      </m:oMath>
      <w:r>
        <w:rPr>
          <w:rFonts w:hint="eastAsia"/>
        </w:rPr>
        <w:t>也表明，</w:t>
      </w:r>
      <m:oMath>
        <m:sSub>
          <m:sSubPr/>
          <m:e>
            <m:r>
              <m:rPr/>
              <m:t>ν</m:t>
            </m:r>
          </m:e>
          <m:sub>
            <m:r>
              <m:rPr/>
              <m:t>e</m:t>
            </m:r>
          </m:sub>
        </m:sSub>
      </m:oMath>
      <w:r>
        <w:rPr>
          <w:rFonts w:hint="eastAsia"/>
        </w:rPr>
        <w:t>对幅度衰减的影响远强于其对群时延的影响。因此，在当前诊断链路中，</w:t>
      </w:r>
      <m:oMath>
        <m:sSub>
          <m:sSubPr/>
          <m:e>
            <m:r>
              <m:rPr/>
              <m:t>ν</m:t>
            </m:r>
          </m:e>
          <m:sub>
            <m:r>
              <m:rPr/>
              <m:t>e</m:t>
            </m:r>
          </m:sub>
        </m:sSub>
      </m:oMath>
      <w:r>
        <w:rPr>
          <w:rFonts w:hint="eastAsia"/>
        </w:rPr>
        <w:t>更适合作为幅度退化与数据可信度的背景因素，而不宜作为群时延通道下的主反演参数。本文后续虽利用窗口幅度构造加权似然中的权重</w:t>
      </w:r>
      <m:oMath>
        <m:sSub>
          <m:sSubPr/>
          <m:e>
            <m:r>
              <m:rPr/>
              <m:t>w</m:t>
            </m:r>
          </m:e>
          <m:sub>
            <m:r>
              <m:rPr/>
              <m:t>i</m:t>
            </m:r>
          </m:sub>
        </m:sSub>
      </m:oMath>
      <w:r>
        <w:rPr>
          <w:rFonts w:hint="eastAsia"/>
        </w:rPr>
        <w:t>，但并不把幅度量本身作为独立反演观测量；这一处理与“固定</w:t>
      </w:r>
      <m:oMath>
        <m:sSub>
          <m:sSubPr/>
          <m:e>
            <m:r>
              <m:rPr/>
              <m:t>ν</m:t>
            </m:r>
          </m:e>
          <m:sub>
            <m:r>
              <m:rPr/>
              <m:t>e</m:t>
            </m:r>
          </m:sub>
        </m:sSub>
      </m:oMath>
      <w:r>
        <w:rPr>
          <w:rFonts w:hint="eastAsia"/>
        </w:rPr>
        <w:t>、仅反演</w:t>
      </w:r>
      <m:oMath>
        <m:sSub>
          <m:sSubPr/>
          <m:e>
            <m:r>
              <m:rPr/>
              <m:t>n</m:t>
            </m:r>
          </m:e>
          <m:sub>
            <m:r>
              <m:rPr/>
              <m:t>e</m:t>
            </m:r>
          </m:sub>
        </m:sSub>
      </m:oMath>
      <w:r>
        <w:rPr>
          <w:rFonts w:hint="eastAsia"/>
        </w:rPr>
        <w:t>“的整体策略保持一致。</w:t>
      </w:r>
    </w:p>
    <w:p w14:paraId="4114BE6A">
      <w:r>
        <w:rPr>
          <w:rFonts w:hint="eastAsia"/>
        </w:rPr>
        <w:t>从泰勒级数的数学推导（式(4-4)）到数值仿真的物理验证（图4-1），本节论证了碰撞频率对群时延的贡献属于</w:t>
      </w:r>
      <m:oMath>
        <m:r>
          <m:rPr/>
          <m:t>O</m:t>
        </m:r>
        <m:r>
          <m:rPr>
            <m:sty m:val="p"/>
          </m:rPr>
          <m:t>((</m:t>
        </m:r>
        <m:sSub>
          <m:sSubPr/>
          <m:e>
            <m:r>
              <m:rPr/>
              <m:t>ν</m:t>
            </m:r>
          </m:e>
          <m:sub>
            <m:r>
              <m:rPr/>
              <m:t>e</m:t>
            </m:r>
          </m:sub>
        </m:sSub>
        <m:r>
          <m:rPr>
            <m:sty m:val="p"/>
          </m:rPr>
          <m:t>/</m:t>
        </m:r>
        <m:r>
          <m:rPr/>
          <m:t>ω</m:t>
        </m:r>
        <m:sSup>
          <m:sSupPr/>
          <m:e>
            <m:r>
              <m:rPr>
                <m:sty m:val="p"/>
              </m:rPr>
              <m:t>)</m:t>
            </m:r>
          </m:e>
          <m:sup>
            <m:r>
              <m:rPr/>
              <m:t>2</m:t>
            </m:r>
          </m:sup>
        </m:sSup>
        <m:r>
          <m:rPr>
            <m:sty m:val="p"/>
          </m:rPr>
          <m:t>)</m:t>
        </m:r>
      </m:oMath>
      <w:r>
        <w:rPr>
          <w:rFonts w:hint="eastAsia"/>
        </w:rPr>
        <w:t>量级的二阶微扰效应。这一物理约束为下一节分析参数耦合的病态性奠定了基础。</w:t>
      </w:r>
    </w:p>
    <w:p w14:paraId="5F710D69"/>
    <w:bookmarkEnd w:id="57"/>
    <w:p w14:paraId="2A9A657F">
      <w:pPr>
        <w:pStyle w:val="4"/>
      </w:pPr>
      <w:bookmarkStart w:id="58" w:name="逆问题的病态性分析从物理公式看参数耦合"/>
      <w:r>
        <w:rPr>
          <w:rFonts w:hint="eastAsia"/>
        </w:rPr>
        <w:t>逆问题的病态性分析：从物理公式看参数耦合</w:t>
      </w:r>
    </w:p>
    <w:p w14:paraId="193CB0A3">
      <w:r>
        <w:rPr>
          <w:rFonts w:hint="eastAsia"/>
        </w:rPr>
        <w:t>前一节已从单参数扰动的角度说明</w:t>
      </w:r>
      <m:oMath>
        <m:sSub>
          <m:sSubPr/>
          <m:e>
            <m:r>
              <m:rPr/>
              <m:t>ν</m:t>
            </m:r>
          </m:e>
          <m:sub>
            <m:r>
              <m:rPr/>
              <m:t>e</m:t>
            </m:r>
          </m:sub>
        </m:sSub>
      </m:oMath>
      <w:r>
        <w:rPr>
          <w:rFonts w:hint="eastAsia"/>
        </w:rPr>
        <w:t>对群时延响应的微弱贡献，但尚未回答一个关键问题：在多参数联合寻优框架下，优化算法是否仍能稳定锁定其数值？本节从目标函数的局部几何结构出发，说明为何在仅依赖群时延数据时，同时反演</w:t>
      </w:r>
      <m:oMath>
        <m:r>
          <m:rPr>
            <m:sty m:val="p"/>
          </m:rPr>
          <m:t>(</m:t>
        </m:r>
        <m:sSub>
          <m:sSubPr/>
          <m:e>
            <m:r>
              <m:rPr/>
              <m:t>n</m:t>
            </m:r>
          </m:e>
          <m:sub>
            <m:r>
              <m:rPr/>
              <m:t>e</m:t>
            </m:r>
          </m:sub>
        </m:sSub>
        <m:r>
          <m:rPr>
            <m:sty m:val="p"/>
          </m:rPr>
          <m:t>,</m:t>
        </m:r>
        <m:sSub>
          <m:sSubPr/>
          <m:e>
            <m:r>
              <m:rPr/>
              <m:t>ν</m:t>
            </m:r>
          </m:e>
          <m:sub>
            <m:r>
              <m:rPr/>
              <m:t>e</m:t>
            </m:r>
          </m:sub>
        </m:sSub>
        <m:r>
          <m:rPr>
            <m:sty m:val="p"/>
          </m:rPr>
          <m:t>)</m:t>
        </m:r>
      </m:oMath>
      <w:r>
        <w:rPr>
          <w:rFonts w:hint="eastAsia"/>
        </w:rPr>
        <w:t>会构成典型的病态问题。</w:t>
      </w:r>
    </w:p>
    <w:p w14:paraId="22D1B79F">
      <w:r>
        <w:rPr>
          <w:rFonts w:hint="eastAsia"/>
        </w:rPr>
        <w:t>参数反演的数学本质是构建残差加权最小二乘目标函数：</w:t>
      </w:r>
    </w:p>
    <w:p w14:paraId="6C08F8A1">
      <w:r>
        <w:t xml:space="preserve"> </w:t>
      </w:r>
    </w:p>
    <w:p w14:paraId="170CCB3B">
      <w:pPr>
        <w:pStyle w:val="44"/>
        <w:spacing w:before="0" w:after="0" w:line="400" w:lineRule="atLeast"/>
      </w:pPr>
      <w:r>
        <w:tab/>
      </w:r>
      <m:oMath>
        <m:r>
          <m:rPr/>
          <m:t>J</m:t>
        </m:r>
        <m:r>
          <m:rPr>
            <m:sty m:val="p"/>
          </m:rPr>
          <m:t>(</m:t>
        </m:r>
        <m:sSub>
          <m:sSubPr/>
          <m:e>
            <m:r>
              <m:rPr/>
              <m:t>n</m:t>
            </m:r>
          </m:e>
          <m:sub>
            <m:r>
              <m:rPr/>
              <m:t>e</m:t>
            </m:r>
          </m:sub>
        </m:sSub>
        <m:r>
          <m:rPr>
            <m:sty m:val="p"/>
          </m:rPr>
          <m:t>,</m:t>
        </m:r>
        <m:sSub>
          <m:sSubPr/>
          <m:e>
            <m:r>
              <m:rPr/>
              <m:t>ν</m:t>
            </m:r>
          </m:e>
          <m:sub>
            <m:r>
              <m:rPr/>
              <m:t>e</m:t>
            </m:r>
          </m:sub>
        </m:sSub>
        <m:r>
          <m:rPr>
            <m:sty m:val="p"/>
          </m:rPr>
          <m:t>)=</m:t>
        </m:r>
        <m:nary>
          <m:naryPr>
            <m:chr m:val="∑"/>
            <m:limLoc m:val="undOvr"/>
          </m:naryPr>
          <m:sub>
            <m:r>
              <m:rPr/>
              <m:t>i</m:t>
            </m:r>
            <m:r>
              <m:rPr>
                <m:sty m:val="p"/>
              </m:rPr>
              <m:t>=</m:t>
            </m:r>
            <m:r>
              <m:rPr/>
              <m:t>1</m:t>
            </m:r>
          </m:sub>
          <m:sup>
            <m:r>
              <m:rPr/>
              <m:t>N</m:t>
            </m:r>
          </m:sup>
          <m:e>
            <m:sSub>
              <m:sSubPr/>
              <m:e>
                <m:r>
                  <m:rPr/>
                  <m:t>w</m:t>
                </m:r>
              </m:e>
              <m:sub>
                <m:r>
                  <m:rPr/>
                  <m:t>i</m:t>
                </m:r>
              </m:sub>
            </m:sSub>
          </m:e>
        </m:nary>
        <m:sSup>
          <m:sSupPr/>
          <m:e>
            <m:d>
              <m:dPr>
                <m:begChr m:val="∥"/>
                <m:sepChr m:val=""/>
                <m:endChr m:val="∥"/>
              </m:dPr>
              <m:e>
                <m:sSub>
                  <m:sSubPr/>
                  <m:e>
                    <m:r>
                      <m:rPr/>
                      <m:t>τ</m:t>
                    </m:r>
                  </m:e>
                  <m:sub>
                    <m:r>
                      <m:rPr/>
                      <m:t>meas</m:t>
                    </m:r>
                  </m:sub>
                </m:sSub>
                <m:r>
                  <m:rPr>
                    <m:sty m:val="p"/>
                  </m:rPr>
                  <m:t>(</m:t>
                </m:r>
                <m:sSub>
                  <m:sSubPr/>
                  <m:e>
                    <m:r>
                      <m:rPr/>
                      <m:t>f</m:t>
                    </m:r>
                  </m:e>
                  <m:sub>
                    <m:r>
                      <m:rPr/>
                      <m:t>i</m:t>
                    </m:r>
                  </m:sub>
                </m:sSub>
                <m:r>
                  <m:rPr>
                    <m:sty m:val="p"/>
                  </m:rPr>
                  <m:t>)−</m:t>
                </m:r>
                <m:sSub>
                  <m:sSubPr/>
                  <m:e>
                    <m:r>
                      <m:rPr/>
                      <m:t>τ</m:t>
                    </m:r>
                  </m:e>
                  <m:sub>
                    <m:r>
                      <m:rPr/>
                      <m:t>theory</m:t>
                    </m:r>
                  </m:sub>
                </m:sSub>
                <m:r>
                  <m:rPr>
                    <m:sty m:val="p"/>
                  </m:rPr>
                  <m:t>(</m:t>
                </m:r>
                <m:sSub>
                  <m:sSubPr/>
                  <m:e>
                    <m:r>
                      <m:rPr/>
                      <m:t>f</m:t>
                    </m:r>
                  </m:e>
                  <m:sub>
                    <m:r>
                      <m:rPr/>
                      <m:t>i</m:t>
                    </m:r>
                  </m:sub>
                </m:sSub>
                <m:r>
                  <m:rPr>
                    <m:sty m:val="p"/>
                  </m:rPr>
                  <m:t>;</m:t>
                </m:r>
                <m:sSub>
                  <m:sSubPr/>
                  <m:e>
                    <m:r>
                      <m:rPr/>
                      <m:t>n</m:t>
                    </m:r>
                  </m:e>
                  <m:sub>
                    <m:r>
                      <m:rPr/>
                      <m:t>e</m:t>
                    </m:r>
                  </m:sub>
                </m:sSub>
                <m:r>
                  <m:rPr>
                    <m:sty m:val="p"/>
                  </m:rPr>
                  <m:t>,</m:t>
                </m:r>
                <m:sSub>
                  <m:sSubPr/>
                  <m:e>
                    <m:r>
                      <m:rPr/>
                      <m:t>ν</m:t>
                    </m:r>
                  </m:e>
                  <m:sub>
                    <m:r>
                      <m:rPr/>
                      <m:t>e</m:t>
                    </m:r>
                  </m:sub>
                </m:sSub>
                <m:r>
                  <m:rPr>
                    <m:sty m:val="p"/>
                  </m:rPr>
                  <m:t>)</m:t>
                </m:r>
              </m:e>
            </m:d>
          </m:e>
          <m:sup>
            <m:r>
              <m:rPr/>
              <m:t>2</m:t>
            </m:r>
          </m:sup>
        </m:sSup>
      </m:oMath>
      <w:r>
        <w:tab/>
      </w:r>
      <w:r>
        <w:t>(4</w:t>
      </w:r>
      <w:r>
        <w:noBreakHyphen/>
      </w:r>
      <w:r>
        <w:t>6)</w:t>
      </w:r>
    </w:p>
    <w:p w14:paraId="503DA0D9">
      <w:r>
        <w:t xml:space="preserve"> </w:t>
      </w:r>
    </w:p>
    <w:p w14:paraId="0DAC7E62">
      <w:r>
        <w:rPr>
          <w:rFonts w:hint="eastAsia"/>
        </w:rPr>
        <w:t>其中</w:t>
      </w:r>
      <m:oMath>
        <m:sSub>
          <m:sSubPr/>
          <m:e>
            <m:r>
              <m:rPr/>
              <m:t>τ</m:t>
            </m:r>
          </m:e>
          <m:sub>
            <m:r>
              <m:rPr/>
              <m:t>theory</m:t>
            </m:r>
          </m:sub>
        </m:sSub>
      </m:oMath>
      <w:r>
        <w:rPr>
          <w:rFonts w:hint="eastAsia"/>
        </w:rPr>
        <w:t>由式(4-5)的复Drude模型给出，</w:t>
      </w:r>
      <m:oMath>
        <m:sSub>
          <m:sSubPr/>
          <m:e>
            <m:r>
              <m:rPr/>
              <m:t>w</m:t>
            </m:r>
          </m:e>
          <m:sub>
            <m:r>
              <m:rPr/>
              <m:t>i</m:t>
            </m:r>
          </m:sub>
        </m:sSub>
      </m:oMath>
      <w:r>
        <w:rPr>
          <w:rFonts w:hint="eastAsia"/>
        </w:rPr>
        <w:t>为基于信号幅度的权重因子。若将残差写为</w:t>
      </w:r>
    </w:p>
    <w:p w14:paraId="346A7909">
      <m:oMathPara>
        <m:oMathParaPr>
          <m:jc m:val="center"/>
        </m:oMathParaPr>
        <m:oMath>
          <m:sSub>
            <m:sSubPr/>
            <m:e>
              <m:r>
                <m:rPr/>
                <m:t>r</m:t>
              </m:r>
            </m:e>
            <m:sub>
              <m:r>
                <m:rPr/>
                <m:t>k</m:t>
              </m:r>
            </m:sub>
          </m:sSub>
          <m:r>
            <m:rPr>
              <m:sty m:val="p"/>
            </m:rPr>
            <m:t>=</m:t>
          </m:r>
          <m:rad>
            <m:radPr>
              <m:degHide m:val="1"/>
            </m:radPr>
            <m:deg/>
            <m:e>
              <m:sSub>
                <m:sSubPr/>
                <m:e>
                  <m:r>
                    <m:rPr/>
                    <m:t>w</m:t>
                  </m:r>
                </m:e>
                <m:sub>
                  <m:r>
                    <m:rPr/>
                    <m:t>k</m:t>
                  </m:r>
                </m:sub>
              </m:sSub>
            </m:e>
          </m:rad>
          <m:d>
            <m:dPr>
              <m:sepChr m:val=""/>
            </m:dPr>
            <m:e>
              <m:sSub>
                <m:sSubPr/>
                <m:e>
                  <m:r>
                    <m:rPr/>
                    <m:t>τ</m:t>
                  </m:r>
                </m:e>
                <m:sub>
                  <m:r>
                    <m:rPr/>
                    <m:t>meas</m:t>
                  </m:r>
                </m:sub>
              </m:sSub>
              <m:r>
                <m:rPr>
                  <m:sty m:val="p"/>
                </m:rPr>
                <m:t>(</m:t>
              </m:r>
              <m:sSub>
                <m:sSubPr/>
                <m:e>
                  <m:r>
                    <m:rPr/>
                    <m:t>f</m:t>
                  </m:r>
                </m:e>
                <m:sub>
                  <m:r>
                    <m:rPr/>
                    <m:t>k</m:t>
                  </m:r>
                </m:sub>
              </m:sSub>
              <m:r>
                <m:rPr>
                  <m:sty m:val="p"/>
                </m:rPr>
                <m:t>)−</m:t>
              </m:r>
              <m:sSub>
                <m:sSubPr/>
                <m:e>
                  <m:r>
                    <m:rPr/>
                    <m:t>τ</m:t>
                  </m:r>
                </m:e>
                <m:sub>
                  <m:r>
                    <m:rPr/>
                    <m:t>theory</m:t>
                  </m:r>
                </m:sub>
              </m:sSub>
              <m:r>
                <m:rPr>
                  <m:sty m:val="p"/>
                </m:rPr>
                <m:t>(</m:t>
              </m:r>
              <m:sSub>
                <m:sSubPr/>
                <m:e>
                  <m:r>
                    <m:rPr/>
                    <m:t>f</m:t>
                  </m:r>
                </m:e>
                <m:sub>
                  <m:r>
                    <m:rPr/>
                    <m:t>k</m:t>
                  </m:r>
                </m:sub>
              </m:sSub>
              <m:r>
                <m:rPr>
                  <m:sty m:val="p"/>
                </m:rPr>
                <m:t>;</m:t>
              </m:r>
              <m:sSub>
                <m:sSubPr/>
                <m:e>
                  <m:r>
                    <m:rPr/>
                    <m:t>n</m:t>
                  </m:r>
                </m:e>
                <m:sub>
                  <m:r>
                    <m:rPr/>
                    <m:t>e</m:t>
                  </m:r>
                </m:sub>
              </m:sSub>
              <m:r>
                <m:rPr>
                  <m:sty m:val="p"/>
                </m:rPr>
                <m:t>,</m:t>
              </m:r>
              <m:sSub>
                <m:sSubPr/>
                <m:e>
                  <m:r>
                    <m:rPr/>
                    <m:t>ν</m:t>
                  </m:r>
                </m:e>
                <m:sub>
                  <m:r>
                    <m:rPr/>
                    <m:t>e</m:t>
                  </m:r>
                </m:sub>
              </m:sSub>
              <m:r>
                <m:rPr>
                  <m:sty m:val="p"/>
                </m:rPr>
                <m:t>)</m:t>
              </m:r>
            </m:e>
          </m:d>
          <m:r>
            <m:rPr>
              <m:sty m:val="p"/>
            </m:rPr>
            <m:t>,</m:t>
          </m:r>
        </m:oMath>
      </m:oMathPara>
    </w:p>
    <w:p w14:paraId="5D682675">
      <w:r>
        <w:rPr>
          <w:rFonts w:hint="eastAsia"/>
        </w:rPr>
        <w:t>则其对参数的局部敏感度可由雅可比矩阵表征：</w:t>
      </w:r>
    </w:p>
    <w:p w14:paraId="3C294CFA">
      <w:r>
        <w:t xml:space="preserve"> </w:t>
      </w:r>
    </w:p>
    <w:p w14:paraId="407E4B45">
      <w:pPr>
        <w:pStyle w:val="44"/>
        <w:spacing w:before="0" w:after="0" w:line="400" w:lineRule="atLeast"/>
      </w:pPr>
      <w:r>
        <w:tab/>
      </w:r>
      <m:oMath>
        <m:sSub>
          <m:sSubPr/>
          <m:e>
            <m:r>
              <m:rPr>
                <m:sty m:val="bi"/>
              </m:rPr>
              <m:t>J</m:t>
            </m:r>
          </m:e>
          <m:sub>
            <m:r>
              <m:rPr/>
              <m:t>k</m:t>
            </m:r>
          </m:sub>
        </m:sSub>
        <m:r>
          <m:rPr>
            <m:sty m:val="p"/>
          </m:rPr>
          <m:t>=</m:t>
        </m:r>
        <m:d>
          <m:dPr>
            <m:begChr m:val="["/>
            <m:sepChr m:val=""/>
            <m:endChr m:val="]"/>
          </m:dPr>
          <m:e>
            <m:f>
              <m:fPr/>
              <m:num>
                <m:r>
                  <m:rPr>
                    <m:sty m:val="p"/>
                  </m:rPr>
                  <m:t>∂</m:t>
                </m:r>
                <m:sSub>
                  <m:sSubPr/>
                  <m:e>
                    <m:r>
                      <m:rPr/>
                      <m:t>r</m:t>
                    </m:r>
                  </m:e>
                  <m:sub>
                    <m:r>
                      <m:rPr/>
                      <m:t>k</m:t>
                    </m:r>
                  </m:sub>
                </m:sSub>
              </m:num>
              <m:den>
                <m:r>
                  <m:rPr>
                    <m:sty m:val="p"/>
                  </m:rPr>
                  <m:t>∂</m:t>
                </m:r>
                <m:sSub>
                  <m:sSubPr/>
                  <m:e>
                    <m:r>
                      <m:rPr/>
                      <m:t>n</m:t>
                    </m:r>
                  </m:e>
                  <m:sub>
                    <m:r>
                      <m:rPr/>
                      <m:t>e</m:t>
                    </m:r>
                  </m:sub>
                </m:sSub>
              </m:den>
            </m:f>
            <m:r>
              <m:rPr>
                <m:sty m:val="p"/>
              </m:rPr>
              <m:t>,</m:t>
            </m:r>
            <m:f>
              <m:fPr/>
              <m:num>
                <m:r>
                  <m:rPr>
                    <m:sty m:val="p"/>
                  </m:rPr>
                  <m:t>∂</m:t>
                </m:r>
                <m:sSub>
                  <m:sSubPr/>
                  <m:e>
                    <m:r>
                      <m:rPr/>
                      <m:t>r</m:t>
                    </m:r>
                  </m:e>
                  <m:sub>
                    <m:r>
                      <m:rPr/>
                      <m:t>k</m:t>
                    </m:r>
                  </m:sub>
                </m:sSub>
              </m:num>
              <m:den>
                <m:r>
                  <m:rPr>
                    <m:sty m:val="p"/>
                  </m:rPr>
                  <m:t>∂</m:t>
                </m:r>
                <m:sSub>
                  <m:sSubPr/>
                  <m:e>
                    <m:r>
                      <m:rPr/>
                      <m:t>ν</m:t>
                    </m:r>
                  </m:e>
                  <m:sub>
                    <m:r>
                      <m:rPr/>
                      <m:t>e</m:t>
                    </m:r>
                  </m:sub>
                </m:sSub>
              </m:den>
            </m:f>
          </m:e>
        </m:d>
      </m:oMath>
      <w:r>
        <w:tab/>
      </w:r>
      <w:r>
        <w:t>(4</w:t>
      </w:r>
      <w:r>
        <w:noBreakHyphen/>
      </w:r>
      <w:r>
        <w:t>7)</w:t>
      </w:r>
    </w:p>
    <w:p w14:paraId="2B4B0D7D">
      <w:r>
        <w:t xml:space="preserve"> </w:t>
      </w:r>
    </w:p>
    <w:p w14:paraId="0A299CF7">
      <w:r>
        <w:rPr>
          <w:rFonts w:hint="eastAsia"/>
        </w:rPr>
        <w:t>根据4.2.1节的灵敏度分析，</w:t>
      </w:r>
      <m:oMath>
        <m:r>
          <m:rPr>
            <m:sty m:val="p"/>
          </m:rPr>
          <m:t>∂</m:t>
        </m:r>
        <m:r>
          <m:rPr/>
          <m:t>τ</m:t>
        </m:r>
        <m:r>
          <m:rPr>
            <m:sty m:val="p"/>
          </m:rPr>
          <m:t>/∂</m:t>
        </m:r>
        <m:sSub>
          <m:sSubPr/>
          <m:e>
            <m:r>
              <m:rPr/>
              <m:t>n</m:t>
            </m:r>
          </m:e>
          <m:sub>
            <m:r>
              <m:rPr/>
              <m:t>e</m:t>
            </m:r>
          </m:sub>
        </m:sSub>
      </m:oMath>
      <w:r>
        <w:rPr>
          <w:rFonts w:hint="eastAsia"/>
        </w:rPr>
        <w:t>与</w:t>
      </w:r>
      <m:oMath>
        <m:r>
          <m:rPr>
            <m:sty m:val="p"/>
          </m:rPr>
          <m:t>∂</m:t>
        </m:r>
        <m:r>
          <m:rPr/>
          <m:t>τ</m:t>
        </m:r>
        <m:r>
          <m:rPr>
            <m:sty m:val="p"/>
          </m:rPr>
          <m:t>/∂</m:t>
        </m:r>
        <m:sSub>
          <m:sSubPr/>
          <m:e>
            <m:r>
              <m:rPr/>
              <m:t>ν</m:t>
            </m:r>
          </m:e>
          <m:sub>
            <m:r>
              <m:rPr/>
              <m:t>e</m:t>
            </m:r>
          </m:sub>
        </m:sSub>
      </m:oMath>
      <w:r>
        <w:rPr>
          <w:rFonts w:hint="eastAsia"/>
        </w:rPr>
        <w:t>在量级上存在显著差异，导致雅可比矩阵两列严重不平衡，进而使近似Hessian矩阵</w:t>
      </w:r>
      <m:oMath>
        <m:r>
          <m:rPr>
            <m:sty m:val="bi"/>
          </m:rPr>
          <m:t>H</m:t>
        </m:r>
        <m:r>
          <m:rPr>
            <m:sty m:val="p"/>
          </m:rPr>
          <m:t>≈</m:t>
        </m:r>
        <m:sSubSup>
          <m:sSubSupPr/>
          <m:e>
            <m:r>
              <m:rPr>
                <m:sty m:val="bi"/>
              </m:rPr>
              <m:t>J</m:t>
            </m:r>
          </m:e>
          <m:sub>
            <m:r>
              <m:rPr/>
              <m:t>jac</m:t>
            </m:r>
          </m:sub>
          <m:sup>
            <m:r>
              <m:rPr/>
              <m:t>T</m:t>
            </m:r>
          </m:sup>
        </m:sSubSup>
        <m:sSub>
          <m:sSubPr/>
          <m:e>
            <m:r>
              <m:rPr>
                <m:sty m:val="bi"/>
              </m:rPr>
              <m:t>J</m:t>
            </m:r>
          </m:e>
          <m:sub>
            <m:r>
              <m:rPr/>
              <m:t>jac</m:t>
            </m:r>
          </m:sub>
        </m:sSub>
      </m:oMath>
      <w:r>
        <w:rPr>
          <w:rFonts w:hint="eastAsia"/>
        </w:rPr>
        <w:t>呈现较高条件数。这意味着：在仅依赖群时延观测的条件下，目标函数沿</w:t>
      </w:r>
      <m:oMath>
        <m:sSub>
          <m:sSubPr/>
          <m:e>
            <m:r>
              <m:rPr/>
              <m:t>n</m:t>
            </m:r>
          </m:e>
          <m:sub>
            <m:r>
              <m:rPr/>
              <m:t>e</m:t>
            </m:r>
          </m:sub>
        </m:sSub>
      </m:oMath>
      <w:r>
        <w:rPr>
          <w:rFonts w:hint="eastAsia"/>
        </w:rPr>
        <w:t>方向变化陡峭，而沿</w:t>
      </w:r>
      <m:oMath>
        <m:sSub>
          <m:sSubPr/>
          <m:e>
            <m:r>
              <m:rPr/>
              <m:t>ν</m:t>
            </m:r>
          </m:e>
          <m:sub>
            <m:r>
              <m:rPr/>
              <m:t>e</m:t>
            </m:r>
          </m:sub>
        </m:sSub>
      </m:oMath>
      <w:r>
        <w:rPr>
          <w:rFonts w:hint="eastAsia"/>
        </w:rPr>
        <w:t>方向则变化平缓，形成典型的“平底谷“结构。</w:t>
      </w:r>
    </w:p>
    <w:p w14:paraId="207C99E0">
      <w:r>
        <w:rPr>
          <w:rFonts w:hint="eastAsia"/>
        </w:rPr>
        <w:t>这种几何特征的物理含义是：观测数据能够稳定约束</w:t>
      </w:r>
      <m:oMath>
        <m:sSub>
          <m:sSubPr/>
          <m:e>
            <m:r>
              <m:rPr/>
              <m:t>n</m:t>
            </m:r>
          </m:e>
          <m:sub>
            <m:r>
              <m:rPr/>
              <m:t>e</m:t>
            </m:r>
          </m:sub>
        </m:sSub>
      </m:oMath>
      <w:r>
        <w:rPr>
          <w:rFonts w:hint="eastAsia"/>
        </w:rPr>
        <w:t>，却难以为</w:t>
      </w:r>
      <m:oMath>
        <m:sSub>
          <m:sSubPr/>
          <m:e>
            <m:r>
              <m:rPr/>
              <m:t>ν</m:t>
            </m:r>
          </m:e>
          <m:sub>
            <m:r>
              <m:rPr/>
              <m:t>e</m:t>
            </m:r>
          </m:sub>
        </m:sSub>
      </m:oMath>
      <w:r>
        <w:rPr>
          <w:rFonts w:hint="eastAsia"/>
        </w:rPr>
        <w:t>提供足够清晰的辨识信息。因此，联合反演</w:t>
      </w:r>
      <m:oMath>
        <m:r>
          <m:rPr>
            <m:sty m:val="p"/>
          </m:rPr>
          <m:t>(</m:t>
        </m:r>
        <m:sSub>
          <m:sSubPr/>
          <m:e>
            <m:r>
              <m:rPr/>
              <m:t>n</m:t>
            </m:r>
          </m:e>
          <m:sub>
            <m:r>
              <m:rPr/>
              <m:t>e</m:t>
            </m:r>
          </m:sub>
        </m:sSub>
        <m:r>
          <m:rPr>
            <m:sty m:val="p"/>
          </m:rPr>
          <m:t>,</m:t>
        </m:r>
        <m:sSub>
          <m:sSubPr/>
          <m:e>
            <m:r>
              <m:rPr/>
              <m:t>ν</m:t>
            </m:r>
          </m:e>
          <m:sub>
            <m:r>
              <m:rPr/>
              <m:t>e</m:t>
            </m:r>
          </m:sub>
        </m:sSub>
        <m:r>
          <m:rPr>
            <m:sty m:val="p"/>
          </m:rPr>
          <m:t>)</m:t>
        </m:r>
      </m:oMath>
      <w:r>
        <w:rPr>
          <w:rFonts w:hint="eastAsia"/>
        </w:rPr>
        <w:t>会表现出明显的病态性；其根本原因并不在于某一种优化算法本身，而在于群时延观测对</w:t>
      </w:r>
      <m:oMath>
        <m:sSub>
          <m:sSubPr/>
          <m:e>
            <m:r>
              <m:rPr/>
              <m:t>ν</m:t>
            </m:r>
          </m:e>
          <m:sub>
            <m:r>
              <m:rPr/>
              <m:t>e</m:t>
            </m:r>
          </m:sub>
        </m:sSub>
      </m:oMath>
      <w:r>
        <w:rPr>
          <w:rFonts w:hint="eastAsia"/>
        </w:rPr>
        <w:t>缺乏足够可观测性。</w:t>
      </w:r>
    </w:p>
    <w:p w14:paraId="6F2FF5D8"/>
    <w:bookmarkEnd w:id="58"/>
    <w:p w14:paraId="703B7121">
      <w:pPr>
        <w:pStyle w:val="4"/>
      </w:pPr>
      <w:bookmarkStart w:id="59" w:name="反演策略假设预设nu_e以实现参数降维的可行性论证"/>
      <w:r>
        <w:rPr>
          <w:rFonts w:hint="eastAsia"/>
        </w:rPr>
        <w:t>反演策略假设:预设</w:t>
      </w:r>
      <m:oMath>
        <m:sSub>
          <m:sSubPr/>
          <m:e>
            <m:r>
              <m:rPr/>
              <m:t>ν</m:t>
            </m:r>
          </m:e>
          <m:sub>
            <m:r>
              <m:rPr/>
              <m:t>e</m:t>
            </m:r>
          </m:sub>
        </m:sSub>
      </m:oMath>
      <w:r>
        <w:rPr>
          <w:rFonts w:hint="eastAsia"/>
        </w:rPr>
        <w:t>以实现参数降维的可行性论证</w:t>
      </w:r>
    </w:p>
    <w:p w14:paraId="1316AD73">
      <w:r>
        <w:rPr>
          <w:rFonts w:hint="eastAsia"/>
        </w:rPr>
        <w:t>通过4.2.1节的二阶小量分析与4.2.2节的病态性论证，已从多个角度揭示了碰撞频率</w:t>
      </w:r>
      <m:oMath>
        <m:sSub>
          <m:sSubPr/>
          <m:e>
            <m:r>
              <m:rPr/>
              <m:t>ν</m:t>
            </m:r>
          </m:e>
          <m:sub>
            <m:r>
              <m:rPr/>
              <m:t>e</m:t>
            </m:r>
          </m:sub>
        </m:sSub>
      </m:oMath>
      <w:r>
        <w:rPr>
          <w:rFonts w:hint="eastAsia"/>
        </w:rPr>
        <w:t>在时延诊断中的可辨识性困难与联合反演的数值困境。本节进一步给出工程上的处理方式，即在反演过程中将</w:t>
      </w:r>
      <m:oMath>
        <m:sSub>
          <m:sSubPr/>
          <m:e>
            <m:r>
              <m:rPr/>
              <m:t>ν</m:t>
            </m:r>
          </m:e>
          <m:sub>
            <m:r>
              <m:rPr/>
              <m:t>e</m:t>
            </m:r>
          </m:sub>
        </m:sSub>
      </m:oMath>
      <w:r>
        <w:rPr>
          <w:rFonts w:hint="eastAsia"/>
        </w:rPr>
        <w:t>固定为经验常数，仅对电子密度</w:t>
      </w:r>
      <m:oMath>
        <m:sSub>
          <m:sSubPr/>
          <m:e>
            <m:r>
              <m:rPr/>
              <m:t>n</m:t>
            </m:r>
          </m:e>
          <m:sub>
            <m:r>
              <m:rPr/>
              <m:t>e</m:t>
            </m:r>
          </m:sub>
        </m:sSub>
      </m:oMath>
      <w:r>
        <w:rPr>
          <w:rFonts w:hint="eastAsia"/>
        </w:rPr>
        <w:t>进行单参数寻优，并从理论误差传递、工程鲁棒性和算法收敛性等维度论证该策略的可行性。</w:t>
      </w:r>
    </w:p>
    <w:p w14:paraId="43199C7D">
      <w:r>
        <w:rPr>
          <w:rFonts w:hint="eastAsia"/>
        </w:rPr>
        <w:t>参数降维策略的核心关切在于：若预设的</w:t>
      </w:r>
      <m:oMath>
        <m:sSub>
          <m:sSubPr/>
          <m:e>
            <m:r>
              <m:rPr/>
              <m:t>ν</m:t>
            </m:r>
          </m:e>
          <m:sub>
            <m:r>
              <m:rPr/>
              <m:t>e</m:t>
            </m:r>
          </m:sub>
        </m:sSub>
      </m:oMath>
      <w:r>
        <w:rPr>
          <w:rFonts w:hint="eastAsia"/>
        </w:rPr>
        <w:t>值偏离真值，会在多大程度上影响</w:t>
      </w:r>
      <m:oMath>
        <m:sSub>
          <m:sSubPr/>
          <m:e>
            <m:r>
              <m:rPr/>
              <m:t>n</m:t>
            </m:r>
          </m:e>
          <m:sub>
            <m:r>
              <m:rPr/>
              <m:t>e</m:t>
            </m:r>
          </m:sub>
        </m:sSub>
      </m:oMath>
      <w:r>
        <w:rPr>
          <w:rFonts w:hint="eastAsia"/>
        </w:rPr>
        <w:t>的反演精度？为量化这一影响范围，考虑如下误差传递分析。</w:t>
      </w:r>
    </w:p>
    <w:p w14:paraId="60888489">
      <w:r>
        <w:t xml:space="preserve"> </w:t>
      </w:r>
    </w:p>
    <w:p w14:paraId="7F95A316">
      <w:pPr>
        <w:pStyle w:val="44"/>
        <w:spacing w:before="0" w:after="0" w:line="400" w:lineRule="atLeast"/>
      </w:pPr>
      <w:r>
        <w:tab/>
      </w:r>
      <m:oMath>
        <m:sSub>
          <m:sSubPr/>
          <m:e>
            <m:r>
              <m:rPr/>
              <m:t>δ</m:t>
            </m:r>
          </m:e>
          <m:sub>
            <m:r>
              <m:rPr/>
              <m:t>ν</m:t>
            </m:r>
          </m:sub>
        </m:sSub>
        <m:r>
          <m:rPr>
            <m:sty m:val="p"/>
          </m:rPr>
          <m:t>=</m:t>
        </m:r>
        <m:f>
          <m:fPr/>
          <m:num>
            <m:sSubSup>
              <m:sSubSupPr/>
              <m:e>
                <m:r>
                  <m:rPr/>
                  <m:t>ν</m:t>
                </m:r>
              </m:e>
              <m:sub>
                <m:r>
                  <m:rPr/>
                  <m:t>e</m:t>
                </m:r>
              </m:sub>
              <m:sup>
                <m:r>
                  <m:rPr/>
                  <m:t>preset</m:t>
                </m:r>
              </m:sup>
            </m:sSubSup>
            <m:r>
              <m:rPr>
                <m:sty m:val="p"/>
              </m:rPr>
              <m:t>−</m:t>
            </m:r>
            <m:sSubSup>
              <m:sSubSupPr/>
              <m:e>
                <m:r>
                  <m:rPr/>
                  <m:t>ν</m:t>
                </m:r>
              </m:e>
              <m:sub>
                <m:r>
                  <m:rPr/>
                  <m:t>e</m:t>
                </m:r>
              </m:sub>
              <m:sup>
                <m:r>
                  <m:rPr/>
                  <m:t>true</m:t>
                </m:r>
              </m:sup>
            </m:sSubSup>
          </m:num>
          <m:den>
            <m:sSubSup>
              <m:sSubSupPr/>
              <m:e>
                <m:r>
                  <m:rPr/>
                  <m:t>ν</m:t>
                </m:r>
              </m:e>
              <m:sub>
                <m:r>
                  <m:rPr/>
                  <m:t>e</m:t>
                </m:r>
              </m:sub>
              <m:sup>
                <m:r>
                  <m:rPr/>
                  <m:t>true</m:t>
                </m:r>
              </m:sup>
            </m:sSubSup>
          </m:den>
        </m:f>
      </m:oMath>
      <w:r>
        <w:tab/>
      </w:r>
      <w:r>
        <w:t>(4</w:t>
      </w:r>
      <w:r>
        <w:noBreakHyphen/>
      </w:r>
      <w:r>
        <w:t>12)</w:t>
      </w:r>
    </w:p>
    <w:p w14:paraId="101BBEBB">
      <w:r>
        <w:t xml:space="preserve"> </w:t>
      </w:r>
    </w:p>
    <w:p w14:paraId="14D30021">
      <w:r>
        <w:rPr>
          <w:rFonts w:hint="eastAsia"/>
        </w:rPr>
        <w:t>该偏差将通过式(4-4)的二阶项传递到介电常数实部，进而影响理论时延曲线</w:t>
      </w:r>
      <m:oMath>
        <m:sSub>
          <m:sSubPr/>
          <m:e>
            <m:r>
              <m:rPr/>
              <m:t>τ</m:t>
            </m:r>
          </m:e>
          <m:sub>
            <m:r>
              <m:rPr/>
              <m:t>theory</m:t>
            </m:r>
          </m:sub>
        </m:sSub>
        <m:r>
          <m:rPr>
            <m:sty m:val="p"/>
          </m:rPr>
          <m:t>(</m:t>
        </m:r>
        <m:r>
          <m:rPr/>
          <m:t>f</m:t>
        </m:r>
        <m:r>
          <m:rPr>
            <m:sty m:val="p"/>
          </m:rPr>
          <m:t>;</m:t>
        </m:r>
        <m:sSub>
          <m:sSubPr/>
          <m:e>
            <m:r>
              <m:rPr/>
              <m:t>n</m:t>
            </m:r>
          </m:e>
          <m:sub>
            <m:r>
              <m:rPr/>
              <m:t>e</m:t>
            </m:r>
          </m:sub>
        </m:sSub>
        <m:r>
          <m:rPr>
            <m:sty m:val="p"/>
          </m:rPr>
          <m:t>,</m:t>
        </m:r>
        <m:sSubSup>
          <m:sSubSupPr/>
          <m:e>
            <m:r>
              <m:rPr/>
              <m:t>ν</m:t>
            </m:r>
          </m:e>
          <m:sub>
            <m:r>
              <m:rPr/>
              <m:t>e</m:t>
            </m:r>
          </m:sub>
          <m:sup>
            <m:r>
              <m:rPr/>
              <m:t>preset</m:t>
            </m:r>
          </m:sup>
        </m:sSubSup>
        <m:r>
          <m:rPr>
            <m:sty m:val="p"/>
          </m:rPr>
          <m:t>)</m:t>
        </m:r>
      </m:oMath>
      <w:r>
        <w:rPr>
          <w:rFonts w:hint="eastAsia"/>
        </w:rPr>
        <w:t>。根据泰勒展开，当</w:t>
      </w:r>
      <m:oMath>
        <m:sSub>
          <m:sSubPr/>
          <m:e>
            <m:r>
              <m:rPr/>
              <m:t>δ</m:t>
            </m:r>
          </m:e>
          <m:sub>
            <m:r>
              <m:rPr/>
              <m:t>ν</m:t>
            </m:r>
          </m:sub>
        </m:sSub>
      </m:oMath>
      <w:r>
        <w:rPr>
          <w:rFonts w:hint="eastAsia"/>
        </w:rPr>
        <w:t>较小时，时延的附加偏差为：</w:t>
      </w:r>
    </w:p>
    <w:p w14:paraId="6795FA2E">
      <w:r>
        <w:t xml:space="preserve"> </w:t>
      </w:r>
    </w:p>
    <w:p w14:paraId="1D1A70FC">
      <w:pPr>
        <w:pStyle w:val="44"/>
        <w:spacing w:before="0" w:after="0" w:line="400" w:lineRule="atLeast"/>
      </w:pPr>
      <w:r>
        <w:tab/>
      </w:r>
      <m:oMath>
        <m:r>
          <m:rPr>
            <m:sty m:val="p"/>
          </m:rPr>
          <m:t>Δ</m:t>
        </m:r>
        <m:sSub>
          <m:sSubPr/>
          <m:e>
            <m:r>
              <m:rPr/>
              <m:t>τ</m:t>
            </m:r>
          </m:e>
          <m:sub>
            <m:r>
              <m:rPr/>
              <m:t>sys</m:t>
            </m:r>
          </m:sub>
        </m:sSub>
        <m:r>
          <m:rPr>
            <m:sty m:val="p"/>
          </m:rPr>
          <m:t>≈</m:t>
        </m:r>
        <m:f>
          <m:fPr/>
          <m:num>
            <m:r>
              <m:rPr>
                <m:sty m:val="p"/>
              </m:rPr>
              <m:t>∂</m:t>
            </m:r>
            <m:r>
              <m:rPr/>
              <m:t>τ</m:t>
            </m:r>
          </m:num>
          <m:den>
            <m:r>
              <m:rPr>
                <m:sty m:val="p"/>
              </m:rPr>
              <m:t>∂</m:t>
            </m:r>
            <m:sSub>
              <m:sSubPr/>
              <m:e>
                <m:r>
                  <m:rPr/>
                  <m:t>ν</m:t>
                </m:r>
              </m:e>
              <m:sub>
                <m:r>
                  <m:rPr/>
                  <m:t>e</m:t>
                </m:r>
              </m:sub>
            </m:sSub>
          </m:den>
        </m:f>
        <m:r>
          <m:rPr>
            <m:sty m:val="p"/>
          </m:rPr>
          <m:t>⋅(</m:t>
        </m:r>
        <m:sSubSup>
          <m:sSubSupPr/>
          <m:e>
            <m:r>
              <m:rPr/>
              <m:t>ν</m:t>
            </m:r>
          </m:e>
          <m:sub>
            <m:r>
              <m:rPr/>
              <m:t>e</m:t>
            </m:r>
          </m:sub>
          <m:sup>
            <m:r>
              <m:rPr/>
              <m:t>preset</m:t>
            </m:r>
          </m:sup>
        </m:sSubSup>
        <m:r>
          <m:rPr>
            <m:sty m:val="p"/>
          </m:rPr>
          <m:t>−</m:t>
        </m:r>
        <m:sSubSup>
          <m:sSubSupPr/>
          <m:e>
            <m:r>
              <m:rPr/>
              <m:t>ν</m:t>
            </m:r>
          </m:e>
          <m:sub>
            <m:r>
              <m:rPr/>
              <m:t>e</m:t>
            </m:r>
          </m:sub>
          <m:sup>
            <m:r>
              <m:rPr/>
              <m:t>true</m:t>
            </m:r>
          </m:sup>
        </m:sSubSup>
        <m:r>
          <m:rPr>
            <m:sty m:val="p"/>
          </m:rPr>
          <m:t>)</m:t>
        </m:r>
      </m:oMath>
      <w:r>
        <w:tab/>
      </w:r>
      <w:r>
        <w:t>(4</w:t>
      </w:r>
      <w:r>
        <w:noBreakHyphen/>
      </w:r>
      <w:r>
        <w:t>13)</w:t>
      </w:r>
    </w:p>
    <w:p w14:paraId="12FB7B53">
      <w:r>
        <w:t xml:space="preserve"> </w:t>
      </w:r>
    </w:p>
    <w:p w14:paraId="1BF8AE16">
      <w:r>
        <w:rPr>
          <w:rFonts w:hint="eastAsia"/>
        </w:rPr>
        <w:t>结合前文关于参数灵敏度量级的分析，对于典型参数</w:t>
      </w:r>
      <m:oMath>
        <m:r>
          <m:rPr/>
          <m:t>d</m:t>
        </m:r>
        <m:r>
          <m:rPr>
            <m:sty m:val="p"/>
          </m:rPr>
          <m:t>=</m:t>
        </m:r>
        <m:r>
          <m:rPr/>
          <m:t>0.15</m:t>
        </m:r>
      </m:oMath>
      <w:r>
        <w:t xml:space="preserve"> m、</w:t>
      </w:r>
      <m:oMath>
        <m:r>
          <m:rPr/>
          <m:t>f</m:t>
        </m:r>
        <m:r>
          <m:rPr>
            <m:sty m:val="p"/>
          </m:rPr>
          <m:t>=</m:t>
        </m:r>
        <m:r>
          <m:rPr/>
          <m:t>34</m:t>
        </m:r>
      </m:oMath>
      <w:r>
        <w:t xml:space="preserve"> GHz、</w:t>
      </w:r>
      <m:oMath>
        <m:sSub>
          <m:sSubPr/>
          <m:e>
            <m:r>
              <m:rPr/>
              <m:t>δ</m:t>
            </m:r>
          </m:e>
          <m:sub>
            <m:r>
              <m:rPr/>
              <m:t>ν</m:t>
            </m:r>
          </m:sub>
        </m:sSub>
        <m:r>
          <m:rPr>
            <m:sty m:val="p"/>
          </m:rPr>
          <m:t>=</m:t>
        </m:r>
        <m:r>
          <m:rPr/>
          <m:t>50</m:t>
        </m:r>
        <m:r>
          <m:rPr>
            <m:sty m:val="p"/>
          </m:rPr>
          <m:t>%</m:t>
        </m:r>
      </m:oMath>
      <w:r>
        <w:rPr>
          <w:rFonts w:hint="eastAsia"/>
        </w:rPr>
        <w:t>的情形，可估算得到：</w:t>
      </w:r>
    </w:p>
    <w:p w14:paraId="689C725B">
      <w:r>
        <w:t xml:space="preserve"> </w:t>
      </w:r>
    </w:p>
    <w:p w14:paraId="237CDD8B">
      <w:pPr>
        <w:pStyle w:val="44"/>
        <w:spacing w:before="0" w:after="0" w:line="400" w:lineRule="atLeast"/>
      </w:pPr>
      <w:r>
        <w:tab/>
      </w:r>
      <m:oMath>
        <m:r>
          <m:rPr>
            <m:sty m:val="p"/>
          </m:rPr>
          <m:t>|Δ</m:t>
        </m:r>
        <m:sSub>
          <m:sSubPr/>
          <m:e>
            <m:r>
              <m:rPr/>
              <m:t>τ</m:t>
            </m:r>
          </m:e>
          <m:sub>
            <m:r>
              <m:rPr/>
              <m:t>sys</m:t>
            </m:r>
          </m:sub>
        </m:sSub>
        <m:r>
          <m:rPr>
            <m:sty m:val="p"/>
          </m:rPr>
          <m:t>|∼</m:t>
        </m:r>
        <m:sSup>
          <m:sSupPr/>
          <m:e>
            <m:r>
              <m:rPr/>
              <m:t>10</m:t>
            </m:r>
          </m:e>
          <m:sup>
            <m:r>
              <m:rPr>
                <m:sty m:val="p"/>
              </m:rPr>
              <m:t>−</m:t>
            </m:r>
            <m:r>
              <m:rPr/>
              <m:t>32</m:t>
            </m:r>
          </m:sup>
        </m:sSup>
        <m:r>
          <m:rPr>
            <m:sty m:val="p"/>
          </m:rPr>
          <m:t>×(</m:t>
        </m:r>
        <m:r>
          <m:rPr/>
          <m:t>0.5</m:t>
        </m:r>
        <m:r>
          <m:rPr>
            <m:sty m:val="p"/>
          </m:rPr>
          <m:t>×</m:t>
        </m:r>
        <m:r>
          <m:rPr/>
          <m:t>1.5</m:t>
        </m:r>
        <m:r>
          <m:rPr>
            <m:sty m:val="p"/>
          </m:rPr>
          <m:t>×</m:t>
        </m:r>
        <m:sSup>
          <m:sSupPr/>
          <m:e>
            <m:r>
              <m:rPr/>
              <m:t>10</m:t>
            </m:r>
          </m:e>
          <m:sup>
            <m:r>
              <m:rPr/>
              <m:t>9</m:t>
            </m:r>
          </m:sup>
        </m:sSup>
        <m:r>
          <m:rPr>
            <m:sty m:val="p"/>
          </m:rPr>
          <m:t>)≈</m:t>
        </m:r>
        <m:r>
          <m:rPr/>
          <m:t>0.01</m:t>
        </m:r>
        <m:r>
          <m:rPr>
            <m:nor/>
            <m:sty m:val="p"/>
          </m:rPr>
          <w:rPr>
            <w:b w:val="0"/>
            <w:i w:val="0"/>
          </w:rPr>
          <m:t>ps</m:t>
        </m:r>
      </m:oMath>
      <w:r>
        <w:tab/>
      </w:r>
      <w:r>
        <w:t>(4</w:t>
      </w:r>
      <w:r>
        <w:noBreakHyphen/>
      </w:r>
      <w:r>
        <w:t>14)</w:t>
      </w:r>
    </w:p>
    <w:p w14:paraId="4FE2D918">
      <w:r>
        <w:t xml:space="preserve"> </w:t>
      </w:r>
    </w:p>
    <w:p w14:paraId="66B5BA59">
      <w:r>
        <w:rPr>
          <w:rFonts w:hint="eastAsia"/>
        </w:rPr>
        <w:t>该系统性时延偏差远小于现有硬件的测量不确定度（约0.1</w:t>
      </w:r>
      <w:r>
        <w:t xml:space="preserve"> ns = 100 </w:t>
      </w:r>
      <w:r>
        <w:rPr>
          <w:rFonts w:hint="eastAsia"/>
        </w:rPr>
        <w:t>ps），甚至小于数字采集系统的量化误差。即便</w:t>
      </w:r>
      <m:oMath>
        <m:sSub>
          <m:sSubPr/>
          <m:e>
            <m:r>
              <m:rPr/>
              <m:t>ν</m:t>
            </m:r>
          </m:e>
          <m:sub>
            <m:r>
              <m:rPr/>
              <m:t>e</m:t>
            </m:r>
          </m:sub>
        </m:sSub>
      </m:oMath>
      <w:r>
        <w:rPr>
          <w:rFonts w:hint="eastAsia"/>
        </w:rPr>
        <w:t>的预设值存在</w:t>
      </w:r>
      <m:oMath>
        <m:r>
          <m:rPr>
            <m:sty m:val="p"/>
          </m:rPr>
          <m:t>±</m:t>
        </m:r>
        <m:r>
          <m:rPr/>
          <m:t>50</m:t>
        </m:r>
        <m:r>
          <m:rPr>
            <m:sty m:val="p"/>
          </m:rPr>
          <m:t>%</m:t>
        </m:r>
      </m:oMath>
      <w:r>
        <w:rPr>
          <w:rFonts w:hint="eastAsia"/>
        </w:rPr>
        <w:t>的误差，其引入的时延模型失配在工程测量精度下也不易被观测到。</w:t>
      </w:r>
    </w:p>
    <w:p w14:paraId="4630EDE9">
      <w:r>
        <w:rPr>
          <w:rFonts w:hint="eastAsia"/>
        </w:rPr>
        <w:t>进一步地，该时延偏差在反演过程中会被归因为</w:t>
      </w:r>
      <m:oMath>
        <m:sSub>
          <m:sSubPr/>
          <m:e>
            <m:r>
              <m:rPr/>
              <m:t>n</m:t>
            </m:r>
          </m:e>
          <m:sub>
            <m:r>
              <m:rPr/>
              <m:t>e</m:t>
            </m:r>
          </m:sub>
        </m:sSub>
      </m:oMath>
      <w:r>
        <w:rPr>
          <w:rFonts w:hint="eastAsia"/>
        </w:rPr>
        <w:t>的微小偏移。根据前文对</w:t>
      </w:r>
      <m:oMath>
        <m:sSub>
          <m:sSubPr/>
          <m:e>
            <m:r>
              <m:rPr/>
              <m:t>n</m:t>
            </m:r>
          </m:e>
          <m:sub>
            <m:r>
              <m:rPr/>
              <m:t>e</m:t>
            </m:r>
          </m:sub>
        </m:sSub>
      </m:oMath>
      <w:r>
        <w:rPr>
          <w:rFonts w:hint="eastAsia"/>
        </w:rPr>
        <w:t>灵敏度的量级分析，补偿</w:t>
      </w:r>
      <m:oMath>
        <m:r>
          <m:rPr>
            <m:sty m:val="p"/>
          </m:rPr>
          <m:t>Δ</m:t>
        </m:r>
        <m:sSub>
          <m:sSubPr/>
          <m:e>
            <m:r>
              <m:rPr/>
              <m:t>τ</m:t>
            </m:r>
          </m:e>
          <m:sub>
            <m:r>
              <m:rPr/>
              <m:t>sys</m:t>
            </m:r>
          </m:sub>
        </m:sSub>
      </m:oMath>
      <w:r>
        <w:rPr>
          <w:rFonts w:hint="eastAsia"/>
        </w:rPr>
        <w:t>所需的</w:t>
      </w:r>
      <m:oMath>
        <m:sSub>
          <m:sSubPr/>
          <m:e>
            <m:r>
              <m:rPr/>
              <m:t>n</m:t>
            </m:r>
          </m:e>
          <m:sub>
            <m:r>
              <m:rPr/>
              <m:t>e</m:t>
            </m:r>
          </m:sub>
        </m:sSub>
      </m:oMath>
      <w:r>
        <w:rPr>
          <w:rFonts w:hint="eastAsia"/>
        </w:rPr>
        <w:t>修正量约为：</w:t>
      </w:r>
    </w:p>
    <w:p w14:paraId="3CF027C4">
      <w:r>
        <w:t xml:space="preserve"> </w:t>
      </w:r>
    </w:p>
    <w:p w14:paraId="648A9144">
      <w:pPr>
        <w:pStyle w:val="44"/>
        <w:spacing w:before="0" w:after="0" w:line="400" w:lineRule="atLeast"/>
      </w:pPr>
      <w:r>
        <w:tab/>
      </w:r>
      <m:oMath>
        <m:r>
          <m:rPr>
            <m:sty m:val="p"/>
          </m:rPr>
          <m:t>Δ</m:t>
        </m:r>
        <m:sSub>
          <m:sSubPr/>
          <m:e>
            <m:r>
              <m:rPr/>
              <m:t>n</m:t>
            </m:r>
          </m:e>
          <m:sub>
            <m:r>
              <m:rPr/>
              <m:t>e</m:t>
            </m:r>
          </m:sub>
        </m:sSub>
        <m:r>
          <m:rPr>
            <m:sty m:val="p"/>
          </m:rPr>
          <m:t>∼</m:t>
        </m:r>
        <m:f>
          <m:fPr/>
          <m:num>
            <m:r>
              <m:rPr>
                <m:sty m:val="p"/>
              </m:rPr>
              <m:t>Δ</m:t>
            </m:r>
            <m:sSub>
              <m:sSubPr/>
              <m:e>
                <m:r>
                  <m:rPr/>
                  <m:t>τ</m:t>
                </m:r>
              </m:e>
              <m:sub>
                <m:r>
                  <m:rPr/>
                  <m:t>sys</m:t>
                </m:r>
              </m:sub>
            </m:sSub>
          </m:num>
          <m:den>
            <m:r>
              <m:rPr>
                <m:sty m:val="p"/>
              </m:rPr>
              <m:t>∂</m:t>
            </m:r>
            <m:r>
              <m:rPr/>
              <m:t>τ</m:t>
            </m:r>
            <m:r>
              <m:rPr>
                <m:sty m:val="p"/>
              </m:rPr>
              <m:t>/∂</m:t>
            </m:r>
            <m:sSub>
              <m:sSubPr/>
              <m:e>
                <m:r>
                  <m:rPr/>
                  <m:t>n</m:t>
                </m:r>
              </m:e>
              <m:sub>
                <m:r>
                  <m:rPr/>
                  <m:t>e</m:t>
                </m:r>
              </m:sub>
            </m:sSub>
          </m:den>
        </m:f>
        <m:r>
          <m:rPr>
            <m:sty m:val="p"/>
          </m:rPr>
          <m:t>≈</m:t>
        </m:r>
        <m:r>
          <m:rPr/>
          <m:t>1</m:t>
        </m:r>
        <m:r>
          <m:rPr>
            <m:sty m:val="p"/>
          </m:rPr>
          <m:t>%×</m:t>
        </m:r>
        <m:sSub>
          <m:sSubPr/>
          <m:e>
            <m:r>
              <m:rPr/>
              <m:t>n</m:t>
            </m:r>
          </m:e>
          <m:sub>
            <m:r>
              <m:rPr/>
              <m:t>e</m:t>
            </m:r>
          </m:sub>
        </m:sSub>
      </m:oMath>
      <w:r>
        <w:tab/>
      </w:r>
      <w:r>
        <w:t>(4</w:t>
      </w:r>
      <w:r>
        <w:noBreakHyphen/>
      </w:r>
      <w:r>
        <w:t>15)</w:t>
      </w:r>
    </w:p>
    <w:p w14:paraId="3E7B7580">
      <w:r>
        <w:t xml:space="preserve"> </w:t>
      </w:r>
    </w:p>
    <w:p w14:paraId="48DB1D2B">
      <w:r>
        <w:rPr>
          <w:rFonts w:hint="eastAsia"/>
        </w:rPr>
        <w:t>即碰撞频率的</w:t>
      </w:r>
      <m:oMath>
        <m:r>
          <m:rPr/>
          <m:t>50</m:t>
        </m:r>
        <m:r>
          <m:rPr>
            <m:sty m:val="p"/>
          </m:rPr>
          <m:t>%</m:t>
        </m:r>
      </m:oMath>
      <w:r>
        <w:rPr>
          <w:rFonts w:hint="eastAsia"/>
        </w:rPr>
        <w:t>不确定度可能引入电子密度反演结果约</w:t>
      </w:r>
      <m:oMath>
        <m:r>
          <m:rPr/>
          <m:t>1</m:t>
        </m:r>
        <m:r>
          <m:rPr>
            <m:sty m:val="p"/>
          </m:rPr>
          <m:t>%</m:t>
        </m:r>
      </m:oMath>
      <w:r>
        <w:rPr>
          <w:rFonts w:hint="eastAsia"/>
        </w:rPr>
        <w:t>的相对偏差，该量级通常在诊断系统的工程精度要求范围内（一般为5-10%）。这从定量层面验证了参数降维策略的鲁棒性：主参数</w:t>
      </w:r>
      <m:oMath>
        <m:sSub>
          <m:sSubPr/>
          <m:e>
            <m:r>
              <m:rPr/>
              <m:t>n</m:t>
            </m:r>
          </m:e>
          <m:sub>
            <m:r>
              <m:rPr/>
              <m:t>e</m:t>
            </m:r>
          </m:sub>
        </m:sSub>
      </m:oMath>
      <w:r>
        <w:rPr>
          <w:rFonts w:hint="eastAsia"/>
        </w:rPr>
        <w:t>的反演对次级参数</w:t>
      </w:r>
      <m:oMath>
        <m:sSub>
          <m:sSubPr/>
          <m:e>
            <m:r>
              <m:rPr/>
              <m:t>ν</m:t>
            </m:r>
          </m:e>
          <m:sub>
            <m:r>
              <m:rPr/>
              <m:t>e</m:t>
            </m:r>
          </m:sub>
        </m:sSub>
      </m:oMath>
      <w:r>
        <w:rPr>
          <w:rFonts w:hint="eastAsia"/>
        </w:rPr>
        <w:t>的预设偏差具有较强的容忍能力。</w:t>
      </w:r>
    </w:p>
    <w:p w14:paraId="5962FAE1">
      <w:r>
        <w:rPr>
          <w:rFonts w:hint="eastAsia"/>
        </w:rPr>
        <w:t>从工程实施角度看，</w:t>
      </w:r>
      <m:oMath>
        <m:sSub>
          <m:sSubPr/>
          <m:e>
            <m:r>
              <m:rPr/>
              <m:t>ν</m:t>
            </m:r>
          </m:e>
          <m:sub>
            <m:r>
              <m:rPr/>
              <m:t>e</m:t>
            </m:r>
          </m:sub>
        </m:sSub>
      </m:oMath>
      <w:r>
        <w:rPr>
          <w:rFonts w:hint="eastAsia"/>
        </w:rPr>
        <w:t>的预设值可依据待测场景的典型工况范围给出量级估计，例如结合气压、温度或已有文献经验选取</w:t>
      </w:r>
      <m:oMath>
        <m:r>
          <m:rPr/>
          <m:t>1</m:t>
        </m:r>
        <m:r>
          <m:rPr>
            <m:sty m:val="p"/>
          </m:rPr>
          <m:t>∼</m:t>
        </m:r>
        <m:r>
          <m:rPr/>
          <m:t>3</m:t>
        </m:r>
      </m:oMath>
      <w:r>
        <w:t xml:space="preserve"> </w:t>
      </w:r>
      <w:r>
        <w:rPr>
          <w:rFonts w:hint="eastAsia"/>
        </w:rPr>
        <w:t>GHz的代表值。由于前述误差传递分析已经表明，</w:t>
      </w:r>
      <m:oMath>
        <m:sSub>
          <m:sSubPr/>
          <m:e>
            <m:r>
              <m:rPr/>
              <m:t>ν</m:t>
            </m:r>
          </m:e>
          <m:sub>
            <m:r>
              <m:rPr/>
              <m:t>e</m:t>
            </m:r>
          </m:sub>
        </m:sSub>
      </m:oMath>
      <w:r>
        <w:rPr>
          <w:rFonts w:hint="eastAsia"/>
        </w:rPr>
        <w:t>的合理失配只会在较小程度上影响主参数</w:t>
      </w:r>
      <m:oMath>
        <m:sSub>
          <m:sSubPr/>
          <m:e>
            <m:r>
              <m:rPr/>
              <m:t>n</m:t>
            </m:r>
          </m:e>
          <m:sub>
            <m:r>
              <m:rPr/>
              <m:t>e</m:t>
            </m:r>
          </m:sub>
        </m:sSub>
      </m:oMath>
      <w:r>
        <w:rPr>
          <w:rFonts w:hint="eastAsia"/>
        </w:rPr>
        <w:t>的反演结果，因此对本文诊断链路而言，经验量级上的预设已足以支撑后续计算，无需在时延通道内进一步追求其精确识别。</w:t>
      </w:r>
    </w:p>
    <w:p w14:paraId="5595DDE8">
      <w:r>
        <w:rPr>
          <w:rFonts w:hint="eastAsia"/>
        </w:rPr>
        <w:t>从计算复杂度角度看，参数降维策略带来的另一优势是算法收敛性的改善。在单参数寻优框架下，目标函数</w:t>
      </w:r>
      <m:oMath>
        <m:r>
          <m:rPr/>
          <m:t>J</m:t>
        </m:r>
        <m:r>
          <m:rPr>
            <m:sty m:val="p"/>
          </m:rPr>
          <m:t>(</m:t>
        </m:r>
        <m:sSub>
          <m:sSubPr/>
          <m:e>
            <m:r>
              <m:rPr/>
              <m:t>n</m:t>
            </m:r>
          </m:e>
          <m:sub>
            <m:r>
              <m:rPr/>
              <m:t>e</m:t>
            </m:r>
          </m:sub>
        </m:sSub>
        <m:r>
          <m:rPr>
            <m:sty m:val="p"/>
          </m:rPr>
          <m:t>)</m:t>
        </m:r>
      </m:oMath>
      <w:r>
        <w:rPr>
          <w:rFonts w:hint="eastAsia"/>
        </w:rPr>
        <w:t>（固定</w:t>
      </w:r>
      <m:oMath>
        <m:sSub>
          <m:sSubPr/>
          <m:e>
            <m:r>
              <m:rPr/>
              <m:t>ν</m:t>
            </m:r>
          </m:e>
          <m:sub>
            <m:r>
              <m:rPr/>
              <m:t>e</m:t>
            </m:r>
          </m:sub>
        </m:sSub>
        <m:r>
          <m:rPr>
            <m:sty m:val="p"/>
          </m:rPr>
          <m:t>=</m:t>
        </m:r>
        <m:sSubSup>
          <m:sSubSupPr/>
          <m:e>
            <m:r>
              <m:rPr/>
              <m:t>ν</m:t>
            </m:r>
          </m:e>
          <m:sub>
            <m:r>
              <m:rPr/>
              <m:t>e</m:t>
            </m:r>
          </m:sub>
          <m:sup>
            <m:r>
              <m:rPr/>
              <m:t>preset</m:t>
            </m:r>
          </m:sup>
        </m:sSubSup>
      </m:oMath>
      <w:r>
        <w:rPr>
          <w:rFonts w:hint="eastAsia"/>
        </w:rPr>
        <w:t>）通常退化为单峰函数，梯度方向较为明确；在本文所采用的单参数仿真场景下，LM算法通常表现出较快的收敛特性。而双参数联合反演则面临高条件数Hessian矩阵的求逆困难，更容易出现迭代振荡或停滞。</w:t>
      </w:r>
    </w:p>
    <w:p w14:paraId="529579CD">
      <w:r>
        <w:rPr>
          <w:rFonts w:hint="eastAsia"/>
        </w:rPr>
        <w:t>单参数框架下的初值依赖性也明显降低。由于</w:t>
      </w:r>
      <m:oMath>
        <m:sSub>
          <m:sSubPr/>
          <m:e>
            <m:r>
              <m:rPr/>
              <m:t>n</m:t>
            </m:r>
          </m:e>
          <m:sub>
            <m:r>
              <m:rPr/>
              <m:t>e</m:t>
            </m:r>
          </m:sub>
        </m:sSub>
      </m:oMath>
      <w:r>
        <w:rPr>
          <w:rFonts w:hint="eastAsia"/>
        </w:rPr>
        <w:t>对时延的影响是单调且强非线性，即便初始猜测值偏离真值50%，梯度下降通常仍能逼近全局最优。而在双参数空间中，平底谷结构导致不同初值可能收敛到参数空间中不同的局部解，降低了物理可靠性。</w:t>
      </w:r>
    </w:p>
    <w:p w14:paraId="3EA4A5D1">
      <w:r>
        <w:rPr>
          <w:rFonts w:hint="eastAsia"/>
        </w:rPr>
        <w:t>从工程实现的角度，单参数反演还简化了先验约束的设定。在后文的贝叶斯框架中，仅需为</w:t>
      </w:r>
      <m:oMath>
        <m:sSub>
          <m:sSubPr/>
          <m:e>
            <m:r>
              <m:rPr/>
              <m:t>n</m:t>
            </m:r>
          </m:e>
          <m:sub>
            <m:r>
              <m:rPr/>
              <m:t>e</m:t>
            </m:r>
          </m:sub>
        </m:sSub>
      </m:oMath>
      <w:r>
        <w:rPr>
          <w:rFonts w:hint="eastAsia"/>
        </w:rPr>
        <w:t>指定合理的搜索边界（如</w:t>
      </w:r>
      <m:oMath>
        <m:sSup>
          <m:sSupPr/>
          <m:e>
            <m:r>
              <m:rPr/>
              <m:t>10</m:t>
            </m:r>
          </m:e>
          <m:sup>
            <m:r>
              <m:rPr/>
              <m:t>17</m:t>
            </m:r>
          </m:sup>
        </m:sSup>
        <m:r>
          <m:rPr>
            <m:sty m:val="p"/>
          </m:rPr>
          <m:t>−</m:t>
        </m:r>
        <m:sSup>
          <m:sSupPr/>
          <m:e>
            <m:r>
              <m:rPr/>
              <m:t>10</m:t>
            </m:r>
          </m:e>
          <m:sup>
            <m:r>
              <m:rPr/>
              <m:t>20</m:t>
            </m:r>
          </m:sup>
        </m:sSup>
      </m:oMath>
      <w:r>
        <w:t xml:space="preserve"> m</w:t>
      </w:r>
      <m:oMath>
        <m:sSup>
          <m:sSupPr/>
          <m:e>
            <m:r>
              <m:rPr/>
              <m:t>​</m:t>
            </m:r>
          </m:e>
          <m:sup>
            <m:r>
              <m:rPr>
                <m:sty m:val="p"/>
              </m:rPr>
              <m:t>−</m:t>
            </m:r>
            <m:r>
              <m:rPr/>
              <m:t>3</m:t>
            </m:r>
          </m:sup>
        </m:sSup>
      </m:oMath>
      <w:r>
        <w:rPr>
          <w:rFonts w:hint="eastAsia"/>
        </w:rPr>
        <w:t>），而无需为</w:t>
      </w:r>
      <m:oMath>
        <m:sSub>
          <m:sSubPr/>
          <m:e>
            <m:r>
              <m:rPr/>
              <m:t>ν</m:t>
            </m:r>
          </m:e>
          <m:sub>
            <m:r>
              <m:rPr/>
              <m:t>e</m:t>
            </m:r>
          </m:sub>
        </m:sSub>
      </m:oMath>
      <w:r>
        <w:rPr>
          <w:rFonts w:hint="eastAsia"/>
        </w:rPr>
        <w:t>构造复杂的物理先验分布。这不仅降低了算法调参难度，也有利于提升实时诊断系统的计算效率。</w:t>
      </w:r>
    </w:p>
    <w:p w14:paraId="27614E10">
      <w:r>
        <w:rPr>
          <w:rFonts w:hint="eastAsia"/>
        </w:rPr>
        <w:t>本节通过误差传递分析（式(4-14)、式(4-15)）以及前文给出的参数灵敏度比较，已经足以说明参数降维策略的合理性。相关统计量统一在后文结合图4-11、图4-12以及表4-6至表4-7给出；对本文而言，后续工程求解只保留</w:t>
      </w:r>
      <m:oMath>
        <m:sSub>
          <m:sSubPr/>
          <m:e>
            <m:r>
              <m:rPr/>
              <m:t>n</m:t>
            </m:r>
          </m:e>
          <m:sub>
            <m:r>
              <m:rPr/>
              <m:t>e</m:t>
            </m:r>
          </m:sub>
        </m:sSub>
      </m:oMath>
      <w:r>
        <w:rPr>
          <w:rFonts w:hint="eastAsia"/>
        </w:rPr>
        <w:t>这一主反演参数。</w:t>
      </w:r>
    </w:p>
    <w:p w14:paraId="5E6482D4">
      <w:r>
        <w:pict>
          <v:rect id="_x0000_i1034" o:spt="1" style="height:1.5pt;width:0pt;" coordsize="21600,21600" o:hr="t" o:hrstd="t" o:hralign="center">
            <v:path/>
            <v:fill focussize="0,0"/>
            <v:stroke/>
            <v:imagedata o:title=""/>
            <o:lock v:ext="edit"/>
            <w10:wrap type="none"/>
            <w10:anchorlock/>
          </v:rect>
        </w:pict>
      </w:r>
    </w:p>
    <w:bookmarkEnd w:id="59"/>
    <w:p w14:paraId="5E4A3381">
      <w:pPr>
        <w:pStyle w:val="4"/>
      </w:pPr>
      <w:bookmarkStart w:id="60" w:name="本节小结"/>
      <w:r>
        <w:rPr>
          <w:rFonts w:hint="eastAsia"/>
        </w:rPr>
        <w:t>本节小结</w:t>
      </w:r>
    </w:p>
    <w:p w14:paraId="3E27DB17">
      <w:r>
        <w:rPr>
          <w:rFonts w:hint="eastAsia"/>
        </w:rPr>
        <w:t>本节的落点只有一个：在群时延主导的LFMCW诊断场景中，碰撞频率</w:t>
      </w:r>
      <m:oMath>
        <m:sSub>
          <m:sSubPr/>
          <m:e>
            <m:r>
              <m:rPr/>
              <m:t>ν</m:t>
            </m:r>
          </m:e>
          <m:sub>
            <m:r>
              <m:rPr/>
              <m:t>e</m:t>
            </m:r>
          </m:sub>
        </m:sSub>
      </m:oMath>
      <w:r>
        <w:rPr>
          <w:rFonts w:hint="eastAsia"/>
        </w:rPr>
        <w:t>不应进入主反演变量集。</w:t>
      </w:r>
    </w:p>
    <w:p w14:paraId="1DB2D7FB">
      <w:r>
        <w:rPr>
          <w:rFonts w:hint="eastAsia"/>
        </w:rPr>
        <w:t>4.2.1节说明了</w:t>
      </w:r>
      <m:oMath>
        <m:sSub>
          <m:sSubPr/>
          <m:e>
            <m:r>
              <m:rPr/>
              <m:t>ν</m:t>
            </m:r>
          </m:e>
          <m:sub>
            <m:r>
              <m:rPr/>
              <m:t>e</m:t>
            </m:r>
          </m:sub>
        </m:sSub>
      </m:oMath>
      <w:r>
        <w:rPr>
          <w:rFonts w:hint="eastAsia"/>
        </w:rPr>
        <w:t>对介电常数实部和群时延的影响属于</w:t>
      </w:r>
      <m:oMath>
        <m:r>
          <m:rPr>
            <m:sty m:val="p"/>
          </m:rPr>
          <m:t>(</m:t>
        </m:r>
        <m:sSub>
          <m:sSubPr/>
          <m:e>
            <m:r>
              <m:rPr/>
              <m:t>ν</m:t>
            </m:r>
          </m:e>
          <m:sub>
            <m:r>
              <m:rPr/>
              <m:t>e</m:t>
            </m:r>
          </m:sub>
        </m:sSub>
        <m:r>
          <m:rPr>
            <m:sty m:val="p"/>
          </m:rPr>
          <m:t>/</m:t>
        </m:r>
        <m:r>
          <m:rPr/>
          <m:t>ω</m:t>
        </m:r>
        <m:sSup>
          <m:sSupPr/>
          <m:e>
            <m:r>
              <m:rPr>
                <m:sty m:val="p"/>
              </m:rPr>
              <m:t>)</m:t>
            </m:r>
          </m:e>
          <m:sup>
            <m:r>
              <m:rPr/>
              <m:t>2</m:t>
            </m:r>
          </m:sup>
        </m:sSup>
      </m:oMath>
      <w:r>
        <w:rPr>
          <w:rFonts w:hint="eastAsia"/>
        </w:rPr>
        <w:t>量级的二阶微扰，而</w:t>
      </w:r>
      <m:oMath>
        <m:sSub>
          <m:sSubPr/>
          <m:e>
            <m:r>
              <m:rPr/>
              <m:t>n</m:t>
            </m:r>
          </m:e>
          <m:sub>
            <m:r>
              <m:rPr/>
              <m:t>e</m:t>
            </m:r>
          </m:sub>
        </m:sSub>
      </m:oMath>
      <w:r>
        <w:rPr>
          <w:rFonts w:hint="eastAsia"/>
        </w:rPr>
        <w:t>通过</w:t>
      </w:r>
      <m:oMath>
        <m:sSub>
          <m:sSubPr/>
          <m:e>
            <m:r>
              <m:rPr/>
              <m:t>ω</m:t>
            </m:r>
          </m:e>
          <m:sub>
            <m:r>
              <m:rPr/>
              <m:t>p</m:t>
            </m:r>
          </m:sub>
        </m:sSub>
      </m:oMath>
      <w:r>
        <w:rPr>
          <w:rFonts w:hint="eastAsia"/>
        </w:rPr>
        <w:t>直接控制主导时延项；4.2.2节进一步表明，若强行联合反演</w:t>
      </w:r>
      <m:oMath>
        <m:r>
          <m:rPr>
            <m:sty m:val="p"/>
          </m:rPr>
          <m:t>(</m:t>
        </m:r>
        <m:sSub>
          <m:sSubPr/>
          <m:e>
            <m:r>
              <m:rPr/>
              <m:t>n</m:t>
            </m:r>
          </m:e>
          <m:sub>
            <m:r>
              <m:rPr/>
              <m:t>e</m:t>
            </m:r>
          </m:sub>
        </m:sSub>
        <m:r>
          <m:rPr>
            <m:sty m:val="p"/>
          </m:rPr>
          <m:t>,</m:t>
        </m:r>
        <m:sSub>
          <m:sSubPr/>
          <m:e>
            <m:r>
              <m:rPr/>
              <m:t>ν</m:t>
            </m:r>
          </m:e>
          <m:sub>
            <m:r>
              <m:rPr/>
              <m:t>e</m:t>
            </m:r>
          </m:sub>
        </m:sSub>
        <m:r>
          <m:rPr>
            <m:sty m:val="p"/>
          </m:rPr>
          <m:t>)</m:t>
        </m:r>
      </m:oMath>
      <w:r>
        <w:rPr>
          <w:rFonts w:hint="eastAsia"/>
        </w:rPr>
        <w:t>，目标函数将出现典型的病态平底谷，使优化和统计锁定都失去稳定性；4.2.3节则从误差传递与工程容差角度说明，将</w:t>
      </w:r>
      <m:oMath>
        <m:sSub>
          <m:sSubPr/>
          <m:e>
            <m:r>
              <m:rPr/>
              <m:t>ν</m:t>
            </m:r>
          </m:e>
          <m:sub>
            <m:r>
              <m:rPr/>
              <m:t>e</m:t>
            </m:r>
          </m:sub>
        </m:sSub>
      </m:oMath>
      <w:r>
        <w:rPr>
          <w:rFonts w:hint="eastAsia"/>
        </w:rPr>
        <w:t>固定为经验常数后，主参数</w:t>
      </w:r>
      <m:oMath>
        <m:sSub>
          <m:sSubPr/>
          <m:e>
            <m:r>
              <m:rPr/>
              <m:t>n</m:t>
            </m:r>
          </m:e>
          <m:sub>
            <m:r>
              <m:rPr/>
              <m:t>e</m:t>
            </m:r>
          </m:sub>
        </m:sSub>
      </m:oMath>
      <w:r>
        <w:rPr>
          <w:rFonts w:hint="eastAsia"/>
        </w:rPr>
        <w:t>的反演精度仍可保持在可接受范围内。</w:t>
      </w:r>
    </w:p>
    <w:p w14:paraId="33C4D7A5">
      <w:r>
        <w:rPr>
          <w:rFonts w:hint="eastAsia"/>
        </w:rPr>
        <w:t>本节给出的不是一组待比较的统计结果，而是第四章后续算法设计必须遵守的物理前提：固定</w:t>
      </w:r>
      <m:oMath>
        <m:sSub>
          <m:sSubPr/>
          <m:e>
            <m:r>
              <m:rPr/>
              <m:t>ν</m:t>
            </m:r>
          </m:e>
          <m:sub>
            <m:r>
              <m:rPr/>
              <m:t>e</m:t>
            </m:r>
          </m:sub>
        </m:sSub>
      </m:oMath>
      <w:r>
        <w:rPr>
          <w:rFonts w:hint="eastAsia"/>
        </w:rPr>
        <w:t>，将观测与计算资源集中于</w:t>
      </w:r>
      <m:oMath>
        <m:sSub>
          <m:sSubPr/>
          <m:e>
            <m:r>
              <m:rPr/>
              <m:t>n</m:t>
            </m:r>
          </m:e>
          <m:sub>
            <m:r>
              <m:rPr/>
              <m:t>e</m:t>
            </m:r>
          </m:sub>
        </m:sSub>
      </m:oMath>
      <w:r>
        <w:t>。</w:t>
      </w:r>
    </w:p>
    <w:bookmarkEnd w:id="56"/>
    <w:bookmarkEnd w:id="60"/>
    <w:p w14:paraId="5020F0CB">
      <w:pPr>
        <w:pStyle w:val="3"/>
      </w:pPr>
      <w:bookmarkStart w:id="61" w:name="强色散信号的高分辨率特征提取"/>
      <w:r>
        <w:rPr>
          <w:rFonts w:hint="eastAsia"/>
        </w:rPr>
        <w:t>强色散信号的高分辨率特征提取</w:t>
      </w:r>
    </w:p>
    <w:p w14:paraId="400C5582">
      <w:r>
        <w:rPr>
          <w:rFonts w:hint="eastAsia"/>
        </w:rPr>
        <w:t>前文已经说明，强色散条件下的LFMCW差频信号不再满足全周期稳态单频近似，传统全频段FFT单峰读取难以继续提供稳定的电子密度观测量。因此，后续反演的关键不再是“如何从全局频谱中读出一个峰值“，而是“如何从非平稳差频信号中恢复可用于反演的频率—时延轨迹“。</w:t>
      </w:r>
    </w:p>
    <w:p w14:paraId="2BDE9862">
      <w:r>
        <w:rPr>
          <w:rFonts w:hint="eastAsia"/>
        </w:rPr>
        <w:t>本节所采用的处理思路建立在“全局非平稳、局部近似平稳“的物理基础上：虽然差频信号在整个调制周期内频率持续漂移，但在足够短的滑动窗口内，其瞬时频率变化仍可近似视为缓慢，从而允许使用局部高分辨率频率估计方法。基于这一思想，可将强色散条件下的复杂时频问题分解为一系列局部窄带估计问题，最终重构出频率—时延特征轨迹。</w:t>
      </w:r>
    </w:p>
    <w:p w14:paraId="18F6B914">
      <w:r>
        <w:pict>
          <v:rect id="_x0000_i1035" o:spt="1" style="height:1.5pt;width:0pt;" coordsize="21600,21600" o:hr="t" o:hrstd="t" o:hralign="center">
            <v:path/>
            <v:fill focussize="0,0"/>
            <v:stroke/>
            <v:imagedata o:title=""/>
            <o:lock v:ext="edit"/>
            <w10:wrap type="none"/>
            <w10:anchorlock/>
          </v:rect>
        </w:pict>
      </w:r>
    </w:p>
    <w:p w14:paraId="73C16E5F">
      <w:pPr>
        <w:pStyle w:val="4"/>
      </w:pPr>
      <w:bookmarkStart w:id="62" w:name="基于短时观测窗的时频解耦与局部信号线性化近似"/>
      <w:r>
        <w:rPr>
          <w:rFonts w:hint="eastAsia"/>
        </w:rPr>
        <w:t>基于短时观测窗的时频解耦与局部信号线性化近似</w:t>
      </w:r>
    </w:p>
    <w:p w14:paraId="169285CB">
      <w:r>
        <w:rPr>
          <w:rFonts w:hint="eastAsia"/>
        </w:rPr>
        <w:t>滑动窗口方法的核心出发点是：虽然差频信号在整个调制周期内呈现显著的非平稳特性，但在远短于</w:t>
      </w:r>
      <m:oMath>
        <m:sSub>
          <m:sSubPr/>
          <m:e>
            <m:r>
              <m:rPr/>
              <m:t>T</m:t>
            </m:r>
          </m:e>
          <m:sub>
            <m:r>
              <m:rPr/>
              <m:t>m</m:t>
            </m:r>
          </m:sub>
        </m:sSub>
      </m:oMath>
      <w:r>
        <w:rPr>
          <w:rFonts w:hint="eastAsia"/>
        </w:rPr>
        <w:t>的局部时间窗内，其瞬时频率变化可近似视为缓慢，从而允许局部窄带近似成立。由此，原本需要在全局频域内处理的复杂非线性问题，可被转化为一系列局部频率估计问题。对于第</w:t>
      </w:r>
      <m:oMath>
        <m:r>
          <m:rPr/>
          <m:t>i</m:t>
        </m:r>
      </m:oMath>
      <w:r>
        <w:rPr>
          <w:rFonts w:hint="eastAsia"/>
        </w:rPr>
        <w:t>个窗口，其中心时刻</w:t>
      </w:r>
      <m:oMath>
        <m:sSub>
          <m:sSubPr/>
          <m:e>
            <m:r>
              <m:rPr/>
              <m:t>t</m:t>
            </m:r>
          </m:e>
          <m:sub>
            <m:r>
              <m:rPr/>
              <m:t>i</m:t>
            </m:r>
          </m:sub>
        </m:sSub>
      </m:oMath>
      <w:r>
        <w:rPr>
          <w:rFonts w:hint="eastAsia"/>
        </w:rPr>
        <w:t>所对应的探测频率</w:t>
      </w:r>
      <m:oMath>
        <m:sSub>
          <m:sSubPr/>
          <m:e>
            <m:r>
              <m:rPr/>
              <m:t>f</m:t>
            </m:r>
          </m:e>
          <m:sub>
            <m:r>
              <m:rPr/>
              <m:t>probe</m:t>
            </m:r>
          </m:sub>
        </m:sSub>
        <m:r>
          <m:rPr>
            <m:sty m:val="p"/>
          </m:rPr>
          <m:t>(</m:t>
        </m:r>
        <m:sSub>
          <m:sSubPr/>
          <m:e>
            <m:r>
              <m:rPr/>
              <m:t>t</m:t>
            </m:r>
          </m:e>
          <m:sub>
            <m:r>
              <m:rPr/>
              <m:t>i</m:t>
            </m:r>
          </m:sub>
        </m:sSub>
        <m:r>
          <m:rPr>
            <m:sty m:val="p"/>
          </m:rPr>
          <m:t>)=</m:t>
        </m:r>
        <m:sSub>
          <m:sSubPr/>
          <m:e>
            <m:r>
              <m:rPr/>
              <m:t>f</m:t>
            </m:r>
          </m:e>
          <m:sub>
            <m:r>
              <m:rPr/>
              <m:t>0</m:t>
            </m:r>
          </m:sub>
        </m:sSub>
        <m:r>
          <m:rPr>
            <m:sty m:val="p"/>
          </m:rPr>
          <m:t>+</m:t>
        </m:r>
        <m:r>
          <m:rPr/>
          <m:t>K</m:t>
        </m:r>
        <m:sSub>
          <m:sSubPr/>
          <m:e>
            <m:r>
              <m:rPr/>
              <m:t>t</m:t>
            </m:r>
          </m:e>
          <m:sub>
            <m:r>
              <m:rPr/>
              <m:t>i</m:t>
            </m:r>
          </m:sub>
        </m:sSub>
      </m:oMath>
      <w:r>
        <w:rPr>
          <w:rFonts w:hint="eastAsia"/>
        </w:rPr>
        <w:t>由系统参数唯一确定，而窗口内估计得到的局部差频则可映射为相应的测量时延。这样便建立起一组离散的频率—时延特征点，为后续参数反演提供直接观测输入。</w:t>
      </w:r>
    </w:p>
    <w:p w14:paraId="63406FCB">
      <w:r>
        <w:rPr>
          <w:rFonts w:hint="eastAsia"/>
        </w:rPr>
        <w:t>短时观测窗的长度</w:t>
      </w:r>
      <m:oMath>
        <m:sSub>
          <m:sSubPr/>
          <m:e>
            <m:r>
              <m:rPr/>
              <m:t>T</m:t>
            </m:r>
          </m:e>
          <m:sub>
            <m:r>
              <m:rPr/>
              <m:t>w</m:t>
            </m:r>
          </m:sub>
        </m:sSub>
      </m:oMath>
      <w:r>
        <w:rPr>
          <w:rFonts w:hint="eastAsia"/>
        </w:rPr>
        <w:t>需要在“局部平稳性“与“频率估计方差“之间折中。一方面，若窗口过长，窗内频率漂移</w:t>
      </w:r>
      <m:oMath>
        <m:r>
          <m:rPr/>
          <m:t>δf</m:t>
        </m:r>
        <m:r>
          <m:rPr>
            <m:sty m:val="p"/>
          </m:rPr>
          <m:t>=|</m:t>
        </m:r>
        <m:r>
          <m:rPr/>
          <m:t>α</m:t>
        </m:r>
        <m:r>
          <m:rPr>
            <m:sty m:val="p"/>
          </m:rPr>
          <m:t>|</m:t>
        </m:r>
        <m:sSub>
          <m:sSubPr/>
          <m:e>
            <m:r>
              <m:rPr/>
              <m:t>T</m:t>
            </m:r>
          </m:e>
          <m:sub>
            <m:r>
              <m:rPr/>
              <m:t>w</m:t>
            </m:r>
          </m:sub>
        </m:sSub>
      </m:oMath>
      <w:r>
        <w:rPr>
          <w:rFonts w:hint="eastAsia"/>
        </w:rPr>
        <w:t>过大，将破坏局部近似；另一方面，若窗口过短，则有效采样点数不足，频率估计方差显著上升。为此，本文采用“窗内频率漂移不超过目标分辨率一定比例“的准则：</w:t>
      </w:r>
    </w:p>
    <w:p w14:paraId="6683C9BF">
      <w:r>
        <w:t xml:space="preserve"> </w:t>
      </w:r>
    </w:p>
    <w:p w14:paraId="0DA20BCE">
      <w:pPr>
        <w:pStyle w:val="44"/>
        <w:spacing w:before="0" w:after="0" w:line="400" w:lineRule="atLeast"/>
      </w:pPr>
      <w:r>
        <w:tab/>
      </w:r>
      <m:oMath>
        <m:r>
          <m:rPr/>
          <m:t>δf</m:t>
        </m:r>
        <m:r>
          <m:rPr>
            <m:sty m:val="p"/>
          </m:rPr>
          <m:t>=|</m:t>
        </m:r>
        <m:r>
          <m:rPr/>
          <m:t>α</m:t>
        </m:r>
        <m:r>
          <m:rPr>
            <m:sty m:val="p"/>
          </m:rPr>
          <m:t>|</m:t>
        </m:r>
        <m:sSub>
          <m:sSubPr/>
          <m:e>
            <m:r>
              <m:rPr/>
              <m:t>T</m:t>
            </m:r>
          </m:e>
          <m:sub>
            <m:r>
              <m:rPr/>
              <m:t>w</m:t>
            </m:r>
          </m:sub>
        </m:sSub>
        <m:r>
          <m:rPr>
            <m:sty m:val="p"/>
          </m:rPr>
          <m:t>≤</m:t>
        </m:r>
        <m:r>
          <m:rPr/>
          <m:t>β</m:t>
        </m:r>
        <m:r>
          <m:rPr>
            <m:sty m:val="p"/>
          </m:rPr>
          <m:t>⋅Δ</m:t>
        </m:r>
        <m:sSub>
          <m:sSubPr/>
          <m:e>
            <m:r>
              <m:rPr/>
              <m:t>f</m:t>
            </m:r>
          </m:e>
          <m:sub>
            <m:r>
              <m:rPr/>
              <m:t>target</m:t>
            </m:r>
          </m:sub>
        </m:sSub>
      </m:oMath>
      <w:r>
        <w:tab/>
      </w:r>
      <w:r>
        <w:t>(4</w:t>
      </w:r>
      <w:r>
        <w:noBreakHyphen/>
      </w:r>
      <w:r>
        <w:t>16)</w:t>
      </w:r>
    </w:p>
    <w:p w14:paraId="6FC3B54A">
      <w:r>
        <w:t xml:space="preserve"> </w:t>
      </w:r>
    </w:p>
    <w:p w14:paraId="67AC01E6">
      <w:r>
        <w:rPr>
          <w:rFonts w:hint="eastAsia"/>
        </w:rPr>
        <w:t>结合本文强色散场景下的典型参数量级,最终取</w:t>
      </w:r>
      <m:oMath>
        <m:sSub>
          <m:sSubPr/>
          <m:e>
            <m:r>
              <m:rPr/>
              <m:t>T</m:t>
            </m:r>
          </m:e>
          <m:sub>
            <m:r>
              <m:rPr/>
              <m:t>w</m:t>
            </m:r>
          </m:sub>
        </m:sSub>
        <m:r>
          <m:rPr>
            <m:sty m:val="p"/>
          </m:rPr>
          <m:t>=</m:t>
        </m:r>
        <m:r>
          <m:rPr/>
          <m:t>12 μs</m:t>
        </m:r>
      </m:oMath>
      <w:r>
        <w:rPr>
          <w:rFonts w:hint="eastAsia"/>
        </w:rPr>
        <w:t>,并采用90%重叠率进行滑窗处理,以在局部平稳性、时间分辨率与边缘稳健性之间取得平衡。</w:t>
      </w:r>
    </w:p>
    <w:p w14:paraId="7D77CEEF">
      <w:r>
        <w:rPr>
          <w:rFonts w:hint="eastAsia"/>
        </w:rPr>
        <w:t>在确定窗口时长</w:t>
      </w:r>
      <m:oMath>
        <m:sSub>
          <m:sSubPr/>
          <m:e>
            <m:r>
              <m:rPr/>
              <m:t>T</m:t>
            </m:r>
          </m:e>
          <m:sub>
            <m:r>
              <m:rPr/>
              <m:t>w</m:t>
            </m:r>
          </m:sub>
        </m:sSub>
      </m:oMath>
      <w:r>
        <w:rPr>
          <w:rFonts w:hint="eastAsia"/>
        </w:rPr>
        <w:t>后，需要设计窗口的滑动策略以实现对全调制周期的连续覆盖。设窗口滑动步长为</w:t>
      </w:r>
      <m:oMath>
        <m:sSub>
          <m:sSubPr/>
          <m:e>
            <m:r>
              <m:rPr/>
              <m:t>T</m:t>
            </m:r>
          </m:e>
          <m:sub>
            <m:r>
              <m:rPr/>
              <m:t>step</m:t>
            </m:r>
          </m:sub>
        </m:sSub>
      </m:oMath>
      <w:r>
        <w:rPr>
          <w:rFonts w:hint="eastAsia"/>
        </w:rPr>
        <w:t>，则在</w:t>
      </w:r>
      <m:oMath>
        <m:r>
          <m:rPr>
            <m:sty m:val="p"/>
          </m:rPr>
          <m:t>[</m:t>
        </m:r>
        <m:r>
          <m:rPr/>
          <m:t>0</m:t>
        </m:r>
        <m:r>
          <m:rPr>
            <m:sty m:val="p"/>
          </m:rPr>
          <m:t>,</m:t>
        </m:r>
        <m:sSub>
          <m:sSubPr/>
          <m:e>
            <m:r>
              <m:rPr/>
              <m:t>T</m:t>
            </m:r>
          </m:e>
          <m:sub>
            <m:r>
              <m:rPr/>
              <m:t>m</m:t>
            </m:r>
          </m:sub>
        </m:sSub>
        <m:r>
          <m:rPr>
            <m:sty m:val="p"/>
          </m:rPr>
          <m:t>]</m:t>
        </m:r>
      </m:oMath>
      <w:r>
        <w:rPr>
          <w:rFonts w:hint="eastAsia"/>
        </w:rPr>
        <w:t>范围内可划分出</w:t>
      </w:r>
      <m:oMath>
        <m:sSub>
          <m:sSubPr/>
          <m:e>
            <m:r>
              <m:rPr/>
              <m:t>N</m:t>
            </m:r>
          </m:e>
          <m:sub>
            <m:r>
              <m:rPr/>
              <m:t>w</m:t>
            </m:r>
          </m:sub>
        </m:sSub>
      </m:oMath>
      <w:r>
        <w:rPr>
          <w:rFonts w:hint="eastAsia"/>
        </w:rPr>
        <w:t>个观测窗口。以本文仿真参数为例：</w:t>
      </w:r>
      <m:oMath>
        <m:sSub>
          <m:sSubPr/>
          <m:e>
            <m:r>
              <m:rPr/>
              <m:t>T</m:t>
            </m:r>
          </m:e>
          <m:sub>
            <m:r>
              <m:rPr/>
              <m:t>m</m:t>
            </m:r>
          </m:sub>
        </m:sSub>
        <m:r>
          <m:rPr>
            <m:sty m:val="p"/>
          </m:rPr>
          <m:t>=</m:t>
        </m:r>
        <m:r>
          <m:rPr/>
          <m:t>50 μs</m:t>
        </m:r>
      </m:oMath>
      <w:r>
        <w:t>、</w:t>
      </w:r>
      <m:oMath>
        <m:sSub>
          <m:sSubPr/>
          <m:e>
            <m:r>
              <m:rPr/>
              <m:t>T</m:t>
            </m:r>
          </m:e>
          <m:sub>
            <m:r>
              <m:rPr/>
              <m:t>w</m:t>
            </m:r>
          </m:sub>
        </m:sSub>
        <m:r>
          <m:rPr>
            <m:sty m:val="p"/>
          </m:rPr>
          <m:t>=</m:t>
        </m:r>
        <m:r>
          <m:rPr/>
          <m:t>12 μs</m:t>
        </m:r>
      </m:oMath>
      <w:r>
        <w:rPr>
          <w:rFonts w:hint="eastAsia"/>
        </w:rPr>
        <w:t>，采用90%重叠率即</w:t>
      </w:r>
      <m:oMath>
        <m:sSub>
          <m:sSubPr/>
          <m:e>
            <m:r>
              <m:rPr/>
              <m:t>T</m:t>
            </m:r>
          </m:e>
          <m:sub>
            <m:r>
              <m:rPr/>
              <m:t>step</m:t>
            </m:r>
          </m:sub>
        </m:sSub>
        <m:r>
          <m:rPr>
            <m:sty m:val="p"/>
          </m:rPr>
          <m:t>=</m:t>
        </m:r>
        <m:r>
          <m:rPr/>
          <m:t>1.2 μs</m:t>
        </m:r>
      </m:oMath>
      <w:r>
        <w:rPr>
          <w:rFonts w:hint="eastAsia"/>
        </w:rPr>
        <w:t>，则理论窗口数量约为</w:t>
      </w:r>
    </w:p>
    <w:p w14:paraId="125565AE">
      <m:oMathPara>
        <m:oMathParaPr>
          <m:jc m:val="center"/>
        </m:oMathParaPr>
        <m:oMath>
          <m:sSub>
            <m:sSubPr/>
            <m:e>
              <m:r>
                <m:rPr/>
                <m:t>N</m:t>
              </m:r>
            </m:e>
            <m:sub>
              <m:r>
                <m:rPr/>
                <m:t>w</m:t>
              </m:r>
            </m:sub>
          </m:sSub>
          <m:r>
            <m:rPr>
              <m:sty m:val="p"/>
            </m:rPr>
            <m:t>=</m:t>
          </m:r>
          <m:d>
            <m:dPr>
              <m:begChr m:val="⌊"/>
              <m:sepChr m:val=""/>
              <m:endChr m:val="⌋"/>
            </m:dPr>
            <m:e>
              <m:f>
                <m:fPr/>
                <m:num>
                  <m:sSub>
                    <m:sSubPr/>
                    <m:e>
                      <m:r>
                        <m:rPr/>
                        <m:t>T</m:t>
                      </m:r>
                    </m:e>
                    <m:sub>
                      <m:r>
                        <m:rPr/>
                        <m:t>m</m:t>
                      </m:r>
                    </m:sub>
                  </m:sSub>
                  <m:r>
                    <m:rPr>
                      <m:sty m:val="p"/>
                    </m:rPr>
                    <m:t>−</m:t>
                  </m:r>
                  <m:sSub>
                    <m:sSubPr/>
                    <m:e>
                      <m:r>
                        <m:rPr/>
                        <m:t>T</m:t>
                      </m:r>
                    </m:e>
                    <m:sub>
                      <m:r>
                        <m:rPr/>
                        <m:t>w</m:t>
                      </m:r>
                    </m:sub>
                  </m:sSub>
                </m:num>
                <m:den>
                  <m:sSub>
                    <m:sSubPr/>
                    <m:e>
                      <m:r>
                        <m:rPr/>
                        <m:t>T</m:t>
                      </m:r>
                    </m:e>
                    <m:sub>
                      <m:r>
                        <m:rPr/>
                        <m:t>step</m:t>
                      </m:r>
                    </m:sub>
                  </m:sSub>
                </m:den>
              </m:f>
            </m:e>
          </m:d>
          <m:r>
            <m:rPr>
              <m:sty m:val="p"/>
            </m:rPr>
            <m:t>+</m:t>
          </m:r>
          <m:r>
            <m:rPr/>
            <m:t>1</m:t>
          </m:r>
          <m:r>
            <m:rPr>
              <m:sty m:val="p"/>
            </m:rPr>
            <m:t>≈</m:t>
          </m:r>
          <m:r>
            <m:rPr/>
            <m:t>32</m:t>
          </m:r>
        </m:oMath>
      </m:oMathPara>
    </w:p>
    <w:p w14:paraId="6B1D7C6C">
      <w:r>
        <w:rPr>
          <w:rFonts w:hint="eastAsia"/>
        </w:rPr>
        <w:t>第</w:t>
      </w:r>
      <m:oMath>
        <m:r>
          <m:rPr/>
          <m:t>i</m:t>
        </m:r>
      </m:oMath>
      <w:r>
        <w:rPr>
          <w:rFonts w:hint="eastAsia"/>
        </w:rPr>
        <w:t>个窗口的中心时刻</w:t>
      </w:r>
      <m:oMath>
        <m:sSub>
          <m:sSubPr/>
          <m:e>
            <m:r>
              <m:rPr/>
              <m:t>t</m:t>
            </m:r>
          </m:e>
          <m:sub>
            <m:r>
              <m:rPr/>
              <m:t>i</m:t>
            </m:r>
          </m:sub>
        </m:sSub>
      </m:oMath>
      <w:r>
        <w:rPr>
          <w:rFonts w:hint="eastAsia"/>
        </w:rPr>
        <w:t>对应的探测频率(即发射信号的瞬时频率)为:</w:t>
      </w:r>
    </w:p>
    <w:p w14:paraId="2DB5125E">
      <w:r>
        <w:t xml:space="preserve"> </w:t>
      </w:r>
    </w:p>
    <w:p w14:paraId="3BB396E7">
      <w:pPr>
        <w:pStyle w:val="44"/>
        <w:spacing w:before="0" w:after="0" w:line="400" w:lineRule="atLeast"/>
      </w:pPr>
      <w:r>
        <w:tab/>
      </w:r>
      <m:oMath>
        <m:sSub>
          <m:sSubPr/>
          <m:e>
            <m:r>
              <m:rPr/>
              <m:t>f</m:t>
            </m:r>
          </m:e>
          <m:sub>
            <m:r>
              <m:rPr/>
              <m:t>probe</m:t>
            </m:r>
          </m:sub>
        </m:sSub>
        <m:r>
          <m:rPr>
            <m:sty m:val="p"/>
          </m:rPr>
          <m:t>(</m:t>
        </m:r>
        <m:sSub>
          <m:sSubPr/>
          <m:e>
            <m:r>
              <m:rPr/>
              <m:t>t</m:t>
            </m:r>
          </m:e>
          <m:sub>
            <m:r>
              <m:rPr/>
              <m:t>i</m:t>
            </m:r>
          </m:sub>
        </m:sSub>
        <m:r>
          <m:rPr>
            <m:sty m:val="p"/>
          </m:rPr>
          <m:t>)=</m:t>
        </m:r>
        <m:sSub>
          <m:sSubPr/>
          <m:e>
            <m:r>
              <m:rPr/>
              <m:t>f</m:t>
            </m:r>
          </m:e>
          <m:sub>
            <m:r>
              <m:rPr/>
              <m:t>0</m:t>
            </m:r>
          </m:sub>
        </m:sSub>
        <m:r>
          <m:rPr>
            <m:sty m:val="p"/>
          </m:rPr>
          <m:t>+</m:t>
        </m:r>
        <m:r>
          <m:rPr/>
          <m:t>K</m:t>
        </m:r>
        <m:r>
          <m:rPr>
            <m:sty m:val="p"/>
          </m:rPr>
          <m:t>⋅</m:t>
        </m:r>
        <m:sSub>
          <m:sSubPr/>
          <m:e>
            <m:r>
              <m:rPr/>
              <m:t>t</m:t>
            </m:r>
          </m:e>
          <m:sub>
            <m:r>
              <m:rPr/>
              <m:t>i</m:t>
            </m:r>
          </m:sub>
        </m:sSub>
      </m:oMath>
      <w:r>
        <w:tab/>
      </w:r>
      <w:r>
        <w:t>(4</w:t>
      </w:r>
      <w:r>
        <w:noBreakHyphen/>
      </w:r>
      <w:r>
        <w:t>18)</w:t>
      </w:r>
    </w:p>
    <w:p w14:paraId="634D6BF4">
      <w:r>
        <w:t xml:space="preserve"> </w:t>
      </w:r>
    </w:p>
    <w:p w14:paraId="7000DAAB">
      <w:r>
        <w:rPr>
          <w:rFonts w:hint="eastAsia"/>
        </w:rPr>
        <w:t>该映射关系的物理意义在于：</w:t>
      </w:r>
      <m:oMath>
        <m:sSub>
          <m:sSubPr/>
          <m:e>
            <m:r>
              <m:rPr/>
              <m:t>f</m:t>
            </m:r>
          </m:e>
          <m:sub>
            <m:r>
              <m:rPr/>
              <m:t>probe</m:t>
            </m:r>
          </m:sub>
        </m:sSub>
        <m:r>
          <m:rPr>
            <m:sty m:val="p"/>
          </m:rPr>
          <m:t>(</m:t>
        </m:r>
        <m:sSub>
          <m:sSubPr/>
          <m:e>
            <m:r>
              <m:rPr/>
              <m:t>t</m:t>
            </m:r>
          </m:e>
          <m:sub>
            <m:r>
              <m:rPr/>
              <m:t>i</m:t>
            </m:r>
          </m:sub>
        </m:sSub>
        <m:r>
          <m:rPr>
            <m:sty m:val="p"/>
          </m:rPr>
          <m:t>)</m:t>
        </m:r>
      </m:oMath>
      <w:r>
        <w:rPr>
          <w:rFonts w:hint="eastAsia"/>
        </w:rPr>
        <w:t>完全由雷达系统参数决定，不依赖于任何待测介质的物理量。特征点的横坐标即探测频率轴，是先验已知的刚性系统参数，这为后续构建精确的观测模型提供了基础。</w:t>
      </w:r>
    </w:p>
    <w:p w14:paraId="6BD8CA89">
      <w:r>
        <w:rPr>
          <w:rFonts w:hint="eastAsia"/>
        </w:rPr>
        <w:t>在第</w:t>
      </w:r>
      <m:oMath>
        <m:r>
          <m:rPr/>
          <m:t>i</m:t>
        </m:r>
      </m:oMath>
      <w:r>
        <w:rPr>
          <w:rFonts w:hint="eastAsia"/>
        </w:rPr>
        <w:t>个窗口内,利用高分辨率频率估计算法(如ESPRIT)提取局部差频</w:t>
      </w:r>
      <m:oMath>
        <m:sSub>
          <m:sSubPr/>
          <m:e>
            <m:r>
              <m:rPr/>
              <m:t>f</m:t>
            </m:r>
          </m:e>
          <m:sub>
            <m:r>
              <m:rPr/>
              <m:t>beat</m:t>
            </m:r>
            <m:r>
              <m:rPr>
                <m:sty m:val="p"/>
              </m:rPr>
              <m:t>,</m:t>
            </m:r>
            <m:r>
              <m:rPr/>
              <m:t>i</m:t>
            </m:r>
          </m:sub>
        </m:sSub>
      </m:oMath>
      <w:r>
        <w:rPr>
          <w:rFonts w:hint="eastAsia"/>
        </w:rPr>
        <w:t>。根据LFMCW的混频原理,该差频与瞬时群时延</w:t>
      </w:r>
      <m:oMath>
        <m:sSub>
          <m:sSubPr/>
          <m:e>
            <m:r>
              <m:rPr/>
              <m:t>τ</m:t>
            </m:r>
          </m:e>
          <m:sub>
            <m:r>
              <m:rPr/>
              <m:t>g</m:t>
            </m:r>
          </m:sub>
        </m:sSub>
        <m:r>
          <m:rPr>
            <m:sty m:val="p"/>
          </m:rPr>
          <m:t>(</m:t>
        </m:r>
        <m:sSub>
          <m:sSubPr/>
          <m:e>
            <m:r>
              <m:rPr/>
              <m:t>t</m:t>
            </m:r>
          </m:e>
          <m:sub>
            <m:r>
              <m:rPr/>
              <m:t>i</m:t>
            </m:r>
          </m:sub>
        </m:sSub>
        <m:r>
          <m:rPr>
            <m:sty m:val="p"/>
          </m:rPr>
          <m:t>)</m:t>
        </m:r>
      </m:oMath>
      <w:r>
        <w:rPr>
          <w:rFonts w:hint="eastAsia"/>
        </w:rPr>
        <w:t>满足线性关系:</w:t>
      </w:r>
    </w:p>
    <w:p w14:paraId="4105F999">
      <w:r>
        <w:t xml:space="preserve"> </w:t>
      </w:r>
    </w:p>
    <w:p w14:paraId="5D928A84">
      <w:pPr>
        <w:pStyle w:val="44"/>
        <w:spacing w:before="0" w:after="0" w:line="400" w:lineRule="atLeast"/>
      </w:pPr>
      <w:r>
        <w:tab/>
      </w:r>
      <m:oMath>
        <m:sSub>
          <m:sSubPr/>
          <m:e>
            <m:r>
              <m:rPr/>
              <m:t>f</m:t>
            </m:r>
          </m:e>
          <m:sub>
            <m:r>
              <m:rPr/>
              <m:t>beat</m:t>
            </m:r>
            <m:r>
              <m:rPr>
                <m:sty m:val="p"/>
              </m:rPr>
              <m:t>,</m:t>
            </m:r>
            <m:r>
              <m:rPr/>
              <m:t>i</m:t>
            </m:r>
          </m:sub>
        </m:sSub>
        <m:r>
          <m:rPr>
            <m:sty m:val="p"/>
          </m:rPr>
          <m:t>=</m:t>
        </m:r>
        <m:r>
          <m:rPr/>
          <m:t>K</m:t>
        </m:r>
        <m:r>
          <m:rPr>
            <m:sty m:val="p"/>
          </m:rPr>
          <m:t>⋅</m:t>
        </m:r>
        <m:sSub>
          <m:sSubPr/>
          <m:e>
            <m:r>
              <m:rPr/>
              <m:t>τ</m:t>
            </m:r>
          </m:e>
          <m:sub>
            <m:r>
              <m:rPr/>
              <m:t>g</m:t>
            </m:r>
          </m:sub>
        </m:sSub>
        <m:r>
          <m:rPr>
            <m:sty m:val="p"/>
          </m:rPr>
          <m:t>(</m:t>
        </m:r>
        <m:sSub>
          <m:sSubPr/>
          <m:e>
            <m:r>
              <m:rPr/>
              <m:t>t</m:t>
            </m:r>
          </m:e>
          <m:sub>
            <m:r>
              <m:rPr/>
              <m:t>i</m:t>
            </m:r>
          </m:sub>
        </m:sSub>
        <m:r>
          <m:rPr>
            <m:sty m:val="p"/>
          </m:rPr>
          <m:t>)</m:t>
        </m:r>
      </m:oMath>
      <w:r>
        <w:tab/>
      </w:r>
      <w:r>
        <w:t>(4</w:t>
      </w:r>
      <w:r>
        <w:noBreakHyphen/>
      </w:r>
      <w:r>
        <w:t>19)</w:t>
      </w:r>
    </w:p>
    <w:p w14:paraId="7D66C0C9">
      <w:r>
        <w:t xml:space="preserve"> </w:t>
      </w:r>
    </w:p>
    <w:p w14:paraId="77C89445">
      <w:r>
        <w:rPr>
          <w:rFonts w:hint="eastAsia"/>
        </w:rPr>
        <w:t>由此可直接计算得到测量时延:</w:t>
      </w:r>
    </w:p>
    <w:p w14:paraId="54E5064E">
      <w:r>
        <w:t xml:space="preserve"> </w:t>
      </w:r>
    </w:p>
    <w:p w14:paraId="2D474607">
      <w:pPr>
        <w:pStyle w:val="44"/>
        <w:spacing w:before="0" w:after="0" w:line="400" w:lineRule="atLeast"/>
      </w:pPr>
      <w:r>
        <w:tab/>
      </w:r>
      <m:oMath>
        <m:sSub>
          <m:sSubPr/>
          <m:e>
            <m:r>
              <m:rPr/>
              <m:t>τ</m:t>
            </m:r>
          </m:e>
          <m:sub>
            <m:r>
              <m:rPr/>
              <m:t>meas</m:t>
            </m:r>
            <m:r>
              <m:rPr>
                <m:sty m:val="p"/>
              </m:rPr>
              <m:t>,</m:t>
            </m:r>
            <m:r>
              <m:rPr/>
              <m:t>i</m:t>
            </m:r>
          </m:sub>
        </m:sSub>
        <m:r>
          <m:rPr>
            <m:sty m:val="p"/>
          </m:rPr>
          <m:t>=</m:t>
        </m:r>
        <m:f>
          <m:fPr/>
          <m:num>
            <m:sSub>
              <m:sSubPr/>
              <m:e>
                <m:r>
                  <m:rPr/>
                  <m:t>f</m:t>
                </m:r>
              </m:e>
              <m:sub>
                <m:r>
                  <m:rPr/>
                  <m:t>beat</m:t>
                </m:r>
                <m:r>
                  <m:rPr>
                    <m:sty m:val="p"/>
                  </m:rPr>
                  <m:t>,</m:t>
                </m:r>
                <m:r>
                  <m:rPr/>
                  <m:t>i</m:t>
                </m:r>
              </m:sub>
            </m:sSub>
          </m:num>
          <m:den>
            <m:r>
              <m:rPr/>
              <m:t>K</m:t>
            </m:r>
          </m:den>
        </m:f>
      </m:oMath>
      <w:r>
        <w:tab/>
      </w:r>
      <w:r>
        <w:t>(4</w:t>
      </w:r>
      <w:r>
        <w:noBreakHyphen/>
      </w:r>
      <w:r>
        <w:t>20)</w:t>
      </w:r>
    </w:p>
    <w:p w14:paraId="7B3ABDAA">
      <w:r>
        <w:t xml:space="preserve"> </w:t>
      </w:r>
    </w:p>
    <w:p w14:paraId="7E8A20A3">
      <w:r>
        <w:rPr>
          <w:rFonts w:hint="eastAsia"/>
        </w:rPr>
        <w:t>该测量时延</w:t>
      </w:r>
      <m:oMath>
        <m:sSub>
          <m:sSubPr/>
          <m:e>
            <m:r>
              <m:rPr/>
              <m:t>τ</m:t>
            </m:r>
          </m:e>
          <m:sub>
            <m:r>
              <m:rPr/>
              <m:t>meas</m:t>
            </m:r>
            <m:r>
              <m:rPr>
                <m:sty m:val="p"/>
              </m:rPr>
              <m:t>,</m:t>
            </m:r>
            <m:r>
              <m:rPr/>
              <m:t>i</m:t>
            </m:r>
          </m:sub>
        </m:sSub>
      </m:oMath>
      <w:r>
        <w:rPr>
          <w:rFonts w:hint="eastAsia"/>
        </w:rPr>
        <w:t>是基于LFMCW混频关系得到的表观时延，并不严格等同于对应探测频率处的真实群时延。因此，后续反演中仍需引入理论模型对其进行统一拟合与修正。</w:t>
      </w:r>
    </w:p>
    <w:p w14:paraId="1EF8DBFA">
      <w:pPr>
        <w:rPr>
          <w:rFonts w:hint="eastAsia"/>
        </w:rPr>
      </w:pPr>
      <w:r>
        <w:rPr>
          <w:rFonts w:hint="eastAsia"/>
        </w:rPr>
        <w:t>将式(4-18)至式(4-20)联立，每个滑动窗口输出一个特征点</w:t>
      </w:r>
      <m:oMath>
        <m:r>
          <m:rPr>
            <m:sty m:val="p"/>
          </m:rPr>
          <m:t>(</m:t>
        </m:r>
        <m:sSub>
          <m:sSubPr/>
          <m:e>
            <m:r>
              <m:rPr/>
              <m:t>f</m:t>
            </m:r>
          </m:e>
          <m:sub>
            <m:r>
              <m:rPr/>
              <m:t>probe</m:t>
            </m:r>
            <m:r>
              <m:rPr>
                <m:sty m:val="p"/>
              </m:rPr>
              <m:t>,</m:t>
            </m:r>
            <m:r>
              <m:rPr/>
              <m:t>i</m:t>
            </m:r>
          </m:sub>
        </m:sSub>
        <m:r>
          <m:rPr>
            <m:sty m:val="p"/>
          </m:rPr>
          <m:t>,</m:t>
        </m:r>
        <m:sSub>
          <m:sSubPr/>
          <m:e>
            <m:r>
              <m:rPr/>
              <m:t>τ</m:t>
            </m:r>
          </m:e>
          <m:sub>
            <m:r>
              <m:rPr/>
              <m:t>meas</m:t>
            </m:r>
            <m:r>
              <m:rPr>
                <m:sty m:val="p"/>
              </m:rPr>
              <m:t>,</m:t>
            </m:r>
            <m:r>
              <m:rPr/>
              <m:t>i</m:t>
            </m:r>
          </m:sub>
        </m:sSub>
        <m:r>
          <m:rPr>
            <m:sty m:val="p"/>
          </m:rPr>
          <m:t>)</m:t>
        </m:r>
      </m:oMath>
      <w:r>
        <w:rPr>
          <w:rFonts w:hint="eastAsia"/>
        </w:rPr>
        <w:t>。全部</w:t>
      </w:r>
      <m:oMath>
        <m:sSub>
          <m:sSubPr/>
          <m:e>
            <m:r>
              <m:rPr/>
              <m:t>N</m:t>
            </m:r>
          </m:e>
          <m:sub>
            <m:r>
              <m:rPr/>
              <m:t>w</m:t>
            </m:r>
          </m:sub>
        </m:sSub>
      </m:oMath>
      <w:r>
        <w:rPr>
          <w:rFonts w:hint="eastAsia"/>
        </w:rPr>
        <w:t>个窗口形成的特征点集</w:t>
      </w:r>
      <m:oMath>
        <m:r>
          <m:rPr>
            <m:sty m:val="p"/>
            <m:scr m:val="script"/>
          </m:rPr>
          <m:t>D</m:t>
        </m:r>
        <m:r>
          <m:rPr>
            <m:sty m:val="p"/>
          </m:rPr>
          <m:t>={(</m:t>
        </m:r>
        <m:sSub>
          <m:sSubPr/>
          <m:e>
            <m:r>
              <m:rPr/>
              <m:t>f</m:t>
            </m:r>
          </m:e>
          <m:sub>
            <m:r>
              <m:rPr/>
              <m:t>probe</m:t>
            </m:r>
            <m:r>
              <m:rPr>
                <m:sty m:val="p"/>
              </m:rPr>
              <m:t>,</m:t>
            </m:r>
            <m:r>
              <m:rPr/>
              <m:t>i</m:t>
            </m:r>
          </m:sub>
        </m:sSub>
        <m:r>
          <m:rPr>
            <m:sty m:val="p"/>
          </m:rPr>
          <m:t>,</m:t>
        </m:r>
        <m:sSub>
          <m:sSubPr/>
          <m:e>
            <m:r>
              <m:rPr/>
              <m:t>τ</m:t>
            </m:r>
          </m:e>
          <m:sub>
            <m:r>
              <m:rPr/>
              <m:t>meas</m:t>
            </m:r>
            <m:r>
              <m:rPr>
                <m:sty m:val="p"/>
              </m:rPr>
              <m:t>,</m:t>
            </m:r>
            <m:r>
              <m:rPr/>
              <m:t>i</m:t>
            </m:r>
          </m:sub>
        </m:sSub>
        <m:r>
          <m:rPr>
            <m:sty m:val="p"/>
          </m:rPr>
          <m:t>)</m:t>
        </m:r>
        <m:sSubSup>
          <m:sSubSupPr/>
          <m:e>
            <m:r>
              <m:rPr>
                <m:sty m:val="p"/>
              </m:rPr>
              <m:t>}</m:t>
            </m:r>
          </m:e>
          <m:sub>
            <m:r>
              <m:rPr/>
              <m:t>i</m:t>
            </m:r>
            <m:r>
              <m:rPr>
                <m:sty m:val="p"/>
              </m:rPr>
              <m:t>=</m:t>
            </m:r>
            <m:r>
              <m:rPr/>
              <m:t>1</m:t>
            </m:r>
          </m:sub>
          <m:sup>
            <m:sSub>
              <m:sSubPr/>
              <m:e>
                <m:r>
                  <m:rPr/>
                  <m:t>N</m:t>
                </m:r>
              </m:e>
              <m:sub>
                <m:r>
                  <m:rPr/>
                  <m:t>w</m:t>
                </m:r>
              </m:sub>
            </m:sSub>
          </m:sup>
        </m:sSubSup>
      </m:oMath>
      <w:r>
        <w:rPr>
          <w:rFonts w:hint="eastAsia"/>
        </w:rPr>
        <w:t>，即构成了频率—时延特征轨迹的离散采样。该轨迹的整体形态由等离子体色散特性决定，并将作为后续参数反演的直接观测输入。</w:t>
      </w:r>
    </w:p>
    <w:p w14:paraId="15FF5954">
      <w:pPr>
        <w:rPr>
          <w:rFonts w:hint="eastAsia"/>
        </w:rPr>
      </w:pPr>
    </w:p>
    <w:p w14:paraId="496C9A8E">
      <w:r>
        <w:rPr>
          <w:rFonts w:hint="eastAsia"/>
        </w:rPr>
        <w:t>如图4-4(a)所示,传统全频段FFT处理方法隐含差频在整个调频周期内保持恒定的假设。在强色散条件下,等离子体的群时延随探测频率显著变化,从而导致瞬时差频呈现明显的频率依赖性。该非平稳特性在全时域FFT处理中被不可避免地平均,最终表现为一宽频散焦区域,使得差频与探测频率之间不存在唯一、可解析的映射关系,传统方法因此失效。</w:t>
      </w:r>
    </w:p>
    <w:p w14:paraId="4D158023">
      <w:r>
        <w:rPr>
          <w:rFonts w:hint="eastAsia"/>
        </w:rPr>
        <w:t>图4-4(b)展示了滑动窗口时频解耦的处理结果。该方法在短时窗口内采用局部平稳近似,将全局非平稳问题转化为一系列局部频率估计问题,从而恢复差频随探测频率变化的连续轨迹。图中蓝色虚线为理论差频轨迹,橙色散点为提取结果;二者高度一致,表明该方法能够在强色散条件下准确追踪差频的非线性演化规律。这些离散特征点将作为后续参数反演的观测数据,取代传统方法中模糊的全局频谱峰值。</w:t>
      </w:r>
    </w:p>
    <w:p w14:paraId="70C27D45">
      <w:r>
        <w:rPr>
          <w:rFonts w:hint="eastAsia"/>
        </w:rPr>
        <w:t>图4-4的仿真参数设置如下:等离子体截止频率</w:t>
      </w:r>
      <m:oMath>
        <m:sSub>
          <m:sSubPr/>
          <m:e>
            <m:r>
              <m:rPr/>
              <m:t>f</m:t>
            </m:r>
          </m:e>
          <m:sub>
            <m:r>
              <m:rPr/>
              <m:t>p</m:t>
            </m:r>
          </m:sub>
        </m:sSub>
        <m:r>
          <m:rPr>
            <m:sty m:val="p"/>
          </m:rPr>
          <m:t>=</m:t>
        </m:r>
        <m:r>
          <m:rPr/>
          <m:t>33</m:t>
        </m:r>
      </m:oMath>
      <w:r>
        <w:t xml:space="preserve"> </w:t>
      </w:r>
      <w:r>
        <w:rPr>
          <w:rFonts w:hint="eastAsia"/>
        </w:rPr>
        <w:t>GHz,碰撞频率</w:t>
      </w:r>
      <m:oMath>
        <m:sSub>
          <m:sSubPr/>
          <m:e>
            <m:r>
              <m:rPr/>
              <m:t>ν</m:t>
            </m:r>
          </m:e>
          <m:sub>
            <m:r>
              <m:rPr/>
              <m:t>e</m:t>
            </m:r>
          </m:sub>
        </m:sSub>
        <m:r>
          <m:rPr>
            <m:sty m:val="p"/>
          </m:rPr>
          <m:t>=</m:t>
        </m:r>
        <m:r>
          <m:rPr/>
          <m:t>1.5</m:t>
        </m:r>
      </m:oMath>
      <w:r>
        <w:t xml:space="preserve"> </w:t>
      </w:r>
      <w:r>
        <w:rPr>
          <w:rFonts w:hint="eastAsia"/>
        </w:rPr>
        <w:t>GHz,等离子体厚度</w:t>
      </w:r>
      <m:oMath>
        <m:r>
          <m:rPr/>
          <m:t>d</m:t>
        </m:r>
        <m:r>
          <m:rPr>
            <m:sty m:val="p"/>
          </m:rPr>
          <m:t>=</m:t>
        </m:r>
        <m:r>
          <m:rPr/>
          <m:t>0.15</m:t>
        </m:r>
      </m:oMath>
      <w:r>
        <w:t xml:space="preserve"> </w:t>
      </w:r>
      <w:r>
        <w:rPr>
          <w:rFonts w:hint="eastAsia"/>
        </w:rPr>
        <w:t>m;LFMCW雷达扫频范围34.2-37.4</w:t>
      </w:r>
      <w:r>
        <w:t xml:space="preserve"> </w:t>
      </w:r>
      <w:r>
        <w:rPr>
          <w:rFonts w:hint="eastAsia"/>
        </w:rPr>
        <w:t>GHz(带宽</w:t>
      </w:r>
      <m:oMath>
        <m:r>
          <m:rPr/>
          <m:t>B</m:t>
        </m:r>
        <m:r>
          <m:rPr>
            <m:sty m:val="p"/>
          </m:rPr>
          <m:t>=</m:t>
        </m:r>
        <m:r>
          <m:rPr/>
          <m:t>3.2</m:t>
        </m:r>
      </m:oMath>
      <w:r>
        <w:t xml:space="preserve"> </w:t>
      </w:r>
      <w:r>
        <w:rPr>
          <w:rFonts w:hint="eastAsia"/>
        </w:rPr>
        <w:t>GHz),扫频周期</w:t>
      </w:r>
      <m:oMath>
        <m:sSub>
          <m:sSubPr/>
          <m:e>
            <m:r>
              <m:rPr/>
              <m:t>T</m:t>
            </m:r>
          </m:e>
          <m:sub>
            <m:r>
              <m:rPr/>
              <m:t>m</m:t>
            </m:r>
          </m:sub>
        </m:sSub>
        <m:r>
          <m:rPr>
            <m:sty m:val="p"/>
          </m:rPr>
          <m:t>=</m:t>
        </m:r>
        <m:r>
          <m:rPr/>
          <m:t>50</m:t>
        </m:r>
      </m:oMath>
      <w:r>
        <w:t xml:space="preserve"> </w:t>
      </w:r>
      <m:oMath>
        <m:r>
          <m:rPr/>
          <m:t>μ</m:t>
        </m:r>
      </m:oMath>
      <w:r>
        <w:rPr>
          <w:rFonts w:hint="eastAsia"/>
        </w:rPr>
        <w:t>s,对应调频斜率</w:t>
      </w:r>
      <m:oMath>
        <m:r>
          <m:rPr/>
          <m:t>K</m:t>
        </m:r>
        <m:r>
          <m:rPr>
            <m:sty m:val="p"/>
          </m:rPr>
          <m:t>=</m:t>
        </m:r>
        <m:r>
          <m:rPr/>
          <m:t>64</m:t>
        </m:r>
        <m:r>
          <m:rPr>
            <m:sty m:val="p"/>
          </m:rPr>
          <m:t>×</m:t>
        </m:r>
        <m:sSup>
          <m:sSupPr/>
          <m:e>
            <m:r>
              <m:rPr/>
              <m:t>10</m:t>
            </m:r>
          </m:e>
          <m:sup>
            <m:r>
              <m:rPr/>
              <m:t>12</m:t>
            </m:r>
          </m:sup>
        </m:sSup>
      </m:oMath>
      <w:r>
        <w:t xml:space="preserve"> </w:t>
      </w:r>
      <w:r>
        <w:rPr>
          <w:rFonts w:hint="eastAsia"/>
        </w:rPr>
        <w:t>Hz/s。滑动窗口参数:窗口时长</w:t>
      </w:r>
      <m:oMath>
        <m:sSub>
          <m:sSubPr/>
          <m:e>
            <m:r>
              <m:rPr/>
              <m:t>T</m:t>
            </m:r>
          </m:e>
          <m:sub>
            <m:r>
              <m:rPr/>
              <m:t>w</m:t>
            </m:r>
          </m:sub>
        </m:sSub>
        <m:r>
          <m:rPr>
            <m:sty m:val="p"/>
          </m:rPr>
          <m:t>=</m:t>
        </m:r>
        <m:r>
          <m:rPr/>
          <m:t>12</m:t>
        </m:r>
      </m:oMath>
      <w:r>
        <w:t xml:space="preserve"> </w:t>
      </w:r>
      <m:oMath>
        <m:r>
          <m:rPr/>
          <m:t>μ</m:t>
        </m:r>
      </m:oMath>
      <w:r>
        <w:rPr>
          <w:rFonts w:hint="eastAsia"/>
        </w:rPr>
        <w:t>s,窗口步长</w:t>
      </w:r>
      <m:oMath>
        <m:sSub>
          <m:sSubPr/>
          <m:e>
            <m:r>
              <m:rPr/>
              <m:t>T</m:t>
            </m:r>
          </m:e>
          <m:sub>
            <m:r>
              <m:rPr/>
              <m:t>step</m:t>
            </m:r>
          </m:sub>
        </m:sSub>
        <m:r>
          <m:rPr>
            <m:sty m:val="p"/>
          </m:rPr>
          <m:t>=</m:t>
        </m:r>
        <m:r>
          <m:rPr/>
          <m:t>1.2</m:t>
        </m:r>
      </m:oMath>
      <w:r>
        <w:t xml:space="preserve"> </w:t>
      </w:r>
      <m:oMath>
        <m:r>
          <m:rPr/>
          <m:t>μ</m:t>
        </m:r>
      </m:oMath>
      <w:r>
        <w:rPr>
          <w:rFonts w:hint="eastAsia"/>
        </w:rPr>
        <w:t>s(对应90%重叠率),边缘保护区间</w:t>
      </w:r>
      <m:oMath>
        <m:r>
          <m:rPr>
            <m:sty m:val="p"/>
          </m:rPr>
          <m:t>[</m:t>
        </m:r>
        <m:r>
          <m:rPr/>
          <m:t>0.05</m:t>
        </m:r>
        <m:sSub>
          <m:sSubPr/>
          <m:e>
            <m:r>
              <m:rPr/>
              <m:t>T</m:t>
            </m:r>
          </m:e>
          <m:sub>
            <m:r>
              <m:rPr/>
              <m:t>m</m:t>
            </m:r>
          </m:sub>
        </m:sSub>
        <m:r>
          <m:rPr>
            <m:sty m:val="p"/>
          </m:rPr>
          <m:t>,</m:t>
        </m:r>
        <m:r>
          <m:rPr/>
          <m:t>0.95</m:t>
        </m:r>
        <m:sSub>
          <m:sSubPr/>
          <m:e>
            <m:r>
              <m:rPr/>
              <m:t>T</m:t>
            </m:r>
          </m:e>
          <m:sub>
            <m:r>
              <m:rPr/>
              <m:t>m</m:t>
            </m:r>
          </m:sub>
        </m:sSub>
        <m:r>
          <m:rPr>
            <m:sty m:val="p"/>
          </m:rPr>
          <m:t>]</m:t>
        </m:r>
      </m:oMath>
      <w:r>
        <w:rPr>
          <w:rFonts w:hint="eastAsia"/>
        </w:rPr>
        <w:t>。在该配置下,有效窗口数约为32个,覆盖探测频率范围约34.4-37.2</w:t>
      </w:r>
      <w:r>
        <w:t xml:space="preserve"> GHz。</w:t>
      </w:r>
    </w:p>
    <w:p w14:paraId="523BACC1">
      <w:r>
        <w:rPr>
          <w:rFonts w:hint="eastAsia"/>
        </w:rPr>
        <w:t>在调制周期首尾约</w:t>
      </w:r>
      <m:oMath>
        <m:r>
          <m:rPr/>
          <m:t>0.05</m:t>
        </m:r>
        <m:sSub>
          <m:sSubPr/>
          <m:e>
            <m:r>
              <m:rPr/>
              <m:t>T</m:t>
            </m:r>
          </m:e>
          <m:sub>
            <m:r>
              <m:rPr/>
              <m:t>m</m:t>
            </m:r>
          </m:sub>
        </m:sSub>
      </m:oMath>
      <w:r>
        <w:rPr>
          <w:rFonts w:hint="eastAsia"/>
        </w:rPr>
        <w:t>的边缘区域内,LFMCW信号存在过渡瞬态,差频稳定性较差,色散条件下这一问题会进一步放大并表现为ESPRIT估计跳变。因此,特征提取仅保留</w:t>
      </w:r>
      <m:oMath>
        <m:r>
          <m:rPr/>
          <m:t>t</m:t>
        </m:r>
        <m:r>
          <m:rPr>
            <m:sty m:val="p"/>
          </m:rPr>
          <m:t>∈[</m:t>
        </m:r>
        <m:r>
          <m:rPr/>
          <m:t>0.05</m:t>
        </m:r>
        <m:sSub>
          <m:sSubPr/>
          <m:e>
            <m:r>
              <m:rPr/>
              <m:t>T</m:t>
            </m:r>
          </m:e>
          <m:sub>
            <m:r>
              <m:rPr/>
              <m:t>m</m:t>
            </m:r>
          </m:sub>
        </m:sSub>
        <m:r>
          <m:rPr>
            <m:sty m:val="p"/>
          </m:rPr>
          <m:t>,</m:t>
        </m:r>
        <m:r>
          <m:rPr/>
          <m:t>0.95</m:t>
        </m:r>
        <m:sSub>
          <m:sSubPr/>
          <m:e>
            <m:r>
              <m:rPr/>
              <m:t>T</m:t>
            </m:r>
          </m:e>
          <m:sub>
            <m:r>
              <m:rPr/>
              <m:t>m</m:t>
            </m:r>
          </m:sub>
        </m:sSub>
        <m:r>
          <m:rPr>
            <m:sty m:val="p"/>
          </m:rPr>
          <m:t>]</m:t>
        </m:r>
      </m:oMath>
      <w:r>
        <w:rPr>
          <w:rFonts w:hint="eastAsia"/>
        </w:rPr>
        <w:t>范围内的窗口。与此同时,本文采用90%重叠率的高密度滑窗策略(</w:t>
      </w:r>
      <m:oMath>
        <m:sSub>
          <m:sSubPr/>
          <m:e>
            <m:r>
              <m:rPr/>
              <m:t>T</m:t>
            </m:r>
          </m:e>
          <m:sub>
            <m:r>
              <m:rPr/>
              <m:t>step</m:t>
            </m:r>
          </m:sub>
        </m:sSub>
        <m:r>
          <m:rPr>
            <m:sty m:val="p"/>
          </m:rPr>
          <m:t>=</m:t>
        </m:r>
        <m:sSub>
          <m:sSubPr/>
          <m:e>
            <m:r>
              <m:rPr/>
              <m:t>T</m:t>
            </m:r>
          </m:e>
          <m:sub>
            <m:r>
              <m:rPr/>
              <m:t>w</m:t>
            </m:r>
          </m:sub>
        </m:sSub>
        <m:r>
          <m:rPr>
            <m:sty m:val="p"/>
          </m:rPr>
          <m:t>/</m:t>
        </m:r>
        <m:r>
          <m:rPr/>
          <m:t>10</m:t>
        </m:r>
      </m:oMath>
      <w:r>
        <w:rPr>
          <w:rFonts w:hint="eastAsia"/>
        </w:rPr>
        <w:t>),以平滑边缘处的估计突变并提高后续反演的稳健性。</w:t>
      </w:r>
    </w:p>
    <w:p w14:paraId="1FD66D29">
      <w:r>
        <w:rPr>
          <w:rFonts w:hint="eastAsia"/>
        </w:rPr>
        <w:t>当探测频率接近截止频率</w:t>
      </w:r>
      <m:oMath>
        <m:sSub>
          <m:sSubPr/>
          <m:e>
            <m:r>
              <m:rPr/>
              <m:t>f</m:t>
            </m:r>
          </m:e>
          <m:sub>
            <m:r>
              <m:rPr/>
              <m:t>p</m:t>
            </m:r>
          </m:sub>
        </m:sSub>
      </m:oMath>
      <w:r>
        <w:rPr>
          <w:rFonts w:hint="eastAsia"/>
        </w:rPr>
        <w:t>时,信号幅度急剧衰减(见第4.2.1节图4-1(b)右轴的幅度曲线),信噪比严重恶化。在这些低信噪比区域,ESPRIT算法的频率估计方差显著增大,甚至可能完全失效。为了量化各特征点的可靠性,本文在每个窗口内同步提取信号的均方根(RMS)幅度</w:t>
      </w:r>
      <m:oMath>
        <m:sSub>
          <m:sSubPr/>
          <m:e>
            <m:r>
              <m:rPr/>
              <m:t>A</m:t>
            </m:r>
          </m:e>
          <m:sub>
            <m:r>
              <m:rPr/>
              <m:t>i</m:t>
            </m:r>
          </m:sub>
        </m:sSub>
      </m:oMath>
      <w:r>
        <w:rPr>
          <w:rFonts w:hint="eastAsia"/>
        </w:rPr>
        <w:t>作为置信度权重:</w:t>
      </w:r>
    </w:p>
    <w:p w14:paraId="0B903197">
      <w:r>
        <w:t xml:space="preserve"> </w:t>
      </w:r>
    </w:p>
    <w:p w14:paraId="1DA1D466">
      <w:pPr>
        <w:pStyle w:val="44"/>
        <w:spacing w:before="0" w:after="0" w:line="400" w:lineRule="atLeast"/>
      </w:pPr>
      <w:r>
        <w:tab/>
      </w:r>
      <m:oMath>
        <m:sSub>
          <m:sSubPr/>
          <m:e>
            <m:r>
              <m:rPr/>
              <m:t>A</m:t>
            </m:r>
          </m:e>
          <m:sub>
            <m:r>
              <m:rPr/>
              <m:t>i</m:t>
            </m:r>
          </m:sub>
        </m:sSub>
        <m:r>
          <m:rPr>
            <m:sty m:val="p"/>
          </m:rPr>
          <m:t>=</m:t>
        </m:r>
        <m:rad>
          <m:radPr>
            <m:degHide m:val="1"/>
          </m:radPr>
          <m:deg/>
          <m:e>
            <m:f>
              <m:fPr/>
              <m:num>
                <m:r>
                  <m:rPr/>
                  <m:t>1</m:t>
                </m:r>
              </m:num>
              <m:den>
                <m:sSub>
                  <m:sSubPr/>
                  <m:e>
                    <m:r>
                      <m:rPr/>
                      <m:t>N</m:t>
                    </m:r>
                  </m:e>
                  <m:sub>
                    <m:r>
                      <m:rPr/>
                      <m:t>sam</m:t>
                    </m:r>
                  </m:sub>
                </m:sSub>
              </m:den>
            </m:f>
            <m:nary>
              <m:naryPr>
                <m:chr m:val="∑"/>
                <m:limLoc m:val="undOvr"/>
              </m:naryPr>
              <m:sub>
                <m:r>
                  <m:rPr/>
                  <m:t>n</m:t>
                </m:r>
                <m:r>
                  <m:rPr>
                    <m:sty m:val="p"/>
                  </m:rPr>
                  <m:t>=</m:t>
                </m:r>
                <m:r>
                  <m:rPr/>
                  <m:t>1</m:t>
                </m:r>
              </m:sub>
              <m:sup>
                <m:sSub>
                  <m:sSubPr/>
                  <m:e>
                    <m:r>
                      <m:rPr/>
                      <m:t>N</m:t>
                    </m:r>
                  </m:e>
                  <m:sub>
                    <m:r>
                      <m:rPr/>
                      <m:t>sam</m:t>
                    </m:r>
                  </m:sub>
                </m:sSub>
              </m:sup>
              <m:e>
                <m:r>
                  <m:rPr>
                    <m:sty m:val="p"/>
                  </m:rPr>
                  <m:t>|</m:t>
                </m:r>
              </m:e>
            </m:nary>
            <m:sSub>
              <m:sSubPr/>
              <m:e>
                <m:r>
                  <m:rPr/>
                  <m:t>s</m:t>
                </m:r>
              </m:e>
              <m:sub>
                <m:r>
                  <m:rPr/>
                  <m:t>D</m:t>
                </m:r>
              </m:sub>
            </m:sSub>
            <m:r>
              <m:rPr>
                <m:sty m:val="p"/>
              </m:rPr>
              <m:t>(</m:t>
            </m:r>
            <m:sSub>
              <m:sSubPr/>
              <m:e>
                <m:r>
                  <m:rPr/>
                  <m:t>t</m:t>
                </m:r>
              </m:e>
              <m:sub>
                <m:r>
                  <m:rPr/>
                  <m:t>i</m:t>
                </m:r>
                <m:r>
                  <m:rPr>
                    <m:sty m:val="p"/>
                  </m:rPr>
                  <m:t>,</m:t>
                </m:r>
                <m:r>
                  <m:rPr/>
                  <m:t>n</m:t>
                </m:r>
              </m:sub>
            </m:sSub>
            <m:r>
              <m:rPr>
                <m:sty m:val="p"/>
              </m:rPr>
              <m:t>)</m:t>
            </m:r>
            <m:sSup>
              <m:sSupPr/>
              <m:e>
                <m:r>
                  <m:rPr>
                    <m:sty m:val="p"/>
                  </m:rPr>
                  <m:t>|</m:t>
                </m:r>
              </m:e>
              <m:sup>
                <m:r>
                  <m:rPr/>
                  <m:t>2</m:t>
                </m:r>
              </m:sup>
            </m:sSup>
          </m:e>
        </m:rad>
      </m:oMath>
      <w:r>
        <w:tab/>
      </w:r>
      <w:r>
        <w:t>(4</w:t>
      </w:r>
      <w:r>
        <w:noBreakHyphen/>
      </w:r>
      <w:r>
        <w:t>21)</w:t>
      </w:r>
    </w:p>
    <w:p w14:paraId="2EDA8491">
      <w:r>
        <w:t xml:space="preserve"> </w:t>
      </w:r>
    </w:p>
    <w:p w14:paraId="24750141">
      <w:r>
        <w:rPr>
          <w:rFonts w:hint="eastAsia"/>
        </w:rPr>
        <w:t>其中</w:t>
      </w:r>
      <m:oMath>
        <m:sSub>
          <m:sSubPr/>
          <m:e>
            <m:r>
              <m:rPr/>
              <m:t>N</m:t>
            </m:r>
          </m:e>
          <m:sub>
            <m:r>
              <m:rPr/>
              <m:t>sam</m:t>
            </m:r>
          </m:sub>
        </m:sSub>
      </m:oMath>
      <w:r>
        <w:rPr>
          <w:rFonts w:hint="eastAsia"/>
        </w:rPr>
        <w:t>为窗口内的采样点数(注意区分</w:t>
      </w:r>
      <m:oMath>
        <m:sSub>
          <m:sSubPr/>
          <m:e>
            <m:r>
              <m:rPr/>
              <m:t>N</m:t>
            </m:r>
          </m:e>
          <m:sub>
            <m:r>
              <m:rPr/>
              <m:t>w</m:t>
            </m:r>
          </m:sub>
        </m:sSub>
      </m:oMath>
      <w:r>
        <w:rPr>
          <w:rFonts w:hint="eastAsia"/>
        </w:rPr>
        <w:t>为总窗口数)。该幅度信息将在后续构建加权似然函数时发挥关键作用:高幅度(高信噪比)区域的特征点被赋予较大权重,主导反演过程;而低幅度区域的特征点权重被自动降低,避免噪声主导的错误数据污染反演结果。这种基于物理机制的自适应加权策略,本质上利用了前文揭示的幅度对</w:t>
      </w:r>
      <m:oMath>
        <m:sSub>
          <m:sSubPr/>
          <m:e>
            <m:r>
              <m:rPr/>
              <m:t>ν</m:t>
            </m:r>
          </m:e>
          <m:sub>
            <m:r>
              <m:rPr/>
              <m:t>e</m:t>
            </m:r>
          </m:sub>
        </m:sSub>
      </m:oMath>
      <w:r>
        <w:rPr>
          <w:rFonts w:hint="eastAsia"/>
        </w:rPr>
        <w:t>敏感、时延对</w:t>
      </w:r>
      <m:oMath>
        <m:sSub>
          <m:sSubPr/>
          <m:e>
            <m:r>
              <m:rPr/>
              <m:t>n</m:t>
            </m:r>
          </m:e>
          <m:sub>
            <m:r>
              <m:rPr/>
              <m:t>e</m:t>
            </m:r>
          </m:sub>
        </m:sSub>
      </m:oMath>
      <w:r>
        <w:rPr>
          <w:rFonts w:hint="eastAsia"/>
        </w:rPr>
        <w:t>敏感的解耦特性——虽然未显式反演碰撞频率</w:t>
      </w:r>
      <m:oMath>
        <m:sSub>
          <m:sSubPr/>
          <m:e>
            <m:r>
              <m:rPr/>
              <m:t>ν</m:t>
            </m:r>
          </m:e>
          <m:sub>
            <m:r>
              <m:rPr/>
              <m:t>e</m:t>
            </m:r>
          </m:sub>
        </m:sSub>
      </m:oMath>
      <w:r>
        <w:rPr>
          <w:rFonts w:hint="eastAsia"/>
        </w:rPr>
        <w:t>,却将其物理效应融入了算法的鲁棒性设计中。</w:t>
      </w:r>
    </w:p>
    <w:p w14:paraId="119ACBE6">
      <w:r>
        <w:pict>
          <v:rect id="_x0000_i1036" o:spt="1" style="height:1.5pt;width:0pt;" coordsize="21600,21600" o:hr="t" o:hrstd="t" o:hralign="center">
            <v:path/>
            <v:fill focussize="0,0"/>
            <v:stroke/>
            <v:imagedata o:title=""/>
            <o:lock v:ext="edit"/>
            <w10:wrap type="none"/>
            <w10:anchorlock/>
          </v:rect>
        </w:pict>
      </w:r>
    </w:p>
    <w:bookmarkEnd w:id="62"/>
    <w:p w14:paraId="04232BB1">
      <w:pPr>
        <w:pStyle w:val="4"/>
      </w:pPr>
      <w:bookmarkStart w:id="63" w:name="多径干扰下的信源数估计mdl准则与子空间净化"/>
      <w:r>
        <w:rPr>
          <w:rFonts w:hint="eastAsia"/>
        </w:rPr>
        <w:t>多径干扰下的信源数估计(MDL准则)与子空间净化</w:t>
      </w:r>
    </w:p>
    <w:p w14:paraId="3FCADF82">
      <w:r>
        <w:rPr>
          <w:rFonts w:hint="eastAsia"/>
        </w:rPr>
        <w:t>在实际的微波透射诊断系统中,除了穿过等离子体介质的直达路径外,电磁波还会在系统组件(天线馈口、波导壁、介质界面)发生多次反射,形成多径传播效应。这些反射波与直达波在接收端叠加,导致混频后的差频信号不再是单一频率成分,而是包含多个离散频率分量的复合信号。</w:t>
      </w:r>
    </w:p>
    <w:p w14:paraId="798BE92E">
      <w:r>
        <w:rPr>
          <w:rFonts w:hint="eastAsia"/>
        </w:rPr>
        <w:t>从信号模型的角度,设直达波对应的差频为</w:t>
      </w:r>
      <m:oMath>
        <m:sSubSup>
          <m:sSubSupPr/>
          <m:e>
            <m:r>
              <m:rPr/>
              <m:t>f</m:t>
            </m:r>
          </m:e>
          <m:sub>
            <m:r>
              <m:rPr/>
              <m:t>D</m:t>
            </m:r>
          </m:sub>
          <m:sup>
            <m:r>
              <m:rPr>
                <m:sty m:val="p"/>
              </m:rPr>
              <m:t>(</m:t>
            </m:r>
            <m:r>
              <m:rPr/>
              <m:t>0</m:t>
            </m:r>
            <m:r>
              <m:rPr>
                <m:sty m:val="p"/>
              </m:rPr>
              <m:t>)</m:t>
            </m:r>
          </m:sup>
        </m:sSubSup>
      </m:oMath>
      <w:r>
        <w:rPr>
          <w:rFonts w:hint="eastAsia"/>
        </w:rPr>
        <w:t>,第</w:t>
      </w:r>
      <m:oMath>
        <m:r>
          <m:rPr/>
          <m:t>k</m:t>
        </m:r>
      </m:oMath>
      <w:r>
        <w:rPr>
          <w:rFonts w:hint="eastAsia"/>
        </w:rPr>
        <w:t>条反射路径对应的差频为</w:t>
      </w:r>
      <m:oMath>
        <m:sSubSup>
          <m:sSubSupPr/>
          <m:e>
            <m:r>
              <m:rPr/>
              <m:t>f</m:t>
            </m:r>
          </m:e>
          <m:sub>
            <m:r>
              <m:rPr/>
              <m:t>D</m:t>
            </m:r>
          </m:sub>
          <m:sup>
            <m:r>
              <m:rPr>
                <m:sty m:val="p"/>
              </m:rPr>
              <m:t>(</m:t>
            </m:r>
            <m:r>
              <m:rPr/>
              <m:t>k</m:t>
            </m:r>
            <m:r>
              <m:rPr>
                <m:sty m:val="p"/>
              </m:rPr>
              <m:t>)</m:t>
            </m:r>
          </m:sup>
        </m:sSubSup>
      </m:oMath>
      <w:r>
        <w:rPr>
          <w:rFonts w:hint="eastAsia"/>
        </w:rPr>
        <w:t>,则窗口内的差频信号可表示为:</w:t>
      </w:r>
    </w:p>
    <w:p w14:paraId="08D2ABA3">
      <w:r>
        <w:t xml:space="preserve"> </w:t>
      </w:r>
    </w:p>
    <w:p w14:paraId="145992DE">
      <w:pPr>
        <w:pStyle w:val="44"/>
        <w:spacing w:before="0" w:after="0" w:line="400" w:lineRule="atLeast"/>
      </w:pPr>
      <w:r>
        <w:tab/>
      </w:r>
      <m:oMath>
        <m:sSub>
          <m:sSubPr/>
          <m:e>
            <m:r>
              <m:rPr/>
              <m:t>s</m:t>
            </m:r>
          </m:e>
          <m:sub>
            <m:r>
              <m:rPr/>
              <m:t>D</m:t>
            </m:r>
          </m:sub>
        </m:sSub>
        <m:r>
          <m:rPr>
            <m:sty m:val="p"/>
          </m:rPr>
          <m:t>(</m:t>
        </m:r>
        <m:r>
          <m:rPr/>
          <m:t>t</m:t>
        </m:r>
        <m:r>
          <m:rPr>
            <m:sty m:val="p"/>
          </m:rPr>
          <m:t>)=</m:t>
        </m:r>
        <m:nary>
          <m:naryPr>
            <m:chr m:val="∑"/>
            <m:limLoc m:val="undOvr"/>
          </m:naryPr>
          <m:sub>
            <m:r>
              <m:rPr/>
              <m:t>k</m:t>
            </m:r>
            <m:r>
              <m:rPr>
                <m:sty m:val="p"/>
              </m:rPr>
              <m:t>=</m:t>
            </m:r>
            <m:r>
              <m:rPr/>
              <m:t>0</m:t>
            </m:r>
          </m:sub>
          <m:sup>
            <m:r>
              <m:rPr/>
              <m:t>K</m:t>
            </m:r>
            <m:r>
              <m:rPr>
                <m:sty m:val="p"/>
              </m:rPr>
              <m:t>−</m:t>
            </m:r>
            <m:r>
              <m:rPr/>
              <m:t>1</m:t>
            </m:r>
          </m:sup>
          <m:e>
            <m:sSub>
              <m:sSubPr/>
              <m:e>
                <m:r>
                  <m:rPr/>
                  <m:t>A</m:t>
                </m:r>
              </m:e>
              <m:sub>
                <m:r>
                  <m:rPr/>
                  <m:t>k</m:t>
                </m:r>
              </m:sub>
            </m:sSub>
          </m:e>
        </m:nary>
        <m:r>
          <m:rPr>
            <m:sty m:val="p"/>
          </m:rPr>
          <m:t>exp{</m:t>
        </m:r>
        <m:r>
          <m:rPr/>
          <m:t>j</m:t>
        </m:r>
        <m:r>
          <m:rPr>
            <m:sty m:val="p"/>
          </m:rPr>
          <m:t>[</m:t>
        </m:r>
        <m:r>
          <m:rPr/>
          <m:t>2π</m:t>
        </m:r>
        <m:sSubSup>
          <m:sSubSupPr/>
          <m:e>
            <m:r>
              <m:rPr/>
              <m:t>f</m:t>
            </m:r>
          </m:e>
          <m:sub>
            <m:r>
              <m:rPr/>
              <m:t>D</m:t>
            </m:r>
          </m:sub>
          <m:sup>
            <m:r>
              <m:rPr>
                <m:sty m:val="p"/>
              </m:rPr>
              <m:t>(</m:t>
            </m:r>
            <m:r>
              <m:rPr/>
              <m:t>k</m:t>
            </m:r>
            <m:r>
              <m:rPr>
                <m:sty m:val="p"/>
              </m:rPr>
              <m:t>)</m:t>
            </m:r>
          </m:sup>
        </m:sSubSup>
        <m:r>
          <m:rPr/>
          <m:t>t</m:t>
        </m:r>
        <m:r>
          <m:rPr>
            <m:sty m:val="p"/>
          </m:rPr>
          <m:t>+</m:t>
        </m:r>
        <m:sSub>
          <m:sSubPr/>
          <m:e>
            <m:r>
              <m:rPr/>
              <m:t>ϕ</m:t>
            </m:r>
          </m:e>
          <m:sub>
            <m:r>
              <m:rPr/>
              <m:t>k</m:t>
            </m:r>
          </m:sub>
        </m:sSub>
        <m:r>
          <m:rPr>
            <m:sty m:val="p"/>
          </m:rPr>
          <m:t>]}+</m:t>
        </m:r>
        <m:r>
          <m:rPr/>
          <m:t>n</m:t>
        </m:r>
        <m:r>
          <m:rPr>
            <m:sty m:val="p"/>
          </m:rPr>
          <m:t>(</m:t>
        </m:r>
        <m:r>
          <m:rPr/>
          <m:t>t</m:t>
        </m:r>
        <m:r>
          <m:rPr>
            <m:sty m:val="p"/>
          </m:rPr>
          <m:t>)</m:t>
        </m:r>
      </m:oMath>
      <w:r>
        <w:tab/>
      </w:r>
      <w:r>
        <w:t>(4</w:t>
      </w:r>
      <w:r>
        <w:noBreakHyphen/>
      </w:r>
      <w:r>
        <w:t>22)</w:t>
      </w:r>
    </w:p>
    <w:p w14:paraId="10FCFD03">
      <w:r>
        <w:t xml:space="preserve"> </w:t>
      </w:r>
    </w:p>
    <w:p w14:paraId="2121A27A">
      <w:r>
        <w:rPr>
          <w:rFonts w:hint="eastAsia"/>
        </w:rPr>
        <w:t>其中</w:t>
      </w:r>
      <m:oMath>
        <m:sSub>
          <m:sSubPr/>
          <m:e>
            <m:r>
              <m:rPr/>
              <m:t>A</m:t>
            </m:r>
          </m:e>
          <m:sub>
            <m:r>
              <m:rPr/>
              <m:t>k</m:t>
            </m:r>
          </m:sub>
        </m:sSub>
      </m:oMath>
      <w:r>
        <w:rPr>
          <w:rFonts w:hint="eastAsia"/>
        </w:rPr>
        <w:t>和</w:t>
      </w:r>
      <m:oMath>
        <m:sSub>
          <m:sSubPr/>
          <m:e>
            <m:r>
              <m:rPr/>
              <m:t>ϕ</m:t>
            </m:r>
          </m:e>
          <m:sub>
            <m:r>
              <m:rPr/>
              <m:t>k</m:t>
            </m:r>
          </m:sub>
        </m:sSub>
      </m:oMath>
      <w:r>
        <w:rPr>
          <w:rFonts w:hint="eastAsia"/>
        </w:rPr>
        <w:t>分别为第</w:t>
      </w:r>
      <m:oMath>
        <m:r>
          <m:rPr/>
          <m:t>k</m:t>
        </m:r>
      </m:oMath>
      <w:r>
        <w:rPr>
          <w:rFonts w:hint="eastAsia"/>
        </w:rPr>
        <w:t>条路径的幅度和初相,</w:t>
      </w:r>
      <m:oMath>
        <m:r>
          <m:rPr/>
          <m:t>n</m:t>
        </m:r>
        <m:r>
          <m:rPr>
            <m:sty m:val="p"/>
          </m:rPr>
          <m:t>(</m:t>
        </m:r>
        <m:r>
          <m:rPr/>
          <m:t>t</m:t>
        </m:r>
        <m:r>
          <m:rPr>
            <m:sty m:val="p"/>
          </m:rPr>
          <m:t>)</m:t>
        </m:r>
      </m:oMath>
      <w:r>
        <w:rPr>
          <w:rFonts w:hint="eastAsia"/>
        </w:rPr>
        <w:t>为加性高斯白噪声,</w:t>
      </w:r>
      <m:oMath>
        <m:r>
          <m:rPr/>
          <m:t>K</m:t>
        </m:r>
      </m:oMath>
      <w:r>
        <w:rPr>
          <w:rFonts w:hint="eastAsia"/>
        </w:rPr>
        <w:t>为总信源数(包含直达波和反射波)。由于反射路径长于直达路径,反射波经历的群时延更大,对应的差频</w:t>
      </w:r>
      <m:oMath>
        <m:sSubSup>
          <m:sSubSupPr/>
          <m:e>
            <m:r>
              <m:rPr/>
              <m:t>f</m:t>
            </m:r>
          </m:e>
          <m:sub>
            <m:r>
              <m:rPr/>
              <m:t>D</m:t>
            </m:r>
          </m:sub>
          <m:sup>
            <m:r>
              <m:rPr>
                <m:sty m:val="p"/>
              </m:rPr>
              <m:t>(</m:t>
            </m:r>
            <m:r>
              <m:rPr/>
              <m:t>k</m:t>
            </m:r>
            <m:r>
              <m:rPr>
                <m:sty m:val="p"/>
              </m:rPr>
              <m:t>)</m:t>
            </m:r>
          </m:sup>
        </m:sSubSup>
        <m:r>
          <m:rPr>
            <m:sty m:val="p"/>
          </m:rPr>
          <m:t>&gt;</m:t>
        </m:r>
        <m:sSubSup>
          <m:sSubSupPr/>
          <m:e>
            <m:r>
              <m:rPr/>
              <m:t>f</m:t>
            </m:r>
          </m:e>
          <m:sub>
            <m:r>
              <m:rPr/>
              <m:t>D</m:t>
            </m:r>
          </m:sub>
          <m:sup>
            <m:r>
              <m:rPr>
                <m:sty m:val="p"/>
              </m:rPr>
              <m:t>(</m:t>
            </m:r>
            <m:r>
              <m:rPr/>
              <m:t>0</m:t>
            </m:r>
            <m:r>
              <m:rPr>
                <m:sty m:val="p"/>
              </m:rPr>
              <m:t>)</m:t>
            </m:r>
          </m:sup>
        </m:sSubSup>
      </m:oMath>
      <w:r>
        <w:t>(</w:t>
      </w:r>
      <m:oMath>
        <m:r>
          <m:rPr/>
          <m:t>k</m:t>
        </m:r>
        <m:r>
          <m:rPr>
            <m:sty m:val="p"/>
          </m:rPr>
          <m:t>≥</m:t>
        </m:r>
        <m:r>
          <m:rPr/>
          <m:t>1</m:t>
        </m:r>
      </m:oMath>
      <w:r>
        <w:t>)。</w:t>
      </w:r>
    </w:p>
    <w:p w14:paraId="58C8D6B2">
      <w:r>
        <w:rPr>
          <w:rFonts w:hint="eastAsia"/>
        </w:rPr>
        <w:t>若直接对式(4-22)描述的多分量信号进行FFT分析,频谱将呈现多峰结构,各峰对应不同路径的贡献。在峰值间距较大(即路径时延差显著)时,可通过峰值检测直接分离;然而,当路径时延差较小或信噪比较低时,频谱峰值发生重叠或模糊,传统方法难以准确提取直达波分量。更严重的是,若误将反射波峰值当作直达波处理,将导致系统性的时延高估,反演得到的电子密度严重偏高。</w:t>
      </w:r>
    </w:p>
    <w:p w14:paraId="537CF279">
      <w:r>
        <w:rPr>
          <w:rFonts w:hint="eastAsia"/>
        </w:rPr>
        <w:t>为在多径干扰下准确提取直达波频率,本文引入基于子空间分解的高分辨率频率估计方法。将窗口数据按Hankel结构组织后,构造协方差矩阵并进行前后向平均,以提升弱信号条件下的统计稳定性。子空间维度</w:t>
      </w:r>
      <m:oMath>
        <m:r>
          <m:rPr/>
          <m:t>L</m:t>
        </m:r>
      </m:oMath>
      <w:r>
        <w:rPr>
          <w:rFonts w:hint="eastAsia"/>
        </w:rPr>
        <w:t>取窗口样本数的一半,使Hankel矩阵在维度与快拍数之间保持相对均衡,从而兼顾频率分辨率与协方差估计稳定性。</w:t>
      </w:r>
    </w:p>
    <w:p w14:paraId="647A7047">
      <w:r>
        <w:t xml:space="preserve"> </w:t>
      </w:r>
    </w:p>
    <w:p w14:paraId="5DFF48B7">
      <w:pPr>
        <w:pStyle w:val="44"/>
        <w:spacing w:before="0" w:after="0" w:line="400" w:lineRule="atLeast"/>
      </w:pPr>
      <w:r>
        <w:tab/>
      </w:r>
      <m:oMath>
        <m:r>
          <m:rPr>
            <m:sty m:val="bi"/>
          </m:rPr>
          <m:t>X</m:t>
        </m:r>
        <m:r>
          <m:rPr>
            <m:sty m:val="p"/>
          </m:rPr>
          <m:t>=</m:t>
        </m:r>
        <m:d>
          <m:dPr>
            <m:begChr m:val="["/>
            <m:sepChr m:val=""/>
            <m:endChr m:val="]"/>
          </m:dPr>
          <m:e>
            <m:m>
              <m:mPr>
                <m:mcs>
                  <m:mc>
                    <m:mcPr>
                      <m:count m:val="4"/>
                      <m:mcJc m:val="center"/>
                    </m:mcPr>
                  </m:mc>
                </m:mcs>
                <m:plcHide m:val="1"/>
              </m:mPr>
              <m:mr>
                <m:e>
                  <m:sSub>
                    <m:sSubPr/>
                    <m:e>
                      <m:r>
                        <m:rPr/>
                        <m:t>s</m:t>
                      </m:r>
                    </m:e>
                    <m:sub>
                      <m:r>
                        <m:rPr/>
                        <m:t>D</m:t>
                      </m:r>
                    </m:sub>
                  </m:sSub>
                  <m:r>
                    <m:rPr>
                      <m:sty m:val="p"/>
                    </m:rPr>
                    <m:t>(</m:t>
                  </m:r>
                  <m:r>
                    <m:rPr/>
                    <m:t>0</m:t>
                  </m:r>
                  <m:r>
                    <m:rPr>
                      <m:sty m:val="p"/>
                    </m:rPr>
                    <m:t>)</m:t>
                  </m:r>
                </m:e>
                <m:e>
                  <m:sSub>
                    <m:sSubPr/>
                    <m:e>
                      <m:r>
                        <m:rPr/>
                        <m:t>s</m:t>
                      </m:r>
                    </m:e>
                    <m:sub>
                      <m:r>
                        <m:rPr/>
                        <m:t>D</m:t>
                      </m:r>
                    </m:sub>
                  </m:sSub>
                  <m:r>
                    <m:rPr>
                      <m:sty m:val="p"/>
                    </m:rPr>
                    <m:t>(</m:t>
                  </m:r>
                  <m:r>
                    <m:rPr/>
                    <m:t>1</m:t>
                  </m:r>
                  <m:r>
                    <m:rPr>
                      <m:sty m:val="p"/>
                    </m:rPr>
                    <m:t>)</m:t>
                  </m:r>
                </m:e>
                <m:e>
                  <m:r>
                    <m:rPr>
                      <m:sty m:val="p"/>
                    </m:rPr>
                    <m:t>⋯</m:t>
                  </m:r>
                </m:e>
                <m:e>
                  <m:sSub>
                    <m:sSubPr/>
                    <m:e>
                      <m:r>
                        <m:rPr/>
                        <m:t>s</m:t>
                      </m:r>
                    </m:e>
                    <m:sub>
                      <m:r>
                        <m:rPr/>
                        <m:t>D</m:t>
                      </m:r>
                    </m:sub>
                  </m:sSub>
                  <m:r>
                    <m:rPr>
                      <m:sty m:val="p"/>
                    </m:rPr>
                    <m:t>(</m:t>
                  </m:r>
                  <m:r>
                    <m:rPr/>
                    <m:t>M</m:t>
                  </m:r>
                  <m:r>
                    <m:rPr>
                      <m:sty m:val="p"/>
                    </m:rPr>
                    <m:t>−</m:t>
                  </m:r>
                  <m:r>
                    <m:rPr/>
                    <m:t>1</m:t>
                  </m:r>
                  <m:r>
                    <m:rPr>
                      <m:sty m:val="p"/>
                    </m:rPr>
                    <m:t>)</m:t>
                  </m:r>
                </m:e>
              </m:mr>
              <m:mr>
                <m:e>
                  <m:sSub>
                    <m:sSubPr/>
                    <m:e>
                      <m:r>
                        <m:rPr/>
                        <m:t>s</m:t>
                      </m:r>
                    </m:e>
                    <m:sub>
                      <m:r>
                        <m:rPr/>
                        <m:t>D</m:t>
                      </m:r>
                    </m:sub>
                  </m:sSub>
                  <m:r>
                    <m:rPr>
                      <m:sty m:val="p"/>
                    </m:rPr>
                    <m:t>(</m:t>
                  </m:r>
                  <m:r>
                    <m:rPr/>
                    <m:t>1</m:t>
                  </m:r>
                  <m:r>
                    <m:rPr>
                      <m:sty m:val="p"/>
                    </m:rPr>
                    <m:t>)</m:t>
                  </m:r>
                </m:e>
                <m:e>
                  <m:sSub>
                    <m:sSubPr/>
                    <m:e>
                      <m:r>
                        <m:rPr/>
                        <m:t>s</m:t>
                      </m:r>
                    </m:e>
                    <m:sub>
                      <m:r>
                        <m:rPr/>
                        <m:t>D</m:t>
                      </m:r>
                    </m:sub>
                  </m:sSub>
                  <m:r>
                    <m:rPr>
                      <m:sty m:val="p"/>
                    </m:rPr>
                    <m:t>(</m:t>
                  </m:r>
                  <m:r>
                    <m:rPr/>
                    <m:t>2</m:t>
                  </m:r>
                  <m:r>
                    <m:rPr>
                      <m:sty m:val="p"/>
                    </m:rPr>
                    <m:t>)</m:t>
                  </m:r>
                </m:e>
                <m:e>
                  <m:r>
                    <m:rPr>
                      <m:sty m:val="p"/>
                    </m:rPr>
                    <m:t>⋯</m:t>
                  </m:r>
                </m:e>
                <m:e>
                  <m:sSub>
                    <m:sSubPr/>
                    <m:e>
                      <m:r>
                        <m:rPr/>
                        <m:t>s</m:t>
                      </m:r>
                    </m:e>
                    <m:sub>
                      <m:r>
                        <m:rPr/>
                        <m:t>D</m:t>
                      </m:r>
                    </m:sub>
                  </m:sSub>
                  <m:r>
                    <m:rPr>
                      <m:sty m:val="p"/>
                    </m:rPr>
                    <m:t>(</m:t>
                  </m:r>
                  <m:r>
                    <m:rPr/>
                    <m:t>M</m:t>
                  </m:r>
                  <m:r>
                    <m:rPr>
                      <m:sty m:val="p"/>
                    </m:rPr>
                    <m:t>)</m:t>
                  </m:r>
                </m:e>
              </m:mr>
              <m:mr>
                <m:e>
                  <m:r>
                    <m:rPr>
                      <m:sty m:val="p"/>
                    </m:rPr>
                    <m:t>⋮</m:t>
                  </m:r>
                </m:e>
                <m:e>
                  <m:r>
                    <m:rPr>
                      <m:sty m:val="p"/>
                    </m:rPr>
                    <m:t>⋮</m:t>
                  </m:r>
                </m:e>
                <m:e>
                  <m:r>
                    <m:rPr>
                      <m:sty m:val="p"/>
                    </m:rPr>
                    <m:t>⋱</m:t>
                  </m:r>
                </m:e>
                <m:e>
                  <m:r>
                    <m:rPr>
                      <m:sty m:val="p"/>
                    </m:rPr>
                    <m:t>⋮</m:t>
                  </m:r>
                </m:e>
              </m:mr>
              <m:mr>
                <m:e>
                  <m:sSub>
                    <m:sSubPr/>
                    <m:e>
                      <m:r>
                        <m:rPr/>
                        <m:t>s</m:t>
                      </m:r>
                    </m:e>
                    <m:sub>
                      <m:r>
                        <m:rPr/>
                        <m:t>D</m:t>
                      </m:r>
                    </m:sub>
                  </m:sSub>
                  <m:r>
                    <m:rPr>
                      <m:sty m:val="p"/>
                    </m:rPr>
                    <m:t>(</m:t>
                  </m:r>
                  <m:r>
                    <m:rPr/>
                    <m:t>L</m:t>
                  </m:r>
                  <m:r>
                    <m:rPr>
                      <m:sty m:val="p"/>
                    </m:rPr>
                    <m:t>−</m:t>
                  </m:r>
                  <m:r>
                    <m:rPr/>
                    <m:t>1</m:t>
                  </m:r>
                  <m:r>
                    <m:rPr>
                      <m:sty m:val="p"/>
                    </m:rPr>
                    <m:t>)</m:t>
                  </m:r>
                </m:e>
                <m:e>
                  <m:sSub>
                    <m:sSubPr/>
                    <m:e>
                      <m:r>
                        <m:rPr/>
                        <m:t>s</m:t>
                      </m:r>
                    </m:e>
                    <m:sub>
                      <m:r>
                        <m:rPr/>
                        <m:t>D</m:t>
                      </m:r>
                    </m:sub>
                  </m:sSub>
                  <m:r>
                    <m:rPr>
                      <m:sty m:val="p"/>
                    </m:rPr>
                    <m:t>(</m:t>
                  </m:r>
                  <m:r>
                    <m:rPr/>
                    <m:t>L</m:t>
                  </m:r>
                  <m:r>
                    <m:rPr>
                      <m:sty m:val="p"/>
                    </m:rPr>
                    <m:t>)</m:t>
                  </m:r>
                </m:e>
                <m:e>
                  <m:r>
                    <m:rPr>
                      <m:sty m:val="p"/>
                    </m:rPr>
                    <m:t>⋯</m:t>
                  </m:r>
                </m:e>
                <m:e>
                  <m:sSub>
                    <m:sSubPr/>
                    <m:e>
                      <m:r>
                        <m:rPr/>
                        <m:t>s</m:t>
                      </m:r>
                    </m:e>
                    <m:sub>
                      <m:r>
                        <m:rPr/>
                        <m:t>D</m:t>
                      </m:r>
                    </m:sub>
                  </m:sSub>
                  <m:r>
                    <m:rPr>
                      <m:sty m:val="p"/>
                    </m:rPr>
                    <m:t>(</m:t>
                  </m:r>
                  <m:sSub>
                    <m:sSubPr/>
                    <m:e>
                      <m:r>
                        <m:rPr/>
                        <m:t>N</m:t>
                      </m:r>
                    </m:e>
                    <m:sub>
                      <m:r>
                        <m:rPr/>
                        <m:t>w</m:t>
                      </m:r>
                    </m:sub>
                  </m:sSub>
                  <m:r>
                    <m:rPr>
                      <m:sty m:val="p"/>
                    </m:rPr>
                    <m:t>−</m:t>
                  </m:r>
                  <m:r>
                    <m:rPr/>
                    <m:t>1</m:t>
                  </m:r>
                  <m:r>
                    <m:rPr>
                      <m:sty m:val="p"/>
                    </m:rPr>
                    <m:t>)</m:t>
                  </m:r>
                </m:e>
              </m:mr>
            </m:m>
          </m:e>
        </m:d>
      </m:oMath>
      <w:r>
        <w:tab/>
      </w:r>
      <w:r>
        <w:t>(4</w:t>
      </w:r>
      <w:r>
        <w:noBreakHyphen/>
      </w:r>
      <w:r>
        <w:t>23)</w:t>
      </w:r>
    </w:p>
    <w:p w14:paraId="5B475809">
      <w:r>
        <w:t xml:space="preserve"> </w:t>
      </w:r>
    </w:p>
    <w:p w14:paraId="35222DAE">
      <w:r>
        <w:t xml:space="preserve"> </w:t>
      </w:r>
    </w:p>
    <w:p w14:paraId="6F69AB14">
      <w:pPr>
        <w:pStyle w:val="44"/>
        <w:spacing w:before="0" w:after="0" w:line="400" w:lineRule="atLeast"/>
      </w:pPr>
      <w:r>
        <w:tab/>
      </w:r>
      <m:oMath>
        <m:sSub>
          <m:sSubPr/>
          <m:e>
            <m:r>
              <m:rPr>
                <m:sty m:val="bi"/>
              </m:rPr>
              <m:t>R</m:t>
            </m:r>
          </m:e>
          <m:sub>
            <m:r>
              <m:rPr/>
              <m:t>f</m:t>
            </m:r>
          </m:sub>
        </m:sSub>
        <m:r>
          <m:rPr>
            <m:sty m:val="p"/>
          </m:rPr>
          <m:t>=</m:t>
        </m:r>
        <m:f>
          <m:fPr/>
          <m:num>
            <m:r>
              <m:rPr/>
              <m:t>1</m:t>
            </m:r>
          </m:num>
          <m:den>
            <m:r>
              <m:rPr/>
              <m:t>M</m:t>
            </m:r>
          </m:den>
        </m:f>
        <m:r>
          <m:rPr>
            <m:sty m:val="bi"/>
          </m:rPr>
          <m:t>X</m:t>
        </m:r>
        <m:sSup>
          <m:sSupPr/>
          <m:e>
            <m:r>
              <m:rPr>
                <m:sty m:val="bi"/>
              </m:rPr>
              <m:t>X</m:t>
            </m:r>
          </m:e>
          <m:sup>
            <m:r>
              <m:rPr/>
              <m:t>H</m:t>
            </m:r>
          </m:sup>
        </m:sSup>
      </m:oMath>
      <w:r>
        <w:tab/>
      </w:r>
      <w:r>
        <w:t>(4</w:t>
      </w:r>
      <w:r>
        <w:noBreakHyphen/>
      </w:r>
      <w:r>
        <w:t>24)</w:t>
      </w:r>
    </w:p>
    <w:p w14:paraId="51838A13">
      <w:r>
        <w:t xml:space="preserve"> </w:t>
      </w:r>
    </w:p>
    <w:p w14:paraId="6E536818">
      <w:r>
        <w:t xml:space="preserve"> </w:t>
      </w:r>
    </w:p>
    <w:p w14:paraId="6BC8C73A">
      <w:pPr>
        <w:pStyle w:val="44"/>
        <w:spacing w:before="0" w:after="0" w:line="400" w:lineRule="atLeast"/>
      </w:pPr>
      <w:r>
        <w:tab/>
      </w:r>
      <m:oMath>
        <m:sSub>
          <m:sSubPr/>
          <m:e>
            <m:r>
              <m:rPr>
                <m:sty m:val="bi"/>
              </m:rPr>
              <m:t>R</m:t>
            </m:r>
          </m:e>
          <m:sub>
            <m:r>
              <m:rPr/>
              <m:t>x</m:t>
            </m:r>
          </m:sub>
        </m:sSub>
        <m:r>
          <m:rPr>
            <m:sty m:val="p"/>
          </m:rPr>
          <m:t>=</m:t>
        </m:r>
        <m:f>
          <m:fPr/>
          <m:num>
            <m:r>
              <m:rPr/>
              <m:t>1</m:t>
            </m:r>
          </m:num>
          <m:den>
            <m:r>
              <m:rPr/>
              <m:t>2</m:t>
            </m:r>
          </m:den>
        </m:f>
        <m:r>
          <m:rPr>
            <m:sty m:val="p"/>
          </m:rPr>
          <m:t>(</m:t>
        </m:r>
        <m:sSub>
          <m:sSubPr/>
          <m:e>
            <m:r>
              <m:rPr>
                <m:sty m:val="bi"/>
              </m:rPr>
              <m:t>R</m:t>
            </m:r>
          </m:e>
          <m:sub>
            <m:r>
              <m:rPr/>
              <m:t>f</m:t>
            </m:r>
          </m:sub>
        </m:sSub>
        <m:r>
          <m:rPr>
            <m:sty m:val="p"/>
          </m:rPr>
          <m:t>+</m:t>
        </m:r>
        <m:r>
          <m:rPr>
            <m:sty m:val="bi"/>
          </m:rPr>
          <m:t>J</m:t>
        </m:r>
        <m:sSubSup>
          <m:sSubSupPr/>
          <m:e>
            <m:r>
              <m:rPr>
                <m:sty m:val="bi"/>
              </m:rPr>
              <m:t>R</m:t>
            </m:r>
          </m:e>
          <m:sub>
            <m:r>
              <m:rPr/>
              <m:t>f</m:t>
            </m:r>
          </m:sub>
          <m:sup>
            <m:r>
              <m:rPr>
                <m:sty m:val="p"/>
              </m:rPr>
              <m:t>∗</m:t>
            </m:r>
          </m:sup>
        </m:sSubSup>
        <m:r>
          <m:rPr>
            <m:sty m:val="bi"/>
          </m:rPr>
          <m:t>J</m:t>
        </m:r>
        <m:r>
          <m:rPr>
            <m:sty m:val="p"/>
          </m:rPr>
          <m:t>)</m:t>
        </m:r>
      </m:oMath>
      <w:r>
        <w:tab/>
      </w:r>
      <w:r>
        <w:t>(4</w:t>
      </w:r>
      <w:r>
        <w:noBreakHyphen/>
      </w:r>
      <w:r>
        <w:t>25)</w:t>
      </w:r>
    </w:p>
    <w:p w14:paraId="039B2C8C">
      <w:r>
        <w:t xml:space="preserve"> </w:t>
      </w:r>
    </w:p>
    <w:p w14:paraId="43F12B03">
      <w:r>
        <w:rPr>
          <w:rFonts w:hint="eastAsia"/>
        </w:rPr>
        <w:t>其中</w:t>
      </w:r>
      <m:oMath>
        <m:r>
          <m:rPr>
            <m:sty m:val="bi"/>
          </m:rPr>
          <m:t>J</m:t>
        </m:r>
      </m:oMath>
      <w:r>
        <w:rPr>
          <w:rFonts w:hint="eastAsia"/>
        </w:rPr>
        <w:t>为</w:t>
      </w:r>
      <m:oMath>
        <m:r>
          <m:rPr/>
          <m:t>L</m:t>
        </m:r>
        <m:r>
          <m:rPr>
            <m:sty m:val="p"/>
          </m:rPr>
          <m:t>×</m:t>
        </m:r>
        <m:r>
          <m:rPr/>
          <m:t>L</m:t>
        </m:r>
      </m:oMath>
      <w:r>
        <w:rPr>
          <w:rFonts w:hint="eastAsia"/>
        </w:rPr>
        <w:t>的反对角单位矩阵。对</w:t>
      </w:r>
      <m:oMath>
        <m:sSub>
          <m:sSubPr/>
          <m:e>
            <m:r>
              <m:rPr>
                <m:sty m:val="bi"/>
              </m:rPr>
              <m:t>R</m:t>
            </m:r>
          </m:e>
          <m:sub>
            <m:r>
              <m:rPr/>
              <m:t>x</m:t>
            </m:r>
          </m:sub>
        </m:sSub>
      </m:oMath>
      <w:r>
        <w:rPr>
          <w:rFonts w:hint="eastAsia"/>
        </w:rPr>
        <w:t>进行特征值分解:</w:t>
      </w:r>
    </w:p>
    <w:p w14:paraId="2DC5AEBA">
      <w:r>
        <w:t xml:space="preserve"> </w:t>
      </w:r>
    </w:p>
    <w:p w14:paraId="34EA6591">
      <w:pPr>
        <w:pStyle w:val="44"/>
        <w:spacing w:before="0" w:after="0" w:line="400" w:lineRule="atLeast"/>
      </w:pPr>
      <w:r>
        <w:tab/>
      </w:r>
      <m:oMath>
        <m:sSub>
          <m:sSubPr/>
          <m:e>
            <m:r>
              <m:rPr>
                <m:sty m:val="bi"/>
              </m:rPr>
              <m:t>R</m:t>
            </m:r>
          </m:e>
          <m:sub>
            <m:r>
              <m:rPr/>
              <m:t>x</m:t>
            </m:r>
          </m:sub>
        </m:sSub>
        <m:r>
          <m:rPr>
            <m:sty m:val="p"/>
          </m:rPr>
          <m:t>=</m:t>
        </m:r>
        <m:r>
          <m:rPr>
            <m:sty m:val="bi"/>
          </m:rPr>
          <m:t>U</m:t>
        </m:r>
        <m:r>
          <m:rPr>
            <m:sty m:val="b"/>
          </m:rPr>
          <m:t>Λ</m:t>
        </m:r>
        <m:sSup>
          <m:sSupPr/>
          <m:e>
            <m:r>
              <m:rPr>
                <m:sty m:val="bi"/>
              </m:rPr>
              <m:t>U</m:t>
            </m:r>
          </m:e>
          <m:sup>
            <m:r>
              <m:rPr/>
              <m:t>H</m:t>
            </m:r>
          </m:sup>
        </m:sSup>
      </m:oMath>
      <w:r>
        <w:tab/>
      </w:r>
      <w:r>
        <w:t>(4</w:t>
      </w:r>
      <w:r>
        <w:noBreakHyphen/>
      </w:r>
      <w:r>
        <w:t>26)</w:t>
      </w:r>
    </w:p>
    <w:p w14:paraId="7FDED0BA">
      <w:r>
        <w:t xml:space="preserve"> </w:t>
      </w:r>
    </w:p>
    <w:p w14:paraId="44AAB3A6">
      <w:r>
        <w:rPr>
          <w:rFonts w:hint="eastAsia"/>
        </w:rPr>
        <w:t>在实际有噪声环境中,协方差矩阵的特征值通常表现为“信号特征值</w:t>
      </w:r>
      <w:r>
        <w:t xml:space="preserve"> + </w:t>
      </w:r>
      <w:r>
        <w:rPr>
          <w:rFonts w:hint="eastAsia"/>
        </w:rPr>
        <w:t>噪声平台“的分离结构,这为后续信号子空间与噪声子空间的划分提供了基础。</w:t>
      </w:r>
    </w:p>
    <w:p w14:paraId="78B3551C">
      <w:r>
        <w:rPr>
          <w:rFonts w:hint="eastAsia"/>
        </w:rPr>
        <w:t>子空间方法的有效性高度依赖于信源数</w:t>
      </w:r>
      <m:oMath>
        <m:r>
          <m:rPr/>
          <m:t>K</m:t>
        </m:r>
      </m:oMath>
      <w:r>
        <w:rPr>
          <w:rFonts w:hint="eastAsia"/>
        </w:rPr>
        <w:t>的准确估计。若</w:t>
      </w:r>
      <m:oMath>
        <m:r>
          <m:rPr/>
          <m:t>K</m:t>
        </m:r>
      </m:oMath>
      <w:r>
        <w:rPr>
          <w:rFonts w:hint="eastAsia"/>
        </w:rPr>
        <w:t>估计过小,部分弱反射波分量被误判为噪声而丢失;若</w:t>
      </w:r>
      <m:oMath>
        <m:r>
          <m:rPr/>
          <m:t>K</m:t>
        </m:r>
      </m:oMath>
      <w:r>
        <w:rPr>
          <w:rFonts w:hint="eastAsia"/>
        </w:rPr>
        <w:t>估计过大,噪声分量被误判为信号,导致后续频率估计出现伪峰。因此,在执行ESPRIT算法之前,必须首先解决信源数估计这一关键前置问题。</w:t>
      </w:r>
    </w:p>
    <w:p w14:paraId="19A3927F">
      <w:r>
        <w:rPr>
          <w:rFonts w:hint="eastAsia"/>
        </w:rPr>
        <w:t>本文采用基于信息论的最小描述长度(Minimum</w:t>
      </w:r>
      <w:r>
        <w:t xml:space="preserve"> Description Length, </w:t>
      </w:r>
      <w:r>
        <w:rPr>
          <w:rFonts w:hint="eastAsia"/>
        </w:rPr>
        <w:t>MDL)准则进行信源数估计。MDL准则的核心思想是,在模型复杂度与数据拟合度之间寻求最优平衡。</w:t>
      </w:r>
    </w:p>
    <w:p w14:paraId="297BB4EE">
      <w:r>
        <w:rPr>
          <w:rFonts w:hint="eastAsia"/>
        </w:rPr>
        <w:t>对于给定的候选信源数</w:t>
      </w:r>
      <m:oMath>
        <m:r>
          <m:rPr/>
          <m:t>k</m:t>
        </m:r>
      </m:oMath>
      <w:r>
        <w:t>(</w:t>
      </w:r>
      <m:oMath>
        <m:r>
          <m:rPr/>
          <m:t>0</m:t>
        </m:r>
        <m:r>
          <m:rPr>
            <m:sty m:val="p"/>
          </m:rPr>
          <m:t>≤</m:t>
        </m:r>
        <m:r>
          <m:rPr/>
          <m:t>k</m:t>
        </m:r>
        <m:r>
          <m:rPr>
            <m:sty m:val="p"/>
          </m:rPr>
          <m:t>≤</m:t>
        </m:r>
        <m:r>
          <m:rPr/>
          <m:t>L</m:t>
        </m:r>
        <m:r>
          <m:rPr>
            <m:sty m:val="p"/>
          </m:rPr>
          <m:t>−</m:t>
        </m:r>
        <m:r>
          <m:rPr/>
          <m:t>1</m:t>
        </m:r>
      </m:oMath>
      <w:r>
        <w:rPr>
          <w:rFonts w:hint="eastAsia"/>
        </w:rPr>
        <w:t>),MDL代价函数定义为:</w:t>
      </w:r>
    </w:p>
    <w:p w14:paraId="64975566">
      <w:r>
        <w:t xml:space="preserve"> </w:t>
      </w:r>
    </w:p>
    <w:p w14:paraId="10021490">
      <w:pPr>
        <w:pStyle w:val="44"/>
        <w:spacing w:before="0" w:after="0" w:line="400" w:lineRule="atLeast"/>
      </w:pPr>
      <w:r>
        <w:tab/>
      </w:r>
      <m:oMath>
        <m:r>
          <m:rPr>
            <m:nor/>
            <m:sty m:val="p"/>
          </m:rPr>
          <w:rPr>
            <w:b w:val="0"/>
            <w:i w:val="0"/>
          </w:rPr>
          <m:t>MDL</m:t>
        </m:r>
        <m:r>
          <m:rPr>
            <m:sty m:val="p"/>
          </m:rPr>
          <m:t>(</m:t>
        </m:r>
        <m:r>
          <m:rPr/>
          <m:t>k</m:t>
        </m:r>
        <m:r>
          <m:rPr>
            <m:sty m:val="p"/>
          </m:rPr>
          <m:t>)=−ln</m:t>
        </m:r>
        <m:sSup>
          <m:sSupPr/>
          <m:e>
            <m:d>
              <m:dPr>
                <m:sepChr m:val=""/>
              </m:dPr>
              <m:e>
                <m:f>
                  <m:fPr/>
                  <m:num>
                    <m:nary>
                      <m:naryPr>
                        <m:chr m:val="∏"/>
                        <m:limLoc m:val="undOvr"/>
                      </m:naryPr>
                      <m:sub>
                        <m:r>
                          <m:rPr/>
                          <m:t>j</m:t>
                        </m:r>
                        <m:r>
                          <m:rPr>
                            <m:sty m:val="p"/>
                          </m:rPr>
                          <m:t>=</m:t>
                        </m:r>
                        <m:r>
                          <m:rPr/>
                          <m:t>k</m:t>
                        </m:r>
                        <m:r>
                          <m:rPr>
                            <m:sty m:val="p"/>
                          </m:rPr>
                          <m:t>+</m:t>
                        </m:r>
                        <m:r>
                          <m:rPr/>
                          <m:t>1</m:t>
                        </m:r>
                      </m:sub>
                      <m:sup>
                        <m:r>
                          <m:rPr/>
                          <m:t>L</m:t>
                        </m:r>
                      </m:sup>
                      <m:e>
                        <m:sSubSup>
                          <m:sSubSupPr/>
                          <m:e>
                            <m:r>
                              <m:rPr/>
                              <m:t>λ</m:t>
                            </m:r>
                          </m:e>
                          <m:sub>
                            <m:r>
                              <m:rPr/>
                              <m:t>j</m:t>
                            </m:r>
                          </m:sub>
                          <m:sup>
                            <m:f>
                              <m:fPr/>
                              <m:num>
                                <m:r>
                                  <m:rPr/>
                                  <m:t>1</m:t>
                                </m:r>
                              </m:num>
                              <m:den>
                                <m:r>
                                  <m:rPr/>
                                  <m:t>L</m:t>
                                </m:r>
                                <m:r>
                                  <m:rPr>
                                    <m:sty m:val="p"/>
                                  </m:rPr>
                                  <m:t>−</m:t>
                                </m:r>
                                <m:r>
                                  <m:rPr/>
                                  <m:t>k</m:t>
                                </m:r>
                              </m:den>
                            </m:f>
                          </m:sup>
                        </m:sSubSup>
                      </m:e>
                    </m:nary>
                  </m:num>
                  <m:den>
                    <m:f>
                      <m:fPr/>
                      <m:num>
                        <m:r>
                          <m:rPr/>
                          <m:t>1</m:t>
                        </m:r>
                      </m:num>
                      <m:den>
                        <m:r>
                          <m:rPr/>
                          <m:t>L</m:t>
                        </m:r>
                        <m:r>
                          <m:rPr>
                            <m:sty m:val="p"/>
                          </m:rPr>
                          <m:t>−</m:t>
                        </m:r>
                        <m:r>
                          <m:rPr/>
                          <m:t>k</m:t>
                        </m:r>
                      </m:den>
                    </m:f>
                    <m:nary>
                      <m:naryPr>
                        <m:chr m:val="∑"/>
                        <m:limLoc m:val="undOvr"/>
                      </m:naryPr>
                      <m:sub>
                        <m:r>
                          <m:rPr/>
                          <m:t>j</m:t>
                        </m:r>
                        <m:r>
                          <m:rPr>
                            <m:sty m:val="p"/>
                          </m:rPr>
                          <m:t>=</m:t>
                        </m:r>
                        <m:r>
                          <m:rPr/>
                          <m:t>k</m:t>
                        </m:r>
                        <m:r>
                          <m:rPr>
                            <m:sty m:val="p"/>
                          </m:rPr>
                          <m:t>+</m:t>
                        </m:r>
                        <m:r>
                          <m:rPr/>
                          <m:t>1</m:t>
                        </m:r>
                      </m:sub>
                      <m:sup>
                        <m:r>
                          <m:rPr/>
                          <m:t>L</m:t>
                        </m:r>
                      </m:sup>
                      <m:e>
                        <m:sSub>
                          <m:sSubPr/>
                          <m:e>
                            <m:r>
                              <m:rPr/>
                              <m:t>λ</m:t>
                            </m:r>
                          </m:e>
                          <m:sub>
                            <m:r>
                              <m:rPr/>
                              <m:t>j</m:t>
                            </m:r>
                          </m:sub>
                        </m:sSub>
                      </m:e>
                    </m:nary>
                  </m:den>
                </m:f>
              </m:e>
            </m:d>
          </m:e>
          <m:sup>
            <m:r>
              <m:rPr>
                <m:sty m:val="p"/>
              </m:rPr>
              <m:t>(</m:t>
            </m:r>
            <m:r>
              <m:rPr/>
              <m:t>L</m:t>
            </m:r>
            <m:r>
              <m:rPr>
                <m:sty m:val="p"/>
              </m:rPr>
              <m:t>−</m:t>
            </m:r>
            <m:r>
              <m:rPr/>
              <m:t>k</m:t>
            </m:r>
            <m:r>
              <m:rPr>
                <m:sty m:val="p"/>
              </m:rPr>
              <m:t>)</m:t>
            </m:r>
            <m:r>
              <m:rPr/>
              <m:t>M</m:t>
            </m:r>
          </m:sup>
        </m:sSup>
        <m:r>
          <m:rPr>
            <m:sty m:val="p"/>
          </m:rPr>
          <m:t>+</m:t>
        </m:r>
        <m:f>
          <m:fPr/>
          <m:num>
            <m:r>
              <m:rPr/>
              <m:t>1</m:t>
            </m:r>
          </m:num>
          <m:den>
            <m:r>
              <m:rPr/>
              <m:t>2</m:t>
            </m:r>
          </m:den>
        </m:f>
        <m:r>
          <m:rPr/>
          <m:t>k</m:t>
        </m:r>
        <m:r>
          <m:rPr>
            <m:sty m:val="p"/>
          </m:rPr>
          <m:t>(</m:t>
        </m:r>
        <m:r>
          <m:rPr/>
          <m:t>2L</m:t>
        </m:r>
        <m:r>
          <m:rPr>
            <m:sty m:val="p"/>
          </m:rPr>
          <m:t>−</m:t>
        </m:r>
        <m:r>
          <m:rPr/>
          <m:t>k</m:t>
        </m:r>
        <m:r>
          <m:rPr>
            <m:sty m:val="p"/>
          </m:rPr>
          <m:t>)ln</m:t>
        </m:r>
        <m:r>
          <m:rPr/>
          <m:t>M</m:t>
        </m:r>
      </m:oMath>
      <w:r>
        <w:tab/>
      </w:r>
      <w:r>
        <w:t>(4</w:t>
      </w:r>
      <w:r>
        <w:noBreakHyphen/>
      </w:r>
      <w:r>
        <w:t>27)</w:t>
      </w:r>
    </w:p>
    <w:p w14:paraId="358CD0CB">
      <w:r>
        <w:t xml:space="preserve"> </w:t>
      </w:r>
    </w:p>
    <w:p w14:paraId="05719DD3">
      <w:r>
        <w:rPr>
          <w:rFonts w:hint="eastAsia"/>
        </w:rPr>
        <w:t>其中,</w:t>
      </w:r>
      <m:oMath>
        <m:r>
          <m:rPr/>
          <m:t>L</m:t>
        </m:r>
      </m:oMath>
      <w:r>
        <w:rPr>
          <w:rFonts w:hint="eastAsia"/>
        </w:rPr>
        <w:t>为子空间维度,</w:t>
      </w:r>
      <m:oMath>
        <m:r>
          <m:rPr/>
          <m:t>M</m:t>
        </m:r>
        <m:r>
          <m:rPr>
            <m:sty m:val="p"/>
          </m:rPr>
          <m:t>=</m:t>
        </m:r>
        <m:sSub>
          <m:sSubPr/>
          <m:e>
            <m:r>
              <m:rPr/>
              <m:t>N</m:t>
            </m:r>
          </m:e>
          <m:sub>
            <m:r>
              <m:rPr/>
              <m:t>w</m:t>
            </m:r>
          </m:sub>
        </m:sSub>
        <m:r>
          <m:rPr>
            <m:sty m:val="p"/>
          </m:rPr>
          <m:t>−</m:t>
        </m:r>
        <m:r>
          <m:rPr/>
          <m:t>L</m:t>
        </m:r>
        <m:r>
          <m:rPr>
            <m:sty m:val="p"/>
          </m:rPr>
          <m:t>+</m:t>
        </m:r>
        <m:r>
          <m:rPr/>
          <m:t>1</m:t>
        </m:r>
      </m:oMath>
      <w:r>
        <w:rPr>
          <w:rFonts w:hint="eastAsia"/>
        </w:rPr>
        <w:t>为快拍数,</w:t>
      </w:r>
      <m:oMath>
        <m:sSub>
          <m:sSubPr/>
          <m:e>
            <m:r>
              <m:rPr/>
              <m:t>λ</m:t>
            </m:r>
          </m:e>
          <m:sub>
            <m:r>
              <m:rPr/>
              <m:t>j</m:t>
            </m:r>
          </m:sub>
        </m:sSub>
      </m:oMath>
      <w:r>
        <w:rPr>
          <w:rFonts w:hint="eastAsia"/>
        </w:rPr>
        <w:t>为协方差矩阵的特征值。式(4-27)由拟合项与复杂度惩罚项组成,本质上是在拟合度与模型复杂度之间寻求平衡。</w:t>
      </w:r>
    </w:p>
    <w:p w14:paraId="5233D583">
      <w:r>
        <w:rPr>
          <w:rFonts w:hint="eastAsia"/>
        </w:rPr>
        <w:t>本文采用的MDL准则并非一次性的全局信源数判决,而是嵌入滑动时频处理框架中逐窗执行。对每个分析窗口,均独立构造Hankel矩阵、估计协方差并计算MDL代价函数,据此得到该窗口的最优信源数估计</w:t>
      </w:r>
      <m:oMath>
        <m:sSub>
          <m:sSubPr/>
          <m:e>
            <m:acc>
              <m:accPr/>
              <m:e>
                <m:r>
                  <m:rPr/>
                  <m:t>K</m:t>
                </m:r>
              </m:e>
            </m:acc>
          </m:e>
          <m:sub>
            <m:r>
              <m:rPr/>
              <m:t>i</m:t>
            </m:r>
          </m:sub>
        </m:sSub>
      </m:oMath>
      <w:r>
        <w:rPr>
          <w:rFonts w:hint="eastAsia"/>
        </w:rPr>
        <w:t>。这种做法使信号子空间维度能够随多径结构和信噪比变化自动调整,无需依赖人工阈值。</w:t>
      </w:r>
    </w:p>
    <w:p w14:paraId="100E8B65">
      <w:r>
        <w:rPr>
          <w:rFonts w:hint="eastAsia"/>
        </w:rPr>
        <w:t>信源数的最优估计</w:t>
      </w:r>
      <m:oMath>
        <m:acc>
          <m:accPr/>
          <m:e>
            <m:r>
              <m:rPr/>
              <m:t>K</m:t>
            </m:r>
          </m:e>
        </m:acc>
      </m:oMath>
      <w:r>
        <w:rPr>
          <w:rFonts w:hint="eastAsia"/>
        </w:rPr>
        <w:t>通过最小化MDL代价函数获得:</w:t>
      </w:r>
    </w:p>
    <w:p w14:paraId="74DB2D1A">
      <w:r>
        <w:t xml:space="preserve"> </w:t>
      </w:r>
    </w:p>
    <w:p w14:paraId="4A9458CC">
      <w:pPr>
        <w:pStyle w:val="44"/>
        <w:spacing w:before="0" w:after="0" w:line="400" w:lineRule="atLeast"/>
      </w:pPr>
      <w:r>
        <w:tab/>
      </w:r>
      <m:oMath>
        <m:acc>
          <m:accPr/>
          <m:e>
            <m:r>
              <m:rPr/>
              <m:t>K</m:t>
            </m:r>
          </m:e>
        </m:acc>
        <m:r>
          <m:rPr>
            <m:sty m:val="p"/>
          </m:rPr>
          <m:t>=arg</m:t>
        </m:r>
        <m:limLow>
          <m:limLowPr/>
          <m:e>
            <m:r>
              <m:rPr>
                <m:sty m:val="p"/>
              </m:rPr>
              <m:t>min</m:t>
            </m:r>
          </m:e>
          <m:lim>
            <m:r>
              <m:rPr/>
              <m:t>0</m:t>
            </m:r>
            <m:r>
              <m:rPr>
                <m:sty m:val="p"/>
              </m:rPr>
              <m:t>≤</m:t>
            </m:r>
            <m:r>
              <m:rPr/>
              <m:t>k</m:t>
            </m:r>
            <m:r>
              <m:rPr>
                <m:sty m:val="p"/>
              </m:rPr>
              <m:t>≤</m:t>
            </m:r>
            <m:r>
              <m:rPr/>
              <m:t>L</m:t>
            </m:r>
            <m:r>
              <m:rPr>
                <m:sty m:val="p"/>
              </m:rPr>
              <m:t>−</m:t>
            </m:r>
            <m:r>
              <m:rPr/>
              <m:t>1</m:t>
            </m:r>
          </m:lim>
        </m:limLow>
        <m:r>
          <m:rPr>
            <m:nor/>
            <m:sty m:val="p"/>
          </m:rPr>
          <w:rPr>
            <w:b w:val="0"/>
            <w:i w:val="0"/>
          </w:rPr>
          <m:t>MDL</m:t>
        </m:r>
        <m:r>
          <m:rPr>
            <m:sty m:val="p"/>
          </m:rPr>
          <m:t>(</m:t>
        </m:r>
        <m:r>
          <m:rPr/>
          <m:t>k</m:t>
        </m:r>
        <m:r>
          <m:rPr>
            <m:sty m:val="p"/>
          </m:rPr>
          <m:t>)</m:t>
        </m:r>
      </m:oMath>
      <w:r>
        <w:tab/>
      </w:r>
      <w:r>
        <w:t>(4</w:t>
      </w:r>
      <w:r>
        <w:noBreakHyphen/>
      </w:r>
      <w:r>
        <w:t>28)</w:t>
      </w:r>
    </w:p>
    <w:p w14:paraId="6C80CE68">
      <w:r>
        <w:t xml:space="preserve"> </w:t>
      </w:r>
    </w:p>
    <w:p w14:paraId="45CCC898">
      <w:r>
        <w:rPr>
          <w:rFonts w:hint="eastAsia"/>
        </w:rPr>
        <w:t>在此基础上,为进一步提升工程实现的鲁棒性,本文引入了基于物理先验的软约束机制:</w:t>
      </w:r>
    </w:p>
    <w:p w14:paraId="5660146C">
      <w:r>
        <w:t xml:space="preserve"> </w:t>
      </w:r>
    </w:p>
    <w:p w14:paraId="74730483">
      <w:pPr>
        <w:pStyle w:val="44"/>
        <w:spacing w:before="0" w:after="0" w:line="400" w:lineRule="atLeast"/>
      </w:pPr>
      <w:r>
        <w:tab/>
      </w:r>
      <m:oMath>
        <m:sSub>
          <m:sSubPr/>
          <m:e>
            <m:r>
              <m:rPr/>
              <m:t>K</m:t>
            </m:r>
          </m:e>
          <m:sub>
            <m:r>
              <m:rPr/>
              <m:t>final</m:t>
            </m:r>
          </m:sub>
        </m:sSub>
        <m:r>
          <m:rPr>
            <m:sty m:val="p"/>
          </m:rPr>
          <m:t>=max(</m:t>
        </m:r>
        <m:r>
          <m:rPr/>
          <m:t>1</m:t>
        </m:r>
        <m:r>
          <m:rPr>
            <m:sty m:val="p"/>
          </m:rPr>
          <m:t>,min(</m:t>
        </m:r>
        <m:acc>
          <m:accPr/>
          <m:e>
            <m:r>
              <m:rPr/>
              <m:t>K</m:t>
            </m:r>
          </m:e>
        </m:acc>
        <m:r>
          <m:rPr>
            <m:sty m:val="p"/>
          </m:rPr>
          <m:t>,</m:t>
        </m:r>
        <m:sSub>
          <m:sSubPr/>
          <m:e>
            <m:r>
              <m:rPr/>
              <m:t>K</m:t>
            </m:r>
          </m:e>
          <m:sub>
            <m:r>
              <m:rPr/>
              <m:t>max</m:t>
            </m:r>
          </m:sub>
        </m:sSub>
        <m:r>
          <m:rPr>
            <m:sty m:val="p"/>
          </m:rPr>
          <m:t>))</m:t>
        </m:r>
      </m:oMath>
      <w:r>
        <w:tab/>
      </w:r>
      <w:r>
        <w:t>(4</w:t>
      </w:r>
      <w:r>
        <w:noBreakHyphen/>
      </w:r>
      <w:r>
        <w:t>29)</w:t>
      </w:r>
    </w:p>
    <w:p w14:paraId="276C325A">
      <w:r>
        <w:t xml:space="preserve"> </w:t>
      </w:r>
    </w:p>
    <w:p w14:paraId="6E3CA8B2">
      <w:r>
        <w:rPr>
          <w:rFonts w:hint="eastAsia"/>
        </w:rPr>
        <w:t>其中</w:t>
      </w:r>
      <m:oMath>
        <m:sSub>
          <m:sSubPr/>
          <m:e>
            <m:r>
              <m:rPr/>
              <m:t>K</m:t>
            </m:r>
          </m:e>
          <m:sub>
            <m:r>
              <m:rPr/>
              <m:t>max</m:t>
            </m:r>
          </m:sub>
        </m:sSub>
        <m:r>
          <m:rPr>
            <m:sty m:val="p"/>
          </m:rPr>
          <m:t>=</m:t>
        </m:r>
        <m:r>
          <m:rPr/>
          <m:t>3</m:t>
        </m:r>
      </m:oMath>
      <w:r>
        <w:rPr>
          <w:rFonts w:hint="eastAsia"/>
        </w:rPr>
        <w:t>,对应直达波加两条主要反射路径的典型场景。该约束并未破坏MDL的自适应性,而是划定了合理的物理搜索边界——在实际透射诊断系统中,超过3条有效传播路径的情况极为罕见。下限强制为1,确保至少提取一个频率分量。这种软约束策略有效规避了极端低信噪比下算法可能出现的过估计(Over-estimation)风险,同时保留了MDL对数据特征的敏感响应。</w:t>
      </w:r>
    </w:p>
    <w:p w14:paraId="57369CCF">
      <w:r>
        <w:rPr>
          <w:rFonts w:hint="eastAsia"/>
        </w:rPr>
        <w:t>图4-5验证了单个分析窗口内MDL准则的判决特性。如图4-5(a)所示，在</w:t>
      </w:r>
      <m:oMath>
        <m:sSub>
          <m:sSubPr/>
          <m:e>
            <m:r>
              <m:rPr/>
              <m:t>K</m:t>
            </m:r>
          </m:e>
          <m:sub>
            <m:r>
              <m:rPr/>
              <m:t>true</m:t>
            </m:r>
          </m:sub>
        </m:sSub>
        <m:r>
          <m:rPr>
            <m:sty m:val="p"/>
          </m:rPr>
          <m:t>=</m:t>
        </m:r>
        <m:r>
          <m:rPr/>
          <m:t>2</m:t>
        </m:r>
      </m:oMath>
      <w:r>
        <w:rPr>
          <w:rFonts w:hint="eastAsia"/>
        </w:rPr>
        <w:t>的仿真条件下，MDL代价函数在</w:t>
      </w:r>
      <m:oMath>
        <m:r>
          <m:rPr/>
          <m:t>k</m:t>
        </m:r>
        <m:r>
          <m:rPr>
            <m:sty m:val="p"/>
          </m:rPr>
          <m:t>=</m:t>
        </m:r>
        <m:r>
          <m:rPr/>
          <m:t>2</m:t>
        </m:r>
      </m:oMath>
      <w:r>
        <w:rPr>
          <w:rFonts w:hint="eastAsia"/>
        </w:rPr>
        <w:t>处稳定取得全局极小值，说明该判据能够可靠锁定真实信源数。图4-5(b)进一步给出了MDL与AIC在低信噪比条件下的对比结果。可以看到，MDL对过拟合模型的惩罚更强，因此本文采用MDL作为信源数估计判据。</w:t>
      </w:r>
    </w:p>
    <w:p w14:paraId="50096325">
      <w:r>
        <w:rPr>
          <w:rFonts w:hint="eastAsia"/>
        </w:rPr>
        <w:t>在获得信源数估计</w:t>
      </w:r>
      <m:oMath>
        <m:acc>
          <m:accPr/>
          <m:e>
            <m:r>
              <m:rPr/>
              <m:t>K</m:t>
            </m:r>
          </m:e>
        </m:acc>
      </m:oMath>
      <w:r>
        <w:rPr>
          <w:rFonts w:hint="eastAsia"/>
        </w:rPr>
        <w:t>后,可将协方差矩阵的特征向量按特征值大小分为两组:</w:t>
      </w:r>
    </w:p>
    <w:p w14:paraId="702AB33D">
      <w:r>
        <w:t xml:space="preserve"> </w:t>
      </w:r>
    </w:p>
    <w:p w14:paraId="2F4D0B7F">
      <w:pPr>
        <w:pStyle w:val="44"/>
        <w:spacing w:before="0" w:after="0" w:line="400" w:lineRule="atLeast"/>
      </w:pPr>
      <w:r>
        <w:tab/>
      </w:r>
      <m:oMath>
        <m:sSub>
          <m:sSubPr/>
          <m:e>
            <m:r>
              <m:rPr>
                <m:sty m:val="bi"/>
              </m:rPr>
              <m:t>U</m:t>
            </m:r>
          </m:e>
          <m:sub>
            <m:r>
              <m:rPr/>
              <m:t>s</m:t>
            </m:r>
          </m:sub>
        </m:sSub>
        <m:r>
          <m:rPr>
            <m:sty m:val="p"/>
          </m:rPr>
          <m:t>=[</m:t>
        </m:r>
        <m:sSub>
          <m:sSubPr/>
          <m:e>
            <m:r>
              <m:rPr>
                <m:sty m:val="bi"/>
              </m:rPr>
              <m:t>u</m:t>
            </m:r>
          </m:e>
          <m:sub>
            <m:r>
              <m:rPr/>
              <m:t>1</m:t>
            </m:r>
          </m:sub>
        </m:sSub>
        <m:r>
          <m:rPr>
            <m:sty m:val="p"/>
          </m:rPr>
          <m:t>,</m:t>
        </m:r>
        <m:sSub>
          <m:sSubPr/>
          <m:e>
            <m:r>
              <m:rPr>
                <m:sty m:val="bi"/>
              </m:rPr>
              <m:t>u</m:t>
            </m:r>
          </m:e>
          <m:sub>
            <m:r>
              <m:rPr/>
              <m:t>2</m:t>
            </m:r>
          </m:sub>
        </m:sSub>
        <m:r>
          <m:rPr>
            <m:sty m:val="p"/>
          </m:rPr>
          <m:t>,⋯,</m:t>
        </m:r>
        <m:sSub>
          <m:sSubPr/>
          <m:e>
            <m:r>
              <m:rPr>
                <m:sty m:val="bi"/>
              </m:rPr>
              <m:t>u</m:t>
            </m:r>
          </m:e>
          <m:sub>
            <m:acc>
              <m:accPr/>
              <m:e>
                <m:r>
                  <m:rPr/>
                  <m:t>K</m:t>
                </m:r>
              </m:e>
            </m:acc>
          </m:sub>
        </m:sSub>
        <m:r>
          <m:rPr>
            <m:sty m:val="p"/>
          </m:rPr>
          <m:t>]</m:t>
        </m:r>
        <m:r>
          <m:rPr>
            <m:nor/>
            <m:sty m:val="p"/>
          </m:rPr>
          <m:t>(信号子空间)</m:t>
        </m:r>
      </m:oMath>
      <w:r>
        <w:tab/>
      </w:r>
      <w:r>
        <w:t>(4</w:t>
      </w:r>
      <w:r>
        <w:noBreakHyphen/>
      </w:r>
      <w:r>
        <w:t>30)</w:t>
      </w:r>
    </w:p>
    <w:p w14:paraId="6A28E67E">
      <w:r>
        <w:t xml:space="preserve"> </w:t>
      </w:r>
    </w:p>
    <w:p w14:paraId="583D7BE0">
      <w:r>
        <w:t xml:space="preserve"> </w:t>
      </w:r>
    </w:p>
    <w:p w14:paraId="1D45A463">
      <w:pPr>
        <w:pStyle w:val="44"/>
        <w:spacing w:before="0" w:after="0" w:line="400" w:lineRule="atLeast"/>
      </w:pPr>
      <w:r>
        <w:tab/>
      </w:r>
      <m:oMath>
        <m:sSub>
          <m:sSubPr/>
          <m:e>
            <m:r>
              <m:rPr>
                <m:sty m:val="bi"/>
              </m:rPr>
              <m:t>U</m:t>
            </m:r>
          </m:e>
          <m:sub>
            <m:r>
              <m:rPr/>
              <m:t>n</m:t>
            </m:r>
          </m:sub>
        </m:sSub>
        <m:r>
          <m:rPr>
            <m:sty m:val="p"/>
          </m:rPr>
          <m:t>=[</m:t>
        </m:r>
        <m:sSub>
          <m:sSubPr/>
          <m:e>
            <m:r>
              <m:rPr>
                <m:sty m:val="bi"/>
              </m:rPr>
              <m:t>u</m:t>
            </m:r>
          </m:e>
          <m:sub>
            <m:acc>
              <m:accPr/>
              <m:e>
                <m:r>
                  <m:rPr/>
                  <m:t>K</m:t>
                </m:r>
              </m:e>
            </m:acc>
            <m:r>
              <m:rPr>
                <m:sty m:val="p"/>
              </m:rPr>
              <m:t>+</m:t>
            </m:r>
            <m:r>
              <m:rPr/>
              <m:t>1</m:t>
            </m:r>
          </m:sub>
        </m:sSub>
        <m:r>
          <m:rPr>
            <m:sty m:val="p"/>
          </m:rPr>
          <m:t>,⋯,</m:t>
        </m:r>
        <m:sSub>
          <m:sSubPr/>
          <m:e>
            <m:r>
              <m:rPr>
                <m:sty m:val="bi"/>
              </m:rPr>
              <m:t>u</m:t>
            </m:r>
          </m:e>
          <m:sub>
            <m:r>
              <m:rPr/>
              <m:t>L</m:t>
            </m:r>
          </m:sub>
        </m:sSub>
        <m:r>
          <m:rPr>
            <m:sty m:val="p"/>
          </m:rPr>
          <m:t>]</m:t>
        </m:r>
        <m:r>
          <m:rPr>
            <m:nor/>
            <m:sty m:val="p"/>
          </m:rPr>
          <m:t>(噪声子空间)</m:t>
        </m:r>
      </m:oMath>
      <w:r>
        <w:tab/>
      </w:r>
      <w:r>
        <w:t>(4</w:t>
      </w:r>
      <w:r>
        <w:noBreakHyphen/>
      </w:r>
      <w:r>
        <w:t>31)</w:t>
      </w:r>
    </w:p>
    <w:p w14:paraId="5A2C7EB9">
      <w:r>
        <w:t xml:space="preserve"> </w:t>
      </w:r>
    </w:p>
    <w:p w14:paraId="35D06003">
      <w:r>
        <w:rPr>
          <w:rFonts w:hint="eastAsia"/>
        </w:rPr>
        <w:t>信号子空间</w:t>
      </w:r>
      <m:oMath>
        <m:sSub>
          <m:sSubPr/>
          <m:e>
            <m:r>
              <m:rPr>
                <m:sty m:val="bi"/>
              </m:rPr>
              <m:t>U</m:t>
            </m:r>
          </m:e>
          <m:sub>
            <m:r>
              <m:rPr/>
              <m:t>s</m:t>
            </m:r>
          </m:sub>
        </m:sSub>
      </m:oMath>
      <w:r>
        <w:rPr>
          <w:rFonts w:hint="eastAsia"/>
        </w:rPr>
        <w:t>张成的空间包含了全部</w:t>
      </w:r>
      <m:oMath>
        <m:acc>
          <m:accPr/>
          <m:e>
            <m:r>
              <m:rPr/>
              <m:t>K</m:t>
            </m:r>
          </m:e>
        </m:acc>
      </m:oMath>
      <w:r>
        <w:rPr>
          <w:rFonts w:hint="eastAsia"/>
        </w:rPr>
        <w:t>个频率分量的信息,而噪声子空间</w:t>
      </w:r>
      <m:oMath>
        <m:sSub>
          <m:sSubPr/>
          <m:e>
            <m:r>
              <m:rPr>
                <m:sty m:val="bi"/>
              </m:rPr>
              <m:t>U</m:t>
            </m:r>
          </m:e>
          <m:sub>
            <m:r>
              <m:rPr/>
              <m:t>n</m:t>
            </m:r>
          </m:sub>
        </m:sSub>
      </m:oMath>
      <w:r>
        <w:rPr>
          <w:rFonts w:hint="eastAsia"/>
        </w:rPr>
        <w:t>与信号正交,仅包含白噪声的贡献。这种正交分解实现了子空间净化——通过将观测数据投影到信号子空间,有效滤除了噪声子空间的干扰。</w:t>
      </w:r>
    </w:p>
    <w:p w14:paraId="520D3D99">
      <w:r>
        <w:rPr>
          <w:rFonts w:hint="eastAsia"/>
        </w:rPr>
        <w:t>然而,子空间净化只完成了信号与噪声的分离,尚未解决直达波与反射波的区分。后续ESPRIT算法将在信号子空间</w:t>
      </w:r>
      <m:oMath>
        <m:sSub>
          <m:sSubPr/>
          <m:e>
            <m:r>
              <m:rPr>
                <m:sty m:val="bi"/>
              </m:rPr>
              <m:t>U</m:t>
            </m:r>
          </m:e>
          <m:sub>
            <m:r>
              <m:rPr/>
              <m:t>s</m:t>
            </m:r>
          </m:sub>
        </m:sSub>
      </m:oMath>
      <w:r>
        <w:rPr>
          <w:rFonts w:hint="eastAsia"/>
        </w:rPr>
        <w:t>中估计全部</w:t>
      </w:r>
      <m:oMath>
        <m:acc>
          <m:accPr/>
          <m:e>
            <m:r>
              <m:rPr/>
              <m:t>K</m:t>
            </m:r>
          </m:e>
        </m:acc>
      </m:oMath>
      <w:r>
        <w:rPr>
          <w:rFonts w:hint="eastAsia"/>
        </w:rPr>
        <w:t>个频率分量</w:t>
      </w:r>
      <m:oMath>
        <m:r>
          <m:rPr>
            <m:sty m:val="p"/>
          </m:rPr>
          <m:t>{</m:t>
        </m:r>
        <m:sSubSup>
          <m:sSubSupPr/>
          <m:e>
            <m:r>
              <m:rPr/>
              <m:t>f</m:t>
            </m:r>
          </m:e>
          <m:sub>
            <m:r>
              <m:rPr/>
              <m:t>D</m:t>
            </m:r>
          </m:sub>
          <m:sup>
            <m:r>
              <m:rPr>
                <m:sty m:val="p"/>
              </m:rPr>
              <m:t>(</m:t>
            </m:r>
            <m:r>
              <m:rPr/>
              <m:t>k</m:t>
            </m:r>
            <m:r>
              <m:rPr>
                <m:sty m:val="p"/>
              </m:rPr>
              <m:t>)</m:t>
            </m:r>
          </m:sup>
        </m:sSubSup>
        <m:sSubSup>
          <m:sSubSupPr/>
          <m:e>
            <m:r>
              <m:rPr>
                <m:sty m:val="p"/>
              </m:rPr>
              <m:t>}</m:t>
            </m:r>
          </m:e>
          <m:sub>
            <m:r>
              <m:rPr/>
              <m:t>k</m:t>
            </m:r>
            <m:r>
              <m:rPr>
                <m:sty m:val="p"/>
              </m:rPr>
              <m:t>=</m:t>
            </m:r>
            <m:r>
              <m:rPr/>
              <m:t>1</m:t>
            </m:r>
          </m:sub>
          <m:sup>
            <m:acc>
              <m:accPr/>
              <m:e>
                <m:r>
                  <m:rPr/>
                  <m:t>K</m:t>
                </m:r>
              </m:e>
            </m:acc>
          </m:sup>
        </m:sSubSup>
      </m:oMath>
      <w:r>
        <w:rPr>
          <w:rFonts w:hint="eastAsia"/>
        </w:rPr>
        <w:t>。本文据此采用最小时延优先、最大幅度辅助的判据识别直达波:由于直达路径光程最短,其群时延最小,相应差频也最低;若幅度信息与最小时延判据冲突,仍以最小时延为准。据此,直达波频率的提取策略可形式化为:</w:t>
      </w:r>
    </w:p>
    <w:p w14:paraId="5D31DC17">
      <w:r>
        <w:t xml:space="preserve"> </w:t>
      </w:r>
    </w:p>
    <w:p w14:paraId="4EDC837B">
      <w:pPr>
        <w:pStyle w:val="44"/>
        <w:spacing w:before="0" w:after="0" w:line="400" w:lineRule="atLeast"/>
      </w:pPr>
      <w:r>
        <w:tab/>
      </w:r>
      <m:oMath>
        <m:sSub>
          <m:sSubPr/>
          <m:e>
            <m:r>
              <m:rPr/>
              <m:t>f</m:t>
            </m:r>
          </m:e>
          <m:sub>
            <m:r>
              <m:rPr/>
              <m:t>D</m:t>
            </m:r>
            <m:r>
              <m:rPr>
                <m:sty m:val="p"/>
              </m:rPr>
              <m:t>,</m:t>
            </m:r>
            <m:r>
              <m:rPr/>
              <m:t>direct</m:t>
            </m:r>
          </m:sub>
        </m:sSub>
        <m:r>
          <m:rPr>
            <m:sty m:val="p"/>
          </m:rPr>
          <m:t>=min{</m:t>
        </m:r>
        <m:sSubSup>
          <m:sSubSupPr/>
          <m:e>
            <m:r>
              <m:rPr/>
              <m:t>f</m:t>
            </m:r>
          </m:e>
          <m:sub>
            <m:r>
              <m:rPr/>
              <m:t>D</m:t>
            </m:r>
          </m:sub>
          <m:sup>
            <m:r>
              <m:rPr>
                <m:sty m:val="p"/>
              </m:rPr>
              <m:t>(</m:t>
            </m:r>
            <m:r>
              <m:rPr/>
              <m:t>k</m:t>
            </m:r>
            <m:r>
              <m:rPr>
                <m:sty m:val="p"/>
              </m:rPr>
              <m:t>)</m:t>
            </m:r>
          </m:sup>
        </m:sSubSup>
        <m:r>
          <m:rPr>
            <m:sty m:val="p"/>
          </m:rPr>
          <m:t>:</m:t>
        </m:r>
        <m:sSubSup>
          <m:sSubSupPr/>
          <m:e>
            <m:r>
              <m:rPr/>
              <m:t>f</m:t>
            </m:r>
          </m:e>
          <m:sub>
            <m:r>
              <m:rPr/>
              <m:t>D</m:t>
            </m:r>
          </m:sub>
          <m:sup>
            <m:r>
              <m:rPr>
                <m:sty m:val="p"/>
              </m:rPr>
              <m:t>(</m:t>
            </m:r>
            <m:r>
              <m:rPr/>
              <m:t>k</m:t>
            </m:r>
            <m:r>
              <m:rPr>
                <m:sty m:val="p"/>
              </m:rPr>
              <m:t>)</m:t>
            </m:r>
          </m:sup>
        </m:sSubSup>
        <m:r>
          <m:rPr>
            <m:sty m:val="p"/>
          </m:rPr>
          <m:t>&gt;</m:t>
        </m:r>
        <m:sSub>
          <m:sSubPr/>
          <m:e>
            <m:r>
              <m:rPr/>
              <m:t>f</m:t>
            </m:r>
          </m:e>
          <m:sub>
            <m:r>
              <m:rPr/>
              <m:t>min</m:t>
            </m:r>
          </m:sub>
        </m:sSub>
        <m:r>
          <m:rPr>
            <m:nor/>
            <m:sty m:val="p"/>
          </m:rPr>
          <w:rPr>
            <w:b w:val="0"/>
            <w:i w:val="0"/>
          </w:rPr>
          <m:t>且</m:t>
        </m:r>
        <m:sSubSup>
          <m:sSubSupPr/>
          <m:e>
            <m:r>
              <m:rPr/>
              <m:t>f</m:t>
            </m:r>
          </m:e>
          <m:sub>
            <m:r>
              <m:rPr/>
              <m:t>D</m:t>
            </m:r>
          </m:sub>
          <m:sup>
            <m:r>
              <m:rPr>
                <m:sty m:val="p"/>
              </m:rPr>
              <m:t>(</m:t>
            </m:r>
            <m:r>
              <m:rPr/>
              <m:t>k</m:t>
            </m:r>
            <m:r>
              <m:rPr>
                <m:sty m:val="p"/>
              </m:rPr>
              <m:t>)</m:t>
            </m:r>
          </m:sup>
        </m:sSubSup>
        <m:r>
          <m:rPr>
            <m:sty m:val="p"/>
          </m:rPr>
          <m:t>&lt;</m:t>
        </m:r>
        <m:sSub>
          <m:sSubPr/>
          <m:e>
            <m:r>
              <m:rPr/>
              <m:t>f</m:t>
            </m:r>
          </m:e>
          <m:sub>
            <m:r>
              <m:rPr/>
              <m:t>max</m:t>
            </m:r>
          </m:sub>
        </m:sSub>
        <m:r>
          <m:rPr>
            <m:sty m:val="p"/>
          </m:rPr>
          <m:t>}</m:t>
        </m:r>
      </m:oMath>
      <w:r>
        <w:tab/>
      </w:r>
      <w:r>
        <w:t>(4</w:t>
      </w:r>
      <w:r>
        <w:noBreakHyphen/>
      </w:r>
      <w:r>
        <w:t>32)</w:t>
      </w:r>
    </w:p>
    <w:p w14:paraId="45B04FDE">
      <w:r>
        <w:t xml:space="preserve"> </w:t>
      </w:r>
    </w:p>
    <w:p w14:paraId="52AFC793">
      <w:r>
        <w:rPr>
          <w:rFonts w:hint="eastAsia"/>
        </w:rPr>
        <w:t>其中</w:t>
      </w:r>
      <m:oMath>
        <m:sSub>
          <m:sSubPr/>
          <m:e>
            <m:r>
              <m:rPr/>
              <m:t>f</m:t>
            </m:r>
          </m:e>
          <m:sub>
            <m:r>
              <m:rPr/>
              <m:t>min</m:t>
            </m:r>
          </m:sub>
        </m:sSub>
      </m:oMath>
      <w:r>
        <w:rPr>
          <w:rFonts w:hint="eastAsia"/>
        </w:rPr>
        <w:t>和</w:t>
      </w:r>
      <m:oMath>
        <m:sSub>
          <m:sSubPr/>
          <m:e>
            <m:r>
              <m:rPr/>
              <m:t>f</m:t>
            </m:r>
          </m:e>
          <m:sub>
            <m:r>
              <m:rPr/>
              <m:t>max</m:t>
            </m:r>
          </m:sub>
        </m:sSub>
      </m:oMath>
      <w:r>
        <w:rPr>
          <w:rFonts w:hint="eastAsia"/>
        </w:rPr>
        <w:t>为基于物理约束设定的频率有效范围(典型值</w:t>
      </w:r>
      <m:oMath>
        <m:sSub>
          <m:sSubPr/>
          <m:e>
            <m:r>
              <m:rPr/>
              <m:t>f</m:t>
            </m:r>
          </m:e>
          <m:sub>
            <m:r>
              <m:rPr/>
              <m:t>min</m:t>
            </m:r>
          </m:sub>
        </m:sSub>
        <m:r>
          <m:rPr>
            <m:sty m:val="p"/>
          </m:rPr>
          <m:t>=</m:t>
        </m:r>
        <m:r>
          <m:rPr/>
          <m:t>50</m:t>
        </m:r>
      </m:oMath>
      <w:r>
        <w:t xml:space="preserve"> kHz,</w:t>
      </w:r>
      <m:oMath>
        <m:sSub>
          <m:sSubPr/>
          <m:e>
            <m:r>
              <m:rPr/>
              <m:t>f</m:t>
            </m:r>
          </m:e>
          <m:sub>
            <m:r>
              <m:rPr/>
              <m:t>max</m:t>
            </m:r>
          </m:sub>
        </m:sSub>
        <m:r>
          <m:rPr>
            <m:sty m:val="p"/>
          </m:rPr>
          <m:t>=</m:t>
        </m:r>
        <m:r>
          <m:rPr/>
          <m:t>10</m:t>
        </m:r>
      </m:oMath>
      <w:r>
        <w:t xml:space="preserve"> </w:t>
      </w:r>
      <w:r>
        <w:rPr>
          <w:rFonts w:hint="eastAsia"/>
        </w:rPr>
        <w:t>MHz),用于剔除明显不合理的异常估计值。</w:t>
      </w:r>
    </w:p>
    <w:p w14:paraId="2086CA15">
      <w:r>
        <w:pict>
          <v:rect id="_x0000_i1037" o:spt="1" style="height:1.5pt;width:0pt;" coordsize="21600,21600" o:hr="t" o:hrstd="t" o:hralign="center">
            <v:path/>
            <v:fill focussize="0,0"/>
            <v:stroke/>
            <v:imagedata o:title=""/>
            <o:lock v:ext="edit"/>
            <w10:wrap type="none"/>
            <w10:anchorlock/>
          </v:rect>
        </w:pict>
      </w:r>
    </w:p>
    <w:bookmarkEnd w:id="63"/>
    <w:p w14:paraId="027E3679">
      <w:pPr>
        <w:pStyle w:val="4"/>
      </w:pPr>
      <w:bookmarkStart w:id="64" w:name="基于tls-esprit的频率-时延特征轨迹高精度重构"/>
      <w:r>
        <w:rPr>
          <w:rFonts w:hint="eastAsia"/>
        </w:rPr>
        <w:t>基于TLS-ESPRIT的频率-时延特征轨迹高精度重构</w:t>
      </w:r>
    </w:p>
    <w:p w14:paraId="51F807AA">
      <w:r>
        <w:rPr>
          <w:rFonts w:hint="eastAsia"/>
        </w:rPr>
        <w:t>在完成信源数估计与子空间分离后,下一步是从信号子空间中精确提取各频率分量。本文采用旋转不变子空间技术(Estimation</w:t>
      </w:r>
      <w:r>
        <w:t xml:space="preserve"> of Signal Parameters via Rotational Invariance Techniques, </w:t>
      </w:r>
      <w:r>
        <w:rPr>
          <w:rFonts w:hint="eastAsia"/>
        </w:rPr>
        <w:t>ESPRIT)实现高分辨率频率估计。相比于基于频谱搜索的MUSIC算法,ESPRIT具有无需谱峰搜索、计算效率高、参数估计精度高等显著优势。</w:t>
      </w:r>
    </w:p>
    <w:p w14:paraId="19B0D845">
      <w:r>
        <w:rPr>
          <w:rFonts w:hint="eastAsia"/>
        </w:rPr>
        <w:t>ESPRIT算法的核心思想基于信号子空间的旋转不变性(Shift</w:t>
      </w:r>
      <w:r>
        <w:t xml:space="preserve"> </w:t>
      </w:r>
      <w:r>
        <w:rPr>
          <w:rFonts w:hint="eastAsia"/>
        </w:rPr>
        <w:t>Invariance)。对于式(4-23)定义的Hankel数据矩阵</w:t>
      </w:r>
      <m:oMath>
        <m:r>
          <m:rPr>
            <m:sty m:val="bi"/>
          </m:rPr>
          <m:t>X</m:t>
        </m:r>
      </m:oMath>
      <w:r>
        <w:rPr>
          <w:rFonts w:hint="eastAsia"/>
        </w:rPr>
        <w:t>,考察其上下两个子矩阵:</w:t>
      </w:r>
    </w:p>
    <w:p w14:paraId="35F464B5">
      <w:r>
        <w:t xml:space="preserve"> </w:t>
      </w:r>
    </w:p>
    <w:p w14:paraId="23533223">
      <w:pPr>
        <w:pStyle w:val="44"/>
        <w:spacing w:before="0" w:after="0" w:line="400" w:lineRule="atLeast"/>
      </w:pPr>
      <w:r>
        <w:tab/>
      </w:r>
      <m:oMath>
        <m:sSub>
          <m:sSubPr/>
          <m:e>
            <m:r>
              <m:rPr>
                <m:sty m:val="bi"/>
              </m:rPr>
              <m:t>X</m:t>
            </m:r>
          </m:e>
          <m:sub>
            <m:r>
              <m:rPr/>
              <m:t>1</m:t>
            </m:r>
          </m:sub>
        </m:sSub>
        <m:r>
          <m:rPr>
            <m:sty m:val="p"/>
          </m:rPr>
          <m:t>=</m:t>
        </m:r>
        <m:r>
          <m:rPr>
            <m:sty m:val="bi"/>
          </m:rPr>
          <m:t>X</m:t>
        </m:r>
        <m:r>
          <m:rPr>
            <m:sty m:val="p"/>
          </m:rPr>
          <m:t>(</m:t>
        </m:r>
        <m:r>
          <m:rPr/>
          <m:t>1</m:t>
        </m:r>
        <m:r>
          <m:rPr>
            <m:sty m:val="p"/>
          </m:rPr>
          <m:t>:</m:t>
        </m:r>
        <m:r>
          <m:rPr/>
          <m:t>L</m:t>
        </m:r>
        <m:r>
          <m:rPr>
            <m:sty m:val="p"/>
          </m:rPr>
          <m:t>−</m:t>
        </m:r>
        <m:r>
          <m:rPr/>
          <m:t>1</m:t>
        </m:r>
        <m:r>
          <m:rPr>
            <m:sty m:val="p"/>
          </m:rPr>
          <m:t>,:)</m:t>
        </m:r>
      </m:oMath>
      <w:r>
        <w:tab/>
      </w:r>
      <w:r>
        <w:t>(4</w:t>
      </w:r>
      <w:r>
        <w:noBreakHyphen/>
      </w:r>
      <w:r>
        <w:t>33)</w:t>
      </w:r>
    </w:p>
    <w:p w14:paraId="6A7E8BBA">
      <w:r>
        <w:t xml:space="preserve"> </w:t>
      </w:r>
    </w:p>
    <w:p w14:paraId="7B2382F5">
      <w:r>
        <w:t xml:space="preserve"> </w:t>
      </w:r>
    </w:p>
    <w:p w14:paraId="687E2538">
      <w:pPr>
        <w:pStyle w:val="44"/>
        <w:spacing w:before="0" w:after="0" w:line="400" w:lineRule="atLeast"/>
      </w:pPr>
      <w:r>
        <w:tab/>
      </w:r>
      <m:oMath>
        <m:sSub>
          <m:sSubPr/>
          <m:e>
            <m:r>
              <m:rPr>
                <m:sty m:val="bi"/>
              </m:rPr>
              <m:t>X</m:t>
            </m:r>
          </m:e>
          <m:sub>
            <m:r>
              <m:rPr/>
              <m:t>2</m:t>
            </m:r>
          </m:sub>
        </m:sSub>
        <m:r>
          <m:rPr>
            <m:sty m:val="p"/>
          </m:rPr>
          <m:t>=</m:t>
        </m:r>
        <m:r>
          <m:rPr>
            <m:sty m:val="bi"/>
          </m:rPr>
          <m:t>X</m:t>
        </m:r>
        <m:r>
          <m:rPr>
            <m:sty m:val="p"/>
          </m:rPr>
          <m:t>(</m:t>
        </m:r>
        <m:r>
          <m:rPr/>
          <m:t>2</m:t>
        </m:r>
        <m:r>
          <m:rPr>
            <m:sty m:val="p"/>
          </m:rPr>
          <m:t>:</m:t>
        </m:r>
        <m:r>
          <m:rPr/>
          <m:t>L</m:t>
        </m:r>
        <m:r>
          <m:rPr>
            <m:sty m:val="p"/>
          </m:rPr>
          <m:t>,:)</m:t>
        </m:r>
      </m:oMath>
      <w:r>
        <w:tab/>
      </w:r>
      <w:r>
        <w:t>(4</w:t>
      </w:r>
      <w:r>
        <w:noBreakHyphen/>
      </w:r>
      <w:r>
        <w:t>34)</w:t>
      </w:r>
    </w:p>
    <w:p w14:paraId="07140CDA">
      <w:r>
        <w:t xml:space="preserve"> </w:t>
      </w:r>
    </w:p>
    <w:p w14:paraId="173BD604">
      <w:r>
        <w:rPr>
          <w:rFonts w:hint="eastAsia"/>
        </w:rPr>
        <w:t>其中</w:t>
      </w:r>
      <m:oMath>
        <m:sSub>
          <m:sSubPr/>
          <m:e>
            <m:r>
              <m:rPr>
                <m:sty m:val="bi"/>
              </m:rPr>
              <m:t>X</m:t>
            </m:r>
          </m:e>
          <m:sub>
            <m:r>
              <m:rPr/>
              <m:t>1</m:t>
            </m:r>
          </m:sub>
        </m:sSub>
      </m:oMath>
      <w:r>
        <w:rPr>
          <w:rFonts w:hint="eastAsia"/>
        </w:rPr>
        <w:t>为</w:t>
      </w:r>
      <m:oMath>
        <m:r>
          <m:rPr>
            <m:sty m:val="bi"/>
          </m:rPr>
          <m:t>X</m:t>
        </m:r>
      </m:oMath>
      <w:r>
        <w:rPr>
          <w:rFonts w:hint="eastAsia"/>
        </w:rPr>
        <w:t>删除最后一行所得,</w:t>
      </w:r>
      <m:oMath>
        <m:sSub>
          <m:sSubPr/>
          <m:e>
            <m:r>
              <m:rPr>
                <m:sty m:val="bi"/>
              </m:rPr>
              <m:t>X</m:t>
            </m:r>
          </m:e>
          <m:sub>
            <m:r>
              <m:rPr/>
              <m:t>2</m:t>
            </m:r>
          </m:sub>
        </m:sSub>
      </m:oMath>
      <w:r>
        <w:rPr>
          <w:rFonts w:hint="eastAsia"/>
        </w:rPr>
        <w:t>为删除第一行所得。由于Hankel矩阵的特殊结构,</w:t>
      </w:r>
      <m:oMath>
        <m:sSub>
          <m:sSubPr/>
          <m:e>
            <m:r>
              <m:rPr>
                <m:sty m:val="bi"/>
              </m:rPr>
              <m:t>X</m:t>
            </m:r>
          </m:e>
          <m:sub>
            <m:r>
              <m:rPr/>
              <m:t>2</m:t>
            </m:r>
          </m:sub>
        </m:sSub>
      </m:oMath>
      <w:r>
        <w:rPr>
          <w:rFonts w:hint="eastAsia"/>
        </w:rPr>
        <w:t>相当于</w:t>
      </w:r>
      <m:oMath>
        <m:sSub>
          <m:sSubPr/>
          <m:e>
            <m:r>
              <m:rPr>
                <m:sty m:val="bi"/>
              </m:rPr>
              <m:t>X</m:t>
            </m:r>
          </m:e>
          <m:sub>
            <m:r>
              <m:rPr/>
              <m:t>1</m:t>
            </m:r>
          </m:sub>
        </m:sSub>
      </m:oMath>
      <w:r>
        <w:rPr>
          <w:rFonts w:hint="eastAsia"/>
        </w:rPr>
        <w:t>在时间轴上平移一个采样间隔</w:t>
      </w:r>
      <m:oMath>
        <m:sSub>
          <m:sSubPr/>
          <m:e>
            <m:r>
              <m:rPr/>
              <m:t>T</m:t>
            </m:r>
          </m:e>
          <m:sub>
            <m:r>
              <m:rPr/>
              <m:t>s</m:t>
            </m:r>
          </m:sub>
        </m:sSub>
        <m:r>
          <m:rPr>
            <m:sty m:val="p"/>
          </m:rPr>
          <m:t>=</m:t>
        </m:r>
        <m:r>
          <m:rPr/>
          <m:t>1</m:t>
        </m:r>
        <m:r>
          <m:rPr>
            <m:sty m:val="p"/>
          </m:rPr>
          <m:t>/</m:t>
        </m:r>
        <m:sSubSup>
          <m:sSubSupPr/>
          <m:e>
            <m:r>
              <m:rPr/>
              <m:t>f</m:t>
            </m:r>
          </m:e>
          <m:sub>
            <m:r>
              <m:rPr/>
              <m:t>s</m:t>
            </m:r>
          </m:sub>
          <m:sup>
            <m:r>
              <m:rPr>
                <m:sty m:val="p"/>
              </m:rPr>
              <m:t>′</m:t>
            </m:r>
          </m:sup>
        </m:sSubSup>
      </m:oMath>
      <w:r>
        <w:t>。</w:t>
      </w:r>
    </w:p>
    <w:p w14:paraId="3D3B5E13">
      <w:r>
        <w:rPr>
          <w:rFonts w:hint="eastAsia"/>
        </w:rPr>
        <w:t>对于包含</w:t>
      </w:r>
      <m:oMath>
        <m:r>
          <m:rPr/>
          <m:t>K</m:t>
        </m:r>
      </m:oMath>
      <w:r>
        <w:rPr>
          <w:rFonts w:hint="eastAsia"/>
        </w:rPr>
        <w:t>个复指数信号的模型,可以证明</w:t>
      </w:r>
      <m:oMath>
        <m:sSub>
          <m:sSubPr/>
          <m:e>
            <m:r>
              <m:rPr>
                <m:sty m:val="bi"/>
              </m:rPr>
              <m:t>X</m:t>
            </m:r>
          </m:e>
          <m:sub>
            <m:r>
              <m:rPr/>
              <m:t>1</m:t>
            </m:r>
          </m:sub>
        </m:sSub>
      </m:oMath>
      <w:r>
        <w:rPr>
          <w:rFonts w:hint="eastAsia"/>
        </w:rPr>
        <w:t>与</w:t>
      </w:r>
      <m:oMath>
        <m:sSub>
          <m:sSubPr/>
          <m:e>
            <m:r>
              <m:rPr>
                <m:sty m:val="bi"/>
              </m:rPr>
              <m:t>X</m:t>
            </m:r>
          </m:e>
          <m:sub>
            <m:r>
              <m:rPr/>
              <m:t>2</m:t>
            </m:r>
          </m:sub>
        </m:sSub>
      </m:oMath>
      <w:r>
        <w:rPr>
          <w:rFonts w:hint="eastAsia"/>
        </w:rPr>
        <w:t>的列空间(即信号子空间)满足旋转不变关系:</w:t>
      </w:r>
    </w:p>
    <w:p w14:paraId="701E4721">
      <w:r>
        <w:t xml:space="preserve"> </w:t>
      </w:r>
    </w:p>
    <w:p w14:paraId="7287C03B">
      <w:pPr>
        <w:pStyle w:val="44"/>
        <w:spacing w:before="0" w:after="0" w:line="400" w:lineRule="atLeast"/>
      </w:pPr>
      <w:r>
        <w:tab/>
      </w:r>
      <m:oMath>
        <m:sSub>
          <m:sSubPr/>
          <m:e>
            <m:r>
              <m:rPr>
                <m:sty m:val="bi"/>
              </m:rPr>
              <m:t>X</m:t>
            </m:r>
          </m:e>
          <m:sub>
            <m:r>
              <m:rPr/>
              <m:t>2</m:t>
            </m:r>
          </m:sub>
        </m:sSub>
        <m:r>
          <m:rPr>
            <m:sty m:val="p"/>
          </m:rPr>
          <m:t>=</m:t>
        </m:r>
        <m:sSub>
          <m:sSubPr/>
          <m:e>
            <m:r>
              <m:rPr>
                <m:sty m:val="bi"/>
              </m:rPr>
              <m:t>X</m:t>
            </m:r>
          </m:e>
          <m:sub>
            <m:r>
              <m:rPr/>
              <m:t>1</m:t>
            </m:r>
          </m:sub>
        </m:sSub>
        <m:r>
          <m:rPr>
            <m:sty m:val="b"/>
          </m:rPr>
          <m:t>Φ</m:t>
        </m:r>
      </m:oMath>
      <w:r>
        <w:tab/>
      </w:r>
      <w:r>
        <w:t>(4</w:t>
      </w:r>
      <w:r>
        <w:noBreakHyphen/>
      </w:r>
      <w:r>
        <w:t>35)</w:t>
      </w:r>
    </w:p>
    <w:p w14:paraId="16CF6276">
      <w:r>
        <w:t xml:space="preserve"> </w:t>
      </w:r>
    </w:p>
    <w:p w14:paraId="7080DFAD">
      <w:r>
        <w:rPr>
          <w:rFonts w:hint="eastAsia"/>
        </w:rPr>
        <w:t>其中</w:t>
      </w:r>
      <m:oMath>
        <m:r>
          <m:rPr>
            <m:sty m:val="b"/>
          </m:rPr>
          <m:t>Φ</m:t>
        </m:r>
        <m:r>
          <m:rPr>
            <m:sty m:val="p"/>
          </m:rPr>
          <m:t>=</m:t>
        </m:r>
        <m:r>
          <m:rPr>
            <m:nor/>
            <m:sty m:val="p"/>
          </m:rPr>
          <m:t>diag</m:t>
        </m:r>
        <m:r>
          <m:rPr>
            <m:sty m:val="p"/>
          </m:rPr>
          <m:t>(</m:t>
        </m:r>
        <m:sSup>
          <m:sSupPr/>
          <m:e>
            <m:r>
              <m:rPr/>
              <m:t>e</m:t>
            </m:r>
          </m:e>
          <m:sup>
            <m:r>
              <m:rPr/>
              <m:t>j2π</m:t>
            </m:r>
            <m:sSubSup>
              <m:sSubSupPr/>
              <m:e>
                <m:r>
                  <m:rPr/>
                  <m:t>f</m:t>
                </m:r>
              </m:e>
              <m:sub>
                <m:r>
                  <m:rPr/>
                  <m:t>D</m:t>
                </m:r>
              </m:sub>
              <m:sup>
                <m:r>
                  <m:rPr>
                    <m:sty m:val="p"/>
                  </m:rPr>
                  <m:t>(</m:t>
                </m:r>
                <m:r>
                  <m:rPr/>
                  <m:t>1</m:t>
                </m:r>
                <m:r>
                  <m:rPr>
                    <m:sty m:val="p"/>
                  </m:rPr>
                  <m:t>)</m:t>
                </m:r>
              </m:sup>
            </m:sSubSup>
            <m:r>
              <m:rPr>
                <m:sty m:val="p"/>
              </m:rPr>
              <m:t>/</m:t>
            </m:r>
            <m:sSubSup>
              <m:sSubSupPr/>
              <m:e>
                <m:r>
                  <m:rPr/>
                  <m:t>f</m:t>
                </m:r>
              </m:e>
              <m:sub>
                <m:r>
                  <m:rPr/>
                  <m:t>s</m:t>
                </m:r>
              </m:sub>
              <m:sup>
                <m:r>
                  <m:rPr>
                    <m:sty m:val="p"/>
                  </m:rPr>
                  <m:t>′</m:t>
                </m:r>
              </m:sup>
            </m:sSubSup>
          </m:sup>
        </m:sSup>
        <m:r>
          <m:rPr>
            <m:sty m:val="p"/>
          </m:rPr>
          <m:t>,⋯,</m:t>
        </m:r>
        <m:sSup>
          <m:sSupPr/>
          <m:e>
            <m:r>
              <m:rPr/>
              <m:t>e</m:t>
            </m:r>
          </m:e>
          <m:sup>
            <m:r>
              <m:rPr/>
              <m:t>j2π</m:t>
            </m:r>
            <m:sSubSup>
              <m:sSubSupPr/>
              <m:e>
                <m:r>
                  <m:rPr/>
                  <m:t>f</m:t>
                </m:r>
              </m:e>
              <m:sub>
                <m:r>
                  <m:rPr/>
                  <m:t>D</m:t>
                </m:r>
              </m:sub>
              <m:sup>
                <m:r>
                  <m:rPr>
                    <m:sty m:val="p"/>
                  </m:rPr>
                  <m:t>(</m:t>
                </m:r>
                <m:r>
                  <m:rPr/>
                  <m:t>K</m:t>
                </m:r>
                <m:r>
                  <m:rPr>
                    <m:sty m:val="p"/>
                  </m:rPr>
                  <m:t>)</m:t>
                </m:r>
              </m:sup>
            </m:sSubSup>
            <m:r>
              <m:rPr>
                <m:sty m:val="p"/>
              </m:rPr>
              <m:t>/</m:t>
            </m:r>
            <m:sSubSup>
              <m:sSubSupPr/>
              <m:e>
                <m:r>
                  <m:rPr/>
                  <m:t>f</m:t>
                </m:r>
              </m:e>
              <m:sub>
                <m:r>
                  <m:rPr/>
                  <m:t>s</m:t>
                </m:r>
              </m:sub>
              <m:sup>
                <m:r>
                  <m:rPr>
                    <m:sty m:val="p"/>
                  </m:rPr>
                  <m:t>′</m:t>
                </m:r>
              </m:sup>
            </m:sSubSup>
          </m:sup>
        </m:sSup>
        <m:r>
          <m:rPr>
            <m:sty m:val="p"/>
          </m:rPr>
          <m:t>)</m:t>
        </m:r>
      </m:oMath>
      <w:r>
        <w:rPr>
          <w:rFonts w:hint="eastAsia"/>
        </w:rPr>
        <w:t>为对角旋转矩阵,其对角元素直接包含了待估计的频率信息。式(4-35)揭示了ESPRIT算法的物理本质:单采样间隔的时间平移在信号子空间中表现为旋转变换,旋转角度由信号频率唯一决定。</w:t>
      </w:r>
    </w:p>
    <w:p w14:paraId="1DAAF83E">
      <w:r>
        <w:rPr>
          <w:rFonts w:hint="eastAsia"/>
        </w:rPr>
        <w:t>在实际有噪声环境中,式(4-35)的旋转不变关系仅近似成立。为了在最小均方误差意义下估计旋转矩阵</w:t>
      </w:r>
      <m:oMath>
        <m:r>
          <m:rPr>
            <m:sty m:val="b"/>
          </m:rPr>
          <m:t>Φ</m:t>
        </m:r>
      </m:oMath>
      <w:r>
        <w:rPr>
          <w:rFonts w:hint="eastAsia"/>
        </w:rPr>
        <w:t>,本文采用全最小二乘ESPRIT(Total</w:t>
      </w:r>
      <w:r>
        <w:t xml:space="preserve"> Least Squares ESPRIT, </w:t>
      </w:r>
      <w:r>
        <w:rPr>
          <w:rFonts w:hint="eastAsia"/>
        </w:rPr>
        <w:t>TLS-ESPRIT)算法。</w:t>
      </w:r>
    </w:p>
    <w:p w14:paraId="4F7E171A">
      <w:r>
        <w:rPr>
          <w:rFonts w:hint="eastAsia"/>
        </w:rPr>
        <w:t>首先,从协方差矩阵的信号子空间</w:t>
      </w:r>
      <m:oMath>
        <m:sSub>
          <m:sSubPr/>
          <m:e>
            <m:r>
              <m:rPr>
                <m:sty m:val="bi"/>
              </m:rPr>
              <m:t>U</m:t>
            </m:r>
          </m:e>
          <m:sub>
            <m:r>
              <m:rPr/>
              <m:t>s</m:t>
            </m:r>
          </m:sub>
        </m:sSub>
      </m:oMath>
      <w:r>
        <w:rPr>
          <w:rFonts w:hint="eastAsia"/>
        </w:rPr>
        <w:t>(式(4-30))中提取对应的上下子矩阵:</w:t>
      </w:r>
    </w:p>
    <w:p w14:paraId="18D5A5CB">
      <w:r>
        <w:t xml:space="preserve"> </w:t>
      </w:r>
    </w:p>
    <w:p w14:paraId="7C26B89B">
      <w:pPr>
        <w:pStyle w:val="44"/>
        <w:spacing w:before="0" w:after="0" w:line="400" w:lineRule="atLeast"/>
      </w:pPr>
      <w:bookmarkStart w:id="113" w:name="_GoBack"/>
      <w:bookmarkEnd w:id="113"/>
      <w:r>
        <w:tab/>
      </w:r>
      <m:oMath>
        <m:sSub>
          <m:sSubPr/>
          <m:e>
            <m:r>
              <m:rPr>
                <m:sty m:val="bi"/>
              </m:rPr>
              <m:t>U</m:t>
            </m:r>
          </m:e>
          <m:sub>
            <m:r>
              <m:rPr/>
              <m:t>s1</m:t>
            </m:r>
          </m:sub>
        </m:sSub>
        <m:r>
          <m:rPr>
            <m:sty m:val="p"/>
          </m:rPr>
          <m:t>=</m:t>
        </m:r>
        <m:sSub>
          <m:sSubPr/>
          <m:e>
            <m:r>
              <m:rPr>
                <m:sty m:val="bi"/>
              </m:rPr>
              <m:t>U</m:t>
            </m:r>
          </m:e>
          <m:sub>
            <m:r>
              <m:rPr/>
              <m:t>s</m:t>
            </m:r>
          </m:sub>
        </m:sSub>
        <m:r>
          <m:rPr>
            <m:sty m:val="p"/>
          </m:rPr>
          <m:t>(</m:t>
        </m:r>
        <m:r>
          <m:rPr/>
          <m:t>1</m:t>
        </m:r>
        <m:r>
          <m:rPr>
            <m:sty m:val="p"/>
          </m:rPr>
          <m:t>:</m:t>
        </m:r>
        <m:r>
          <m:rPr/>
          <m:t>L</m:t>
        </m:r>
        <m:r>
          <m:rPr>
            <m:sty m:val="p"/>
          </m:rPr>
          <m:t>−</m:t>
        </m:r>
        <m:r>
          <m:rPr/>
          <m:t>1</m:t>
        </m:r>
        <m:r>
          <m:rPr>
            <m:sty m:val="p"/>
          </m:rPr>
          <m:t>,:)</m:t>
        </m:r>
      </m:oMath>
      <w:r>
        <w:tab/>
      </w:r>
      <w:r>
        <w:t>(4</w:t>
      </w:r>
      <w:r>
        <w:noBreakHyphen/>
      </w:r>
      <w:r>
        <w:t>36)</w:t>
      </w:r>
    </w:p>
    <w:p w14:paraId="5367E6F6">
      <w:r>
        <w:t xml:space="preserve"> </w:t>
      </w:r>
    </w:p>
    <w:p w14:paraId="7E892950">
      <w:r>
        <w:t xml:space="preserve"> </w:t>
      </w:r>
    </w:p>
    <w:p w14:paraId="6015A176">
      <w:pPr>
        <w:pStyle w:val="44"/>
        <w:spacing w:before="0" w:after="0" w:line="400" w:lineRule="atLeast"/>
      </w:pPr>
      <w:r>
        <w:tab/>
      </w:r>
      <m:oMath>
        <m:sSub>
          <m:sSubPr/>
          <m:e>
            <m:r>
              <m:rPr>
                <m:sty m:val="bi"/>
              </m:rPr>
              <m:t>U</m:t>
            </m:r>
          </m:e>
          <m:sub>
            <m:r>
              <m:rPr/>
              <m:t>s2</m:t>
            </m:r>
          </m:sub>
        </m:sSub>
        <m:r>
          <m:rPr>
            <m:sty m:val="p"/>
          </m:rPr>
          <m:t>=</m:t>
        </m:r>
        <m:sSub>
          <m:sSubPr/>
          <m:e>
            <m:r>
              <m:rPr>
                <m:sty m:val="bi"/>
              </m:rPr>
              <m:t>U</m:t>
            </m:r>
          </m:e>
          <m:sub>
            <m:r>
              <m:rPr/>
              <m:t>s</m:t>
            </m:r>
          </m:sub>
        </m:sSub>
        <m:r>
          <m:rPr>
            <m:sty m:val="p"/>
          </m:rPr>
          <m:t>(</m:t>
        </m:r>
        <m:r>
          <m:rPr/>
          <m:t>2</m:t>
        </m:r>
        <m:r>
          <m:rPr>
            <m:sty m:val="p"/>
          </m:rPr>
          <m:t>:</m:t>
        </m:r>
        <m:r>
          <m:rPr/>
          <m:t>L</m:t>
        </m:r>
        <m:r>
          <m:rPr>
            <m:sty m:val="p"/>
          </m:rPr>
          <m:t>,:)</m:t>
        </m:r>
      </m:oMath>
      <w:r>
        <w:tab/>
      </w:r>
      <w:r>
        <w:t>(4</w:t>
      </w:r>
      <w:r>
        <w:noBreakHyphen/>
      </w:r>
      <w:r>
        <w:t>37)</w:t>
      </w:r>
    </w:p>
    <w:p w14:paraId="7E7CEEB9">
      <w:r>
        <w:t xml:space="preserve"> </w:t>
      </w:r>
    </w:p>
    <w:p w14:paraId="46E5301E">
      <w:r>
        <w:rPr>
          <w:rFonts w:hint="eastAsia"/>
        </w:rPr>
        <w:t>TLS-ESPRIT通过求解以下优化问题估计旋转矩阵:</w:t>
      </w:r>
    </w:p>
    <w:p w14:paraId="4DC9BB53">
      <w:r>
        <w:t xml:space="preserve"> </w:t>
      </w:r>
    </w:p>
    <w:p w14:paraId="6CD5B272">
      <w:pPr>
        <w:pStyle w:val="44"/>
        <w:spacing w:before="0" w:after="0" w:line="400" w:lineRule="atLeast"/>
      </w:pPr>
      <w:r>
        <w:tab/>
      </w:r>
      <m:oMath>
        <m:r>
          <m:rPr>
            <m:sty m:val="b"/>
          </m:rPr>
          <m:t>Ψ</m:t>
        </m:r>
        <m:r>
          <m:rPr>
            <m:sty m:val="p"/>
          </m:rPr>
          <m:t>=(</m:t>
        </m:r>
        <m:sSubSup>
          <m:sSubSupPr/>
          <m:e>
            <m:r>
              <m:rPr>
                <m:sty m:val="bi"/>
              </m:rPr>
              <m:t>U</m:t>
            </m:r>
          </m:e>
          <m:sub>
            <m:r>
              <m:rPr/>
              <m:t>s1</m:t>
            </m:r>
          </m:sub>
          <m:sup>
            <m:r>
              <m:rPr/>
              <m:t>H</m:t>
            </m:r>
          </m:sup>
        </m:sSubSup>
        <m:sSub>
          <m:sSubPr/>
          <m:e>
            <m:r>
              <m:rPr>
                <m:sty m:val="bi"/>
              </m:rPr>
              <m:t>U</m:t>
            </m:r>
          </m:e>
          <m:sub>
            <m:r>
              <m:rPr/>
              <m:t>s1</m:t>
            </m:r>
          </m:sub>
        </m:sSub>
        <m:sSup>
          <m:sSupPr/>
          <m:e>
            <m:r>
              <m:rPr>
                <m:sty m:val="p"/>
              </m:rPr>
              <m:t>)</m:t>
            </m:r>
          </m:e>
          <m:sup>
            <m:r>
              <m:rPr>
                <m:sty m:val="p"/>
              </m:rPr>
              <m:t>−</m:t>
            </m:r>
            <m:r>
              <m:rPr/>
              <m:t>1</m:t>
            </m:r>
          </m:sup>
        </m:sSup>
        <m:sSubSup>
          <m:sSubSupPr/>
          <m:e>
            <m:r>
              <m:rPr>
                <m:sty m:val="bi"/>
              </m:rPr>
              <m:t>U</m:t>
            </m:r>
          </m:e>
          <m:sub>
            <m:r>
              <m:rPr/>
              <m:t>s1</m:t>
            </m:r>
          </m:sub>
          <m:sup>
            <m:r>
              <m:rPr/>
              <m:t>H</m:t>
            </m:r>
          </m:sup>
        </m:sSubSup>
        <m:sSub>
          <m:sSubPr/>
          <m:e>
            <m:r>
              <m:rPr>
                <m:sty m:val="bi"/>
              </m:rPr>
              <m:t>U</m:t>
            </m:r>
          </m:e>
          <m:sub>
            <m:r>
              <m:rPr/>
              <m:t>s2</m:t>
            </m:r>
          </m:sub>
        </m:sSub>
      </m:oMath>
      <w:r>
        <w:tab/>
      </w:r>
      <w:r>
        <w:t>(4</w:t>
      </w:r>
      <w:r>
        <w:noBreakHyphen/>
      </w:r>
      <w:r>
        <w:t>38)</w:t>
      </w:r>
    </w:p>
    <w:p w14:paraId="188F069E">
      <w:r>
        <w:t xml:space="preserve"> </w:t>
      </w:r>
    </w:p>
    <w:p w14:paraId="2536D440">
      <w:r>
        <w:rPr>
          <w:rFonts w:hint="eastAsia"/>
        </w:rPr>
        <w:t>式(4-38)的物理意义是:在最小二乘意义下,寻找使</w:t>
      </w:r>
      <m:oMath>
        <m:sSub>
          <m:sSubPr/>
          <m:e>
            <m:r>
              <m:rPr>
                <m:sty m:val="bi"/>
              </m:rPr>
              <m:t>U</m:t>
            </m:r>
          </m:e>
          <m:sub>
            <m:r>
              <m:rPr/>
              <m:t>s2</m:t>
            </m:r>
          </m:sub>
        </m:sSub>
        <m:r>
          <m:rPr>
            <m:sty m:val="p"/>
          </m:rPr>
          <m:t>≈</m:t>
        </m:r>
        <m:sSub>
          <m:sSubPr/>
          <m:e>
            <m:r>
              <m:rPr>
                <m:sty m:val="bi"/>
              </m:rPr>
              <m:t>U</m:t>
            </m:r>
          </m:e>
          <m:sub>
            <m:r>
              <m:rPr/>
              <m:t>s1</m:t>
            </m:r>
          </m:sub>
        </m:sSub>
        <m:r>
          <m:rPr>
            <m:sty m:val="b"/>
          </m:rPr>
          <m:t>Ψ</m:t>
        </m:r>
      </m:oMath>
      <w:r>
        <w:rPr>
          <w:rFonts w:hint="eastAsia"/>
        </w:rPr>
        <w:t>成立的最优旋转矩阵。与标准最小二乘ESPRIT(LS-ESPRIT)仅考虑</w:t>
      </w:r>
      <m:oMath>
        <m:sSub>
          <m:sSubPr/>
          <m:e>
            <m:r>
              <m:rPr>
                <m:sty m:val="bi"/>
              </m:rPr>
              <m:t>U</m:t>
            </m:r>
          </m:e>
          <m:sub>
            <m:r>
              <m:rPr/>
              <m:t>s2</m:t>
            </m:r>
          </m:sub>
        </m:sSub>
      </m:oMath>
      <w:r>
        <w:rPr>
          <w:rFonts w:hint="eastAsia"/>
        </w:rPr>
        <w:t>的观测误差不同,全最小二乘方法承认</w:t>
      </w:r>
      <m:oMath>
        <m:sSub>
          <m:sSubPr/>
          <m:e>
            <m:r>
              <m:rPr>
                <m:sty m:val="bi"/>
              </m:rPr>
              <m:t>U</m:t>
            </m:r>
          </m:e>
          <m:sub>
            <m:r>
              <m:rPr/>
              <m:t>s1</m:t>
            </m:r>
          </m:sub>
        </m:sSub>
      </m:oMath>
      <w:r>
        <w:rPr>
          <w:rFonts w:hint="eastAsia"/>
        </w:rPr>
        <w:t>和</w:t>
      </w:r>
      <m:oMath>
        <m:sSub>
          <m:sSubPr/>
          <m:e>
            <m:r>
              <m:rPr>
                <m:sty m:val="bi"/>
              </m:rPr>
              <m:t>U</m:t>
            </m:r>
          </m:e>
          <m:sub>
            <m:r>
              <m:rPr/>
              <m:t>s2</m:t>
            </m:r>
          </m:sub>
        </m:sSub>
      </m:oMath>
      <w:r>
        <w:rPr>
          <w:rFonts w:hint="eastAsia"/>
        </w:rPr>
        <w:t>均受噪声污染,通过对两侧同时进行噪声修正,可在低信噪比条件下获得更接近真实旋转矩阵的估计,从而显著提升频率估计的精度与鲁棒性。</w:t>
      </w:r>
    </w:p>
    <w:p w14:paraId="2C811CA9">
      <w:r>
        <w:rPr>
          <w:rFonts w:hint="eastAsia"/>
        </w:rPr>
        <w:t>对旋转矩阵</w:t>
      </w:r>
      <m:oMath>
        <m:r>
          <m:rPr>
            <m:sty m:val="b"/>
          </m:rPr>
          <m:t>Ψ</m:t>
        </m:r>
      </m:oMath>
      <w:r>
        <w:rPr>
          <w:rFonts w:hint="eastAsia"/>
        </w:rPr>
        <w:t>进行特征值分解:</w:t>
      </w:r>
    </w:p>
    <w:p w14:paraId="7F927C40">
      <w:r>
        <w:t xml:space="preserve"> </w:t>
      </w:r>
    </w:p>
    <w:p w14:paraId="0A3A9617">
      <w:pPr>
        <w:pStyle w:val="44"/>
        <w:spacing w:before="0" w:after="0" w:line="400" w:lineRule="atLeast"/>
      </w:pPr>
      <w:r>
        <w:tab/>
      </w:r>
      <m:oMath>
        <m:r>
          <m:rPr>
            <m:sty m:val="b"/>
          </m:rPr>
          <m:t>Ψ</m:t>
        </m:r>
        <m:r>
          <m:rPr>
            <m:sty m:val="p"/>
          </m:rPr>
          <m:t>=</m:t>
        </m:r>
        <m:r>
          <m:rPr>
            <m:sty m:val="bi"/>
          </m:rPr>
          <m:t>VD</m:t>
        </m:r>
        <m:sSup>
          <m:sSupPr/>
          <m:e>
            <m:r>
              <m:rPr>
                <m:sty m:val="bi"/>
              </m:rPr>
              <m:t>V</m:t>
            </m:r>
          </m:e>
          <m:sup>
            <m:r>
              <m:rPr>
                <m:sty m:val="p"/>
              </m:rPr>
              <m:t>−</m:t>
            </m:r>
            <m:r>
              <m:rPr/>
              <m:t>1</m:t>
            </m:r>
          </m:sup>
        </m:sSup>
      </m:oMath>
      <w:r>
        <w:tab/>
      </w:r>
      <w:r>
        <w:t>(4</w:t>
      </w:r>
      <w:r>
        <w:noBreakHyphen/>
      </w:r>
      <w:r>
        <w:t>39)</w:t>
      </w:r>
    </w:p>
    <w:p w14:paraId="15DB05CB">
      <w:r>
        <w:t xml:space="preserve"> </w:t>
      </w:r>
    </w:p>
    <w:p w14:paraId="79835376">
      <w:r>
        <w:rPr>
          <w:rFonts w:hint="eastAsia"/>
        </w:rPr>
        <w:t>其中</w:t>
      </w:r>
      <m:oMath>
        <m:r>
          <m:rPr>
            <m:sty m:val="bi"/>
          </m:rPr>
          <m:t>D</m:t>
        </m:r>
        <m:r>
          <m:rPr>
            <m:sty m:val="p"/>
          </m:rPr>
          <m:t>=</m:t>
        </m:r>
        <m:r>
          <m:rPr>
            <m:nor/>
            <m:sty m:val="p"/>
          </m:rPr>
          <m:t>diag</m:t>
        </m:r>
        <m:r>
          <m:rPr>
            <m:sty m:val="p"/>
          </m:rPr>
          <m:t>(</m:t>
        </m:r>
        <m:sSub>
          <m:sSubPr/>
          <m:e>
            <m:r>
              <m:rPr/>
              <m:t>z</m:t>
            </m:r>
          </m:e>
          <m:sub>
            <m:r>
              <m:rPr/>
              <m:t>1</m:t>
            </m:r>
          </m:sub>
        </m:sSub>
        <m:r>
          <m:rPr>
            <m:sty m:val="p"/>
          </m:rPr>
          <m:t>,</m:t>
        </m:r>
        <m:sSub>
          <m:sSubPr/>
          <m:e>
            <m:r>
              <m:rPr/>
              <m:t>z</m:t>
            </m:r>
          </m:e>
          <m:sub>
            <m:r>
              <m:rPr/>
              <m:t>2</m:t>
            </m:r>
          </m:sub>
        </m:sSub>
        <m:r>
          <m:rPr>
            <m:sty m:val="p"/>
          </m:rPr>
          <m:t>,⋯,</m:t>
        </m:r>
        <m:sSub>
          <m:sSubPr/>
          <m:e>
            <m:r>
              <m:rPr/>
              <m:t>z</m:t>
            </m:r>
          </m:e>
          <m:sub>
            <m:r>
              <m:rPr/>
              <m:t>K</m:t>
            </m:r>
          </m:sub>
        </m:sSub>
        <m:r>
          <m:rPr>
            <m:sty m:val="p"/>
          </m:rPr>
          <m:t>)</m:t>
        </m:r>
      </m:oMath>
      <w:r>
        <w:rPr>
          <w:rFonts w:hint="eastAsia"/>
        </w:rPr>
        <w:t>为特征值对角矩阵。由于</w:t>
      </w:r>
      <m:oMath>
        <m:r>
          <m:rPr>
            <m:sty m:val="b"/>
          </m:rPr>
          <m:t>Ψ</m:t>
        </m:r>
      </m:oMath>
      <w:r>
        <w:rPr>
          <w:rFonts w:hint="eastAsia"/>
        </w:rPr>
        <w:t>与</w:t>
      </w:r>
      <m:oMath>
        <m:r>
          <m:rPr>
            <m:sty m:val="b"/>
          </m:rPr>
          <m:t>Φ</m:t>
        </m:r>
      </m:oMath>
      <w:r>
        <w:rPr>
          <w:rFonts w:hint="eastAsia"/>
        </w:rPr>
        <w:t>相似,其特征值</w:t>
      </w:r>
      <m:oMath>
        <m:r>
          <m:rPr>
            <m:sty m:val="p"/>
          </m:rPr>
          <m:t>{</m:t>
        </m:r>
        <m:sSub>
          <m:sSubPr/>
          <m:e>
            <m:r>
              <m:rPr/>
              <m:t>z</m:t>
            </m:r>
          </m:e>
          <m:sub>
            <m:r>
              <m:rPr/>
              <m:t>k</m:t>
            </m:r>
          </m:sub>
        </m:sSub>
        <m:r>
          <m:rPr>
            <m:sty m:val="p"/>
          </m:rPr>
          <m:t>}</m:t>
        </m:r>
      </m:oMath>
      <w:r>
        <w:rPr>
          <w:rFonts w:hint="eastAsia"/>
        </w:rPr>
        <w:t>与</w:t>
      </w:r>
      <m:oMath>
        <m:r>
          <m:rPr>
            <m:sty m:val="p"/>
          </m:rPr>
          <m:t>{</m:t>
        </m:r>
        <m:sSup>
          <m:sSupPr/>
          <m:e>
            <m:r>
              <m:rPr/>
              <m:t>e</m:t>
            </m:r>
          </m:e>
          <m:sup>
            <m:r>
              <m:rPr/>
              <m:t>j2π</m:t>
            </m:r>
            <m:sSubSup>
              <m:sSubSupPr/>
              <m:e>
                <m:r>
                  <m:rPr/>
                  <m:t>f</m:t>
                </m:r>
              </m:e>
              <m:sub>
                <m:r>
                  <m:rPr/>
                  <m:t>D</m:t>
                </m:r>
              </m:sub>
              <m:sup>
                <m:r>
                  <m:rPr>
                    <m:sty m:val="p"/>
                  </m:rPr>
                  <m:t>(</m:t>
                </m:r>
                <m:r>
                  <m:rPr/>
                  <m:t>k</m:t>
                </m:r>
                <m:r>
                  <m:rPr>
                    <m:sty m:val="p"/>
                  </m:rPr>
                  <m:t>)</m:t>
                </m:r>
              </m:sup>
            </m:sSubSup>
            <m:r>
              <m:rPr>
                <m:sty m:val="p"/>
              </m:rPr>
              <m:t>/</m:t>
            </m:r>
            <m:sSubSup>
              <m:sSubSupPr/>
              <m:e>
                <m:r>
                  <m:rPr/>
                  <m:t>f</m:t>
                </m:r>
              </m:e>
              <m:sub>
                <m:r>
                  <m:rPr/>
                  <m:t>s</m:t>
                </m:r>
              </m:sub>
              <m:sup>
                <m:r>
                  <m:rPr>
                    <m:sty m:val="p"/>
                  </m:rPr>
                  <m:t>′</m:t>
                </m:r>
              </m:sup>
            </m:sSubSup>
          </m:sup>
        </m:sSup>
        <m:r>
          <m:rPr>
            <m:sty m:val="p"/>
          </m:rPr>
          <m:t>}</m:t>
        </m:r>
      </m:oMath>
      <w:r>
        <w:rPr>
          <w:rFonts w:hint="eastAsia"/>
        </w:rPr>
        <w:t>一一对应。因此,各频率分量可通过特征值的相位角直接提取:</w:t>
      </w:r>
    </w:p>
    <w:p w14:paraId="073B7B45">
      <w:r>
        <w:t xml:space="preserve"> </w:t>
      </w:r>
    </w:p>
    <w:p w14:paraId="031ED2F4">
      <w:pPr>
        <w:pStyle w:val="44"/>
        <w:spacing w:before="0" w:after="0" w:line="400" w:lineRule="atLeast"/>
      </w:pPr>
      <w:r>
        <w:tab/>
      </w:r>
      <m:oMath>
        <m:sSubSup>
          <m:sSubSupPr/>
          <m:e>
            <m:r>
              <m:rPr/>
              <m:t>f</m:t>
            </m:r>
          </m:e>
          <m:sub>
            <m:r>
              <m:rPr/>
              <m:t>D</m:t>
            </m:r>
          </m:sub>
          <m:sup>
            <m:r>
              <m:rPr>
                <m:sty m:val="p"/>
              </m:rPr>
              <m:t>(</m:t>
            </m:r>
            <m:r>
              <m:rPr/>
              <m:t>k</m:t>
            </m:r>
            <m:r>
              <m:rPr>
                <m:sty m:val="p"/>
              </m:rPr>
              <m:t>)</m:t>
            </m:r>
          </m:sup>
        </m:sSubSup>
        <m:r>
          <m:rPr>
            <m:sty m:val="p"/>
          </m:rPr>
          <m:t>=</m:t>
        </m:r>
        <m:f>
          <m:fPr/>
          <m:num>
            <m:sSubSup>
              <m:sSubSupPr/>
              <m:e>
                <m:r>
                  <m:rPr/>
                  <m:t>f</m:t>
                </m:r>
              </m:e>
              <m:sub>
                <m:r>
                  <m:rPr/>
                  <m:t>s</m:t>
                </m:r>
              </m:sub>
              <m:sup>
                <m:r>
                  <m:rPr>
                    <m:sty m:val="p"/>
                  </m:rPr>
                  <m:t>′</m:t>
                </m:r>
              </m:sup>
            </m:sSubSup>
          </m:num>
          <m:den>
            <m:r>
              <m:rPr/>
              <m:t>2π</m:t>
            </m:r>
          </m:den>
        </m:f>
        <m:r>
          <m:rPr>
            <m:sty m:val="p"/>
          </m:rPr>
          <m:t>∠</m:t>
        </m:r>
        <m:sSub>
          <m:sSubPr/>
          <m:e>
            <m:r>
              <m:rPr/>
              <m:t>z</m:t>
            </m:r>
          </m:e>
          <m:sub>
            <m:r>
              <m:rPr/>
              <m:t>k</m:t>
            </m:r>
          </m:sub>
        </m:sSub>
      </m:oMath>
      <w:r>
        <w:tab/>
      </w:r>
      <w:r>
        <w:t>(4</w:t>
      </w:r>
      <w:r>
        <w:noBreakHyphen/>
      </w:r>
      <w:r>
        <w:t>40)</w:t>
      </w:r>
    </w:p>
    <w:p w14:paraId="6AA96739">
      <w:r>
        <w:t xml:space="preserve"> </w:t>
      </w:r>
    </w:p>
    <w:p w14:paraId="3BC09AED">
      <w:r>
        <w:rPr>
          <w:rFonts w:hint="eastAsia"/>
        </w:rPr>
        <w:t>其中</w:t>
      </w:r>
      <m:oMath>
        <m:r>
          <m:rPr>
            <m:sty m:val="p"/>
          </m:rPr>
          <m:t>∠</m:t>
        </m:r>
        <m:sSub>
          <m:sSubPr/>
          <m:e>
            <m:r>
              <m:rPr/>
              <m:t>z</m:t>
            </m:r>
          </m:e>
          <m:sub>
            <m:r>
              <m:rPr/>
              <m:t>k</m:t>
            </m:r>
          </m:sub>
        </m:sSub>
      </m:oMath>
      <w:r>
        <w:rPr>
          <w:rFonts w:hint="eastAsia"/>
        </w:rPr>
        <w:t>表示复数</w:t>
      </w:r>
      <m:oMath>
        <m:sSub>
          <m:sSubPr/>
          <m:e>
            <m:r>
              <m:rPr/>
              <m:t>z</m:t>
            </m:r>
          </m:e>
          <m:sub>
            <m:r>
              <m:rPr/>
              <m:t>k</m:t>
            </m:r>
          </m:sub>
        </m:sSub>
      </m:oMath>
      <w:r>
        <w:rPr>
          <w:rFonts w:hint="eastAsia"/>
        </w:rPr>
        <w:t>的相位角(取值范围</w:t>
      </w:r>
      <m:oMath>
        <m:r>
          <m:rPr>
            <m:sty m:val="p"/>
          </m:rPr>
          <m:t>[−</m:t>
        </m:r>
        <m:r>
          <m:rPr/>
          <m:t>π</m:t>
        </m:r>
        <m:r>
          <m:rPr>
            <m:sty m:val="p"/>
          </m:rPr>
          <m:t>,</m:t>
        </m:r>
        <m:r>
          <m:rPr/>
          <m:t>π</m:t>
        </m:r>
        <m:r>
          <m:rPr>
            <m:sty m:val="p"/>
          </m:rPr>
          <m:t>)</m:t>
        </m:r>
      </m:oMath>
      <w:r>
        <w:t>),</w:t>
      </w:r>
      <m:oMath>
        <m:sSubSup>
          <m:sSubSupPr/>
          <m:e>
            <m:r>
              <m:rPr/>
              <m:t>f</m:t>
            </m:r>
          </m:e>
          <m:sub>
            <m:r>
              <m:rPr/>
              <m:t>s</m:t>
            </m:r>
          </m:sub>
          <m:sup>
            <m:r>
              <m:rPr>
                <m:sty m:val="p"/>
              </m:rPr>
              <m:t>′</m:t>
            </m:r>
          </m:sup>
        </m:sSubSup>
      </m:oMath>
      <w:r>
        <w:rPr>
          <w:rFonts w:hint="eastAsia"/>
        </w:rPr>
        <w:t>为降采样后的等效采样率(为降低计算复杂度,实际工程中通常对原始高速采样信号进行抽取处理)。式(4-40)是ESPRIT算法的核心公式,它将频率估计问题转化为矩阵特征值问题,避免了传统FFT的栅栏效应,可实现超分辨率的频率估计。</w:t>
      </w:r>
    </w:p>
    <w:p w14:paraId="42EAB64F">
      <w:r>
        <w:rPr>
          <w:rFonts w:hint="eastAsia"/>
        </w:rPr>
        <w:t>将上述算法应用于每个滑动窗口,即可获得一系列离散特征点</w:t>
      </w:r>
      <m:oMath>
        <m:r>
          <m:rPr>
            <m:sty m:val="p"/>
          </m:rPr>
          <m:t>(</m:t>
        </m:r>
        <m:sSub>
          <m:sSubPr/>
          <m:e>
            <m:r>
              <m:rPr/>
              <m:t>f</m:t>
            </m:r>
          </m:e>
          <m:sub>
            <m:r>
              <m:rPr/>
              <m:t>probe</m:t>
            </m:r>
            <m:r>
              <m:rPr>
                <m:sty m:val="p"/>
              </m:rPr>
              <m:t>,</m:t>
            </m:r>
            <m:r>
              <m:rPr/>
              <m:t>i</m:t>
            </m:r>
          </m:sub>
        </m:sSub>
        <m:r>
          <m:rPr>
            <m:sty m:val="p"/>
          </m:rPr>
          <m:t>,</m:t>
        </m:r>
        <m:sSub>
          <m:sSubPr/>
          <m:e>
            <m:r>
              <m:rPr/>
              <m:t>τ</m:t>
            </m:r>
          </m:e>
          <m:sub>
            <m:r>
              <m:rPr/>
              <m:t>meas</m:t>
            </m:r>
            <m:r>
              <m:rPr>
                <m:sty m:val="p"/>
              </m:rPr>
              <m:t>,</m:t>
            </m:r>
            <m:r>
              <m:rPr/>
              <m:t>i</m:t>
            </m:r>
          </m:sub>
        </m:sSub>
        <m:r>
          <m:rPr>
            <m:sty m:val="p"/>
          </m:rPr>
          <m:t>,</m:t>
        </m:r>
        <m:sSub>
          <m:sSubPr/>
          <m:e>
            <m:r>
              <m:rPr/>
              <m:t>A</m:t>
            </m:r>
          </m:e>
          <m:sub>
            <m:r>
              <m:rPr/>
              <m:t>i</m:t>
            </m:r>
          </m:sub>
        </m:sSub>
        <m:r>
          <m:rPr>
            <m:sty m:val="p"/>
          </m:rPr>
          <m:t>)</m:t>
        </m:r>
      </m:oMath>
      <w:r>
        <w:rPr>
          <w:rFonts w:hint="eastAsia"/>
        </w:rPr>
        <w:t>,并构成数据集</w:t>
      </w:r>
    </w:p>
    <w:p w14:paraId="296F9EE7">
      <w:r>
        <w:t xml:space="preserve"> </w:t>
      </w:r>
    </w:p>
    <w:p w14:paraId="7141C828">
      <w:pPr>
        <w:pStyle w:val="44"/>
        <w:spacing w:before="0" w:after="0" w:line="400" w:lineRule="atLeast"/>
      </w:pPr>
      <w:r>
        <w:tab/>
      </w:r>
      <m:oMath>
        <m:r>
          <m:rPr>
            <m:sty m:val="p"/>
            <m:scr m:val="script"/>
          </m:rPr>
          <m:t>D</m:t>
        </m:r>
        <m:r>
          <m:rPr>
            <m:sty m:val="p"/>
          </m:rPr>
          <m:t>={(</m:t>
        </m:r>
        <m:sSub>
          <m:sSubPr/>
          <m:e>
            <m:r>
              <m:rPr/>
              <m:t>f</m:t>
            </m:r>
          </m:e>
          <m:sub>
            <m:r>
              <m:rPr/>
              <m:t>probe</m:t>
            </m:r>
            <m:r>
              <m:rPr>
                <m:sty m:val="p"/>
              </m:rPr>
              <m:t>,</m:t>
            </m:r>
            <m:r>
              <m:rPr/>
              <m:t>i</m:t>
            </m:r>
          </m:sub>
        </m:sSub>
        <m:r>
          <m:rPr>
            <m:sty m:val="p"/>
          </m:rPr>
          <m:t>,</m:t>
        </m:r>
        <m:sSub>
          <m:sSubPr/>
          <m:e>
            <m:r>
              <m:rPr/>
              <m:t>τ</m:t>
            </m:r>
          </m:e>
          <m:sub>
            <m:r>
              <m:rPr/>
              <m:t>meas</m:t>
            </m:r>
            <m:r>
              <m:rPr>
                <m:sty m:val="p"/>
              </m:rPr>
              <m:t>,</m:t>
            </m:r>
            <m:r>
              <m:rPr/>
              <m:t>i</m:t>
            </m:r>
          </m:sub>
        </m:sSub>
        <m:r>
          <m:rPr>
            <m:sty m:val="p"/>
          </m:rPr>
          <m:t>,</m:t>
        </m:r>
        <m:sSub>
          <m:sSubPr/>
          <m:e>
            <m:r>
              <m:rPr/>
              <m:t>A</m:t>
            </m:r>
          </m:e>
          <m:sub>
            <m:r>
              <m:rPr/>
              <m:t>i</m:t>
            </m:r>
          </m:sub>
        </m:sSub>
        <m:r>
          <m:rPr>
            <m:sty m:val="p"/>
          </m:rPr>
          <m:t>)</m:t>
        </m:r>
        <m:sSubSup>
          <m:sSubSupPr/>
          <m:e>
            <m:r>
              <m:rPr>
                <m:sty m:val="p"/>
              </m:rPr>
              <m:t>}</m:t>
            </m:r>
          </m:e>
          <m:sub>
            <m:r>
              <m:rPr/>
              <m:t>i</m:t>
            </m:r>
            <m:r>
              <m:rPr>
                <m:sty m:val="p"/>
              </m:rPr>
              <m:t>=</m:t>
            </m:r>
            <m:r>
              <m:rPr/>
              <m:t>1</m:t>
            </m:r>
          </m:sub>
          <m:sup>
            <m:sSub>
              <m:sSubPr/>
              <m:e>
                <m:r>
                  <m:rPr/>
                  <m:t>N</m:t>
                </m:r>
              </m:e>
              <m:sub>
                <m:r>
                  <m:rPr/>
                  <m:t>w</m:t>
                </m:r>
              </m:sub>
            </m:sSub>
          </m:sup>
        </m:sSubSup>
      </m:oMath>
      <w:r>
        <w:tab/>
      </w:r>
      <w:r>
        <w:t>(4</w:t>
      </w:r>
      <w:r>
        <w:noBreakHyphen/>
      </w:r>
      <w:r>
        <w:t>41)</w:t>
      </w:r>
    </w:p>
    <w:p w14:paraId="44AF3DCA">
      <w:r>
        <w:t xml:space="preserve"> </w:t>
      </w:r>
    </w:p>
    <w:p w14:paraId="5780C81A">
      <w:r>
        <w:rPr>
          <w:rFonts w:hint="eastAsia"/>
        </w:rPr>
        <w:t>其中，</w:t>
      </w:r>
      <m:oMath>
        <m:sSub>
          <m:sSubPr/>
          <m:e>
            <m:r>
              <m:rPr/>
              <m:t>f</m:t>
            </m:r>
          </m:e>
          <m:sub>
            <m:r>
              <m:rPr/>
              <m:t>probe</m:t>
            </m:r>
            <m:r>
              <m:rPr>
                <m:sty m:val="p"/>
              </m:rPr>
              <m:t>,</m:t>
            </m:r>
            <m:r>
              <m:rPr/>
              <m:t>i</m:t>
            </m:r>
          </m:sub>
        </m:sSub>
      </m:oMath>
      <w:r>
        <w:rPr>
          <w:rFonts w:hint="eastAsia"/>
        </w:rPr>
        <w:t>由系统参数决定，作为反演的自变量基准；</w:t>
      </w:r>
      <m:oMath>
        <m:sSub>
          <m:sSubPr/>
          <m:e>
            <m:r>
              <m:rPr/>
              <m:t>τ</m:t>
            </m:r>
          </m:e>
          <m:sub>
            <m:r>
              <m:rPr/>
              <m:t>meas</m:t>
            </m:r>
            <m:r>
              <m:rPr>
                <m:sty m:val="p"/>
              </m:rPr>
              <m:t>,</m:t>
            </m:r>
            <m:r>
              <m:rPr/>
              <m:t>i</m:t>
            </m:r>
          </m:sub>
        </m:sSub>
      </m:oMath>
      <w:r>
        <w:rPr>
          <w:rFonts w:hint="eastAsia"/>
        </w:rPr>
        <w:t>对应局部测量时延；</w:t>
      </w:r>
      <m:oMath>
        <m:sSub>
          <m:sSubPr/>
          <m:e>
            <m:r>
              <m:rPr/>
              <m:t>A</m:t>
            </m:r>
          </m:e>
          <m:sub>
            <m:r>
              <m:rPr/>
              <m:t>i</m:t>
            </m:r>
          </m:sub>
        </m:sSub>
      </m:oMath>
      <w:r>
        <w:rPr>
          <w:rFonts w:hint="eastAsia"/>
        </w:rPr>
        <w:t>反映该频点的信噪比水平，为后续加权反演提供依据。</w:t>
      </w:r>
    </w:p>
    <w:p w14:paraId="3D79D526">
      <w:r>
        <w:rPr>
          <w:rFonts w:hint="eastAsia"/>
        </w:rPr>
        <w:t>图4-6展示了典型强色散工况下的频率—时延轨迹重构结果。可以看到,TLS-ESPRIT提取的特征散点整体紧贴理论Drude曲线,在接近截止频率的高非线性区仍能保持连续跟踪;相比之下,全周期FFT基线因频谱展宽与读峰离散化误差而出现明显偏离。数值结果表明，ESPRIT重构轨迹的RMSE为0.0037</w:t>
      </w:r>
      <w:r>
        <w:t xml:space="preserve"> </w:t>
      </w:r>
      <w:r>
        <w:rPr>
          <w:rFonts w:hint="eastAsia"/>
        </w:rPr>
        <w:t>ns，最大误差为0.0099</w:t>
      </w:r>
      <w:r>
        <w:t xml:space="preserve"> </w:t>
      </w:r>
      <w:r>
        <w:rPr>
          <w:rFonts w:hint="eastAsia"/>
        </w:rPr>
        <w:t>ns，显著优于这里作为参照的全周期FFT基线。图中散点颜色表示幅度权重</w:t>
      </w:r>
      <m:oMath>
        <m:sSub>
          <m:sSubPr/>
          <m:e>
            <m:r>
              <m:rPr/>
              <m:t>A</m:t>
            </m:r>
          </m:e>
          <m:sub>
            <m:r>
              <m:rPr/>
              <m:t>i</m:t>
            </m:r>
          </m:sub>
        </m:sSub>
      </m:oMath>
      <w:r>
        <w:rPr>
          <w:rFonts w:hint="eastAsia"/>
        </w:rPr>
        <w:t>:远离截止频率时权重较高,接近截止频率时因透射衰减增强而降低,这一设置也与后续加权似然中的置信度设计保持一致。</w:t>
      </w:r>
    </w:p>
    <w:p w14:paraId="679E55A0">
      <w:r>
        <w:pict>
          <v:rect id="_x0000_i1038" o:spt="1" style="height:1.5pt;width:0pt;" coordsize="21600,21600" o:hr="t" o:hrstd="t" o:hralign="center">
            <v:path/>
            <v:fill focussize="0,0"/>
            <v:stroke/>
            <v:imagedata o:title=""/>
            <o:lock v:ext="edit"/>
            <w10:wrap type="none"/>
            <w10:anchorlock/>
          </v:rect>
        </w:pict>
      </w:r>
    </w:p>
    <w:bookmarkEnd w:id="64"/>
    <w:p w14:paraId="0BF6663B">
      <w:pPr>
        <w:pStyle w:val="4"/>
      </w:pPr>
      <w:bookmarkStart w:id="65" w:name="本节小结-1"/>
      <w:r>
        <w:rPr>
          <w:rFonts w:hint="eastAsia"/>
        </w:rPr>
        <w:t>本节小结</w:t>
      </w:r>
    </w:p>
    <w:p w14:paraId="23DCEFD9">
      <w:r>
        <w:rPr>
          <w:rFonts w:hint="eastAsia"/>
        </w:rPr>
        <w:t>本节围绕强色散差频信号的非平稳特性，建立了基于滑动窗口—MDL—TLS-ESPRIT的高分辨率特征提取框架。其核心思想是利用“全局非平稳、局部近似平稳“的物理特性，将全周期信号分解为一系列局部频率估计问题，并进一步重构频率—时延特征轨迹。针对实际链路中的多径与低信噪比影响，本文通过MDL信源数估计、子空间分离及幅度加权机制提升了特征提取的稳健性。最终得到的特征数据集</w:t>
      </w:r>
      <m:oMath>
        <m:r>
          <m:rPr>
            <m:sty m:val="p"/>
            <m:scr m:val="script"/>
          </m:rPr>
          <m:t>D</m:t>
        </m:r>
        <m:r>
          <m:rPr>
            <m:sty m:val="p"/>
          </m:rPr>
          <m:t>={(</m:t>
        </m:r>
        <m:sSub>
          <m:sSubPr/>
          <m:e>
            <m:r>
              <m:rPr/>
              <m:t>f</m:t>
            </m:r>
          </m:e>
          <m:sub>
            <m:r>
              <m:rPr/>
              <m:t>probe</m:t>
            </m:r>
            <m:r>
              <m:rPr>
                <m:sty m:val="p"/>
              </m:rPr>
              <m:t>,</m:t>
            </m:r>
            <m:r>
              <m:rPr/>
              <m:t>i</m:t>
            </m:r>
          </m:sub>
        </m:sSub>
        <m:r>
          <m:rPr>
            <m:sty m:val="p"/>
          </m:rPr>
          <m:t>,</m:t>
        </m:r>
        <m:sSub>
          <m:sSubPr/>
          <m:e>
            <m:r>
              <m:rPr/>
              <m:t>τ</m:t>
            </m:r>
          </m:e>
          <m:sub>
            <m:r>
              <m:rPr/>
              <m:t>meas</m:t>
            </m:r>
            <m:r>
              <m:rPr>
                <m:sty m:val="p"/>
              </m:rPr>
              <m:t>,</m:t>
            </m:r>
            <m:r>
              <m:rPr/>
              <m:t>i</m:t>
            </m:r>
          </m:sub>
        </m:sSub>
        <m:r>
          <m:rPr>
            <m:sty m:val="p"/>
          </m:rPr>
          <m:t>,</m:t>
        </m:r>
        <m:sSub>
          <m:sSubPr/>
          <m:e>
            <m:r>
              <m:rPr/>
              <m:t>A</m:t>
            </m:r>
          </m:e>
          <m:sub>
            <m:r>
              <m:rPr/>
              <m:t>i</m:t>
            </m:r>
          </m:sub>
        </m:sSub>
        <m:r>
          <m:rPr>
            <m:sty m:val="p"/>
          </m:rPr>
          <m:t>)}</m:t>
        </m:r>
      </m:oMath>
      <w:r>
        <w:rPr>
          <w:rFonts w:hint="eastAsia"/>
        </w:rPr>
        <w:t>为后续贝叶斯参数反演提供了直接观测输入。</w:t>
      </w:r>
    </w:p>
    <w:bookmarkEnd w:id="61"/>
    <w:bookmarkEnd w:id="65"/>
    <w:p w14:paraId="6147F91B">
      <w:pPr>
        <w:pStyle w:val="3"/>
      </w:pPr>
      <w:bookmarkStart w:id="66" w:name="基于metropolis-hastings的贝叶斯参数反演模型"/>
      <w:r>
        <w:rPr>
          <w:rFonts w:hint="eastAsia"/>
        </w:rPr>
        <w:t>基于Metropolis-Hastings的贝叶斯参数反演模型</w:t>
      </w:r>
    </w:p>
    <w:p w14:paraId="0D939D86">
      <w:r>
        <w:rPr>
          <w:rFonts w:hint="eastAsia"/>
        </w:rPr>
        <w:t>前文第4.2节已经从物理可观测性角度给出工程结论:在群时延主导的LFMCW诊断链路中,应固定</w:t>
      </w:r>
      <m:oMath>
        <m:sSub>
          <m:sSubPr/>
          <m:e>
            <m:r>
              <m:rPr/>
              <m:t>ν</m:t>
            </m:r>
          </m:e>
          <m:sub>
            <m:r>
              <m:rPr/>
              <m:t>e</m:t>
            </m:r>
          </m:sub>
        </m:sSub>
      </m:oMath>
      <w:r>
        <w:rPr>
          <w:rFonts w:hint="eastAsia"/>
        </w:rPr>
        <w:t>,并仅将</w:t>
      </w:r>
      <m:oMath>
        <m:sSub>
          <m:sSubPr/>
          <m:e>
            <m:r>
              <m:rPr/>
              <m:t>n</m:t>
            </m:r>
          </m:e>
          <m:sub>
            <m:r>
              <m:rPr/>
              <m:t>e</m:t>
            </m:r>
          </m:sub>
        </m:sSub>
      </m:oMath>
      <w:r>
        <w:rPr>
          <w:rFonts w:hint="eastAsia"/>
        </w:rPr>
        <w:t>作为主反演参数。本节之所以仍暂时保留</w:t>
      </w:r>
      <m:oMath>
        <m:sSub>
          <m:sSubPr/>
          <m:e>
            <m:r>
              <m:rPr/>
              <m:t>ν</m:t>
            </m:r>
          </m:e>
          <m:sub>
            <m:r>
              <m:rPr/>
              <m:t>e</m:t>
            </m:r>
          </m:sub>
        </m:sSub>
      </m:oMath>
      <w:r>
        <w:rPr>
          <w:rFonts w:hint="eastAsia"/>
        </w:rPr>
        <w:t>进入候选参数向量,并非要恢复双参数工程反演,而是希望在统一的贝叶斯框架下,通过联合后验分布直接检验</w:t>
      </w:r>
      <m:oMath>
        <m:sSub>
          <m:sSubPr/>
          <m:e>
            <m:r>
              <m:rPr/>
              <m:t>ν</m:t>
            </m:r>
          </m:e>
          <m:sub>
            <m:r>
              <m:rPr/>
              <m:t>e</m:t>
            </m:r>
          </m:sub>
        </m:sSub>
      </m:oMath>
      <w:r>
        <w:rPr>
          <w:rFonts w:hint="eastAsia"/>
        </w:rPr>
        <w:t>是否能够被观测数据有效约束。若其后验仍保持宽展或偏移,则反过来为“固定</w:t>
      </w:r>
      <m:oMath>
        <m:sSub>
          <m:sSubPr/>
          <m:e>
            <m:r>
              <m:rPr/>
              <m:t>ν</m:t>
            </m:r>
          </m:e>
          <m:sub>
            <m:r>
              <m:rPr/>
              <m:t>e</m:t>
            </m:r>
          </m:sub>
        </m:sSub>
      </m:oMath>
      <w:r>
        <w:rPr>
          <w:rFonts w:hint="eastAsia"/>
        </w:rPr>
        <w:t>“提供统计支撑。</w:t>
      </w:r>
    </w:p>
    <w:p w14:paraId="55A20F04">
      <w:r>
        <w:rPr>
          <w:rFonts w:hint="eastAsia"/>
        </w:rPr>
        <w:t>基于上述理解,本节按以下顺序展开:先建立融合幅度权重</w:t>
      </w:r>
      <m:oMath>
        <m:sSub>
          <m:sSubPr/>
          <m:e>
            <m:r>
              <m:rPr/>
              <m:t>A</m:t>
            </m:r>
          </m:e>
          <m:sub>
            <m:r>
              <m:rPr/>
              <m:t>i</m:t>
            </m:r>
          </m:sub>
        </m:sSub>
      </m:oMath>
      <w:r>
        <w:rPr>
          <w:rFonts w:hint="eastAsia"/>
        </w:rPr>
        <w:t>的加权似然函数,再给出先验边界、提议分布和预烧期等采样配置,最后利用后验均值、置信区间、CV和角点图判断参数是否值得进入工程反演。</w:t>
      </w:r>
    </w:p>
    <w:p w14:paraId="608B131F">
      <w:r>
        <w:pict>
          <v:rect id="_x0000_i1039" o:spt="1" style="height:1.5pt;width:0pt;" coordsize="21600,21600" o:hr="t" o:hrstd="t" o:hralign="center">
            <v:path/>
            <v:fill focussize="0,0"/>
            <v:stroke/>
            <v:imagedata o:title=""/>
            <o:lock v:ext="edit"/>
            <w10:wrap type="none"/>
            <w10:anchorlock/>
          </v:rect>
        </w:pict>
      </w:r>
    </w:p>
    <w:p w14:paraId="08334E13">
      <w:pPr>
        <w:pStyle w:val="4"/>
      </w:pPr>
      <w:bookmarkStart w:id="67" w:name="加权似然函数构建融合碰撞频率幅度衰减的权重设计"/>
      <w:r>
        <w:rPr>
          <w:rFonts w:hint="eastAsia"/>
        </w:rPr>
        <w:t>加权似然函数构建：融合碰撞频率幅度衰减的权重设计</w:t>
      </w:r>
    </w:p>
    <w:p w14:paraId="20E60AEE">
      <w:r>
        <w:rPr>
          <w:rFonts w:hint="eastAsia"/>
        </w:rPr>
        <w:t>根据贝叶斯定理，候选参数</w:t>
      </w:r>
      <m:oMath>
        <m:r>
          <m:rPr>
            <m:sty m:val="bi"/>
          </m:rPr>
          <m:t>θ</m:t>
        </m:r>
      </m:oMath>
      <w:r>
        <w:rPr>
          <w:rFonts w:hint="eastAsia"/>
        </w:rPr>
        <w:t>的后验分布正比于似然函数与先验分布的乘积：</w:t>
      </w:r>
    </w:p>
    <w:p w14:paraId="4937874A">
      <w:r>
        <w:t xml:space="preserve"> </w:t>
      </w:r>
    </w:p>
    <w:p w14:paraId="1778856F">
      <w:pPr>
        <w:pStyle w:val="44"/>
        <w:spacing w:before="0" w:after="0" w:line="400" w:lineRule="atLeast"/>
      </w:pPr>
      <w:r>
        <w:tab/>
      </w:r>
      <m:oMath>
        <m:r>
          <m:rPr/>
          <m:t>P</m:t>
        </m:r>
        <m:r>
          <m:rPr>
            <m:sty m:val="p"/>
          </m:rPr>
          <m:t>(</m:t>
        </m:r>
        <m:r>
          <m:rPr>
            <m:sty m:val="bi"/>
          </m:rPr>
          <m:t>θ</m:t>
        </m:r>
        <m:r>
          <m:rPr>
            <m:sty m:val="p"/>
          </m:rPr>
          <m:t>|</m:t>
        </m:r>
        <m:r>
          <m:rPr>
            <m:sty m:val="p"/>
            <m:scr m:val="script"/>
          </m:rPr>
          <m:t>D</m:t>
        </m:r>
        <m:r>
          <m:rPr>
            <m:sty m:val="p"/>
          </m:rPr>
          <m:t>)=</m:t>
        </m:r>
        <m:f>
          <m:fPr/>
          <m:num>
            <m:r>
              <m:rPr/>
              <m:t>P</m:t>
            </m:r>
            <m:r>
              <m:rPr>
                <m:sty m:val="p"/>
              </m:rPr>
              <m:t>(</m:t>
            </m:r>
            <m:r>
              <m:rPr>
                <m:sty m:val="p"/>
                <m:scr m:val="script"/>
              </m:rPr>
              <m:t>D</m:t>
            </m:r>
            <m:r>
              <m:rPr>
                <m:sty m:val="p"/>
              </m:rPr>
              <m:t>|</m:t>
            </m:r>
            <m:r>
              <m:rPr>
                <m:sty m:val="bi"/>
              </m:rPr>
              <m:t>θ</m:t>
            </m:r>
            <m:r>
              <m:rPr>
                <m:sty m:val="p"/>
              </m:rPr>
              <m:t>)⋅</m:t>
            </m:r>
            <m:r>
              <m:rPr/>
              <m:t>P</m:t>
            </m:r>
            <m:r>
              <m:rPr>
                <m:sty m:val="p"/>
              </m:rPr>
              <m:t>(</m:t>
            </m:r>
            <m:r>
              <m:rPr>
                <m:sty m:val="bi"/>
              </m:rPr>
              <m:t>θ</m:t>
            </m:r>
            <m:r>
              <m:rPr>
                <m:sty m:val="p"/>
              </m:rPr>
              <m:t>)</m:t>
            </m:r>
          </m:num>
          <m:den>
            <m:r>
              <m:rPr/>
              <m:t>P</m:t>
            </m:r>
            <m:r>
              <m:rPr>
                <m:sty m:val="p"/>
              </m:rPr>
              <m:t>(</m:t>
            </m:r>
            <m:r>
              <m:rPr>
                <m:sty m:val="p"/>
                <m:scr m:val="script"/>
              </m:rPr>
              <m:t>D</m:t>
            </m:r>
            <m:r>
              <m:rPr>
                <m:sty m:val="p"/>
              </m:rPr>
              <m:t>)</m:t>
            </m:r>
          </m:den>
        </m:f>
        <m:r>
          <m:rPr>
            <m:sty m:val="p"/>
          </m:rPr>
          <m:t>∝</m:t>
        </m:r>
        <m:r>
          <m:rPr/>
          <m:t>P</m:t>
        </m:r>
        <m:r>
          <m:rPr>
            <m:sty m:val="p"/>
          </m:rPr>
          <m:t>(</m:t>
        </m:r>
        <m:r>
          <m:rPr>
            <m:sty m:val="p"/>
            <m:scr m:val="script"/>
          </m:rPr>
          <m:t>D</m:t>
        </m:r>
        <m:r>
          <m:rPr>
            <m:sty m:val="p"/>
          </m:rPr>
          <m:t>|</m:t>
        </m:r>
        <m:r>
          <m:rPr>
            <m:sty m:val="bi"/>
          </m:rPr>
          <m:t>θ</m:t>
        </m:r>
        <m:r>
          <m:rPr>
            <m:sty m:val="p"/>
          </m:rPr>
          <m:t>)⋅</m:t>
        </m:r>
        <m:r>
          <m:rPr/>
          <m:t>P</m:t>
        </m:r>
        <m:r>
          <m:rPr>
            <m:sty m:val="p"/>
          </m:rPr>
          <m:t>(</m:t>
        </m:r>
        <m:r>
          <m:rPr>
            <m:sty m:val="bi"/>
          </m:rPr>
          <m:t>θ</m:t>
        </m:r>
        <m:r>
          <m:rPr>
            <m:sty m:val="p"/>
          </m:rPr>
          <m:t>)</m:t>
        </m:r>
      </m:oMath>
      <w:r>
        <w:tab/>
      </w:r>
      <w:r>
        <w:t>(4</w:t>
      </w:r>
      <w:r>
        <w:noBreakHyphen/>
      </w:r>
      <w:r>
        <w:t>42)</w:t>
      </w:r>
    </w:p>
    <w:p w14:paraId="726A60C1">
      <w:r>
        <w:t xml:space="preserve"> </w:t>
      </w:r>
    </w:p>
    <w:p w14:paraId="1D726BDA">
      <w:r>
        <w:rPr>
          <w:rFonts w:hint="eastAsia"/>
        </w:rPr>
        <w:t>其中</w:t>
      </w:r>
      <m:oMath>
        <m:r>
          <m:rPr>
            <m:sty m:val="p"/>
            <m:scr m:val="script"/>
          </m:rPr>
          <m:t>D</m:t>
        </m:r>
      </m:oMath>
      <w:r>
        <w:rPr>
          <w:rFonts w:hint="eastAsia"/>
        </w:rPr>
        <w:t>为ESPRIT提取的观测数据集，</w:t>
      </w:r>
      <m:oMath>
        <m:r>
          <m:rPr>
            <m:sty m:val="bi"/>
          </m:rPr>
          <m:t>θ</m:t>
        </m:r>
        <m:r>
          <m:rPr>
            <m:sty m:val="p"/>
          </m:rPr>
          <m:t>=[</m:t>
        </m:r>
        <m:sSub>
          <m:sSubPr/>
          <m:e>
            <m:r>
              <m:rPr/>
              <m:t>n</m:t>
            </m:r>
          </m:e>
          <m:sub>
            <m:r>
              <m:rPr/>
              <m:t>e</m:t>
            </m:r>
          </m:sub>
        </m:sSub>
        <m:r>
          <m:rPr>
            <m:sty m:val="p"/>
          </m:rPr>
          <m:t>,</m:t>
        </m:r>
        <m:sSub>
          <m:sSubPr/>
          <m:e>
            <m:r>
              <m:rPr/>
              <m:t>ν</m:t>
            </m:r>
          </m:e>
          <m:sub>
            <m:r>
              <m:rPr/>
              <m:t>e</m:t>
            </m:r>
          </m:sub>
        </m:sSub>
        <m:sSup>
          <m:sSupPr/>
          <m:e>
            <m:r>
              <m:rPr>
                <m:sty m:val="p"/>
              </m:rPr>
              <m:t>]</m:t>
            </m:r>
          </m:e>
          <m:sup>
            <m:r>
              <m:rPr/>
              <m:t>T</m:t>
            </m:r>
          </m:sup>
        </m:sSup>
      </m:oMath>
      <w:r>
        <w:rPr>
          <w:rFonts w:hint="eastAsia"/>
        </w:rPr>
        <w:t>为可观测性检验阶段引入的候选参数向量，而非工程实施阶段的联合反演配置。式(4-42)表明后验分布综合了观测数据与物理先验。相比传统最小二乘仅关注残差极小化，贝叶斯框架不仅给出参数最可能值，更提供完整概率分布以量化不确定性。本节保留</w:t>
      </w:r>
      <m:oMath>
        <m:sSub>
          <m:sSubPr/>
          <m:e>
            <m:r>
              <m:rPr/>
              <m:t>ν</m:t>
            </m:r>
          </m:e>
          <m:sub>
            <m:r>
              <m:rPr/>
              <m:t>e</m:t>
            </m:r>
          </m:sub>
        </m:sSub>
      </m:oMath>
      <w:r>
        <w:rPr>
          <w:rFonts w:hint="eastAsia"/>
        </w:rPr>
        <w:t>这一维度的目的，是在统一的贝叶斯框架下直接观察其后验是否能够被群时延数据有效收缩；若不能，则为前文提出的固定</w:t>
      </w:r>
      <m:oMath>
        <m:sSub>
          <m:sSubPr/>
          <m:e>
            <m:r>
              <m:rPr/>
              <m:t>ν</m:t>
            </m:r>
          </m:e>
          <m:sub>
            <m:r>
              <m:rPr/>
              <m:t>e</m:t>
            </m:r>
          </m:sub>
        </m:sSub>
      </m:oMath>
      <w:r>
        <w:rPr>
          <w:rFonts w:hint="eastAsia"/>
        </w:rPr>
        <w:t>、仅反演</w:t>
      </w:r>
      <m:oMath>
        <m:sSub>
          <m:sSubPr/>
          <m:e>
            <m:r>
              <m:rPr/>
              <m:t>n</m:t>
            </m:r>
          </m:e>
          <m:sub>
            <m:r>
              <m:rPr/>
              <m:t>e</m:t>
            </m:r>
          </m:sub>
        </m:sSub>
      </m:oMath>
      <w:r>
        <w:rPr>
          <w:rFonts w:hint="eastAsia"/>
        </w:rPr>
        <w:t>策略提供统计证据。</w:t>
      </w:r>
    </w:p>
    <w:p w14:paraId="0F58B40A">
      <w:r>
        <w:rPr>
          <w:rFonts w:hint="eastAsia"/>
        </w:rPr>
        <w:t>似然函数</w:t>
      </w:r>
      <m:oMath>
        <m:r>
          <m:rPr/>
          <m:t>P</m:t>
        </m:r>
        <m:r>
          <m:rPr>
            <m:sty m:val="p"/>
          </m:rPr>
          <m:t>(</m:t>
        </m:r>
        <m:r>
          <m:rPr>
            <m:sty m:val="p"/>
            <m:scr m:val="script"/>
          </m:rPr>
          <m:t>D</m:t>
        </m:r>
        <m:r>
          <m:rPr>
            <m:sty m:val="p"/>
          </m:rPr>
          <m:t>|</m:t>
        </m:r>
        <m:r>
          <m:rPr>
            <m:sty m:val="bi"/>
          </m:rPr>
          <m:t>θ</m:t>
        </m:r>
        <m:r>
          <m:rPr>
            <m:sty m:val="p"/>
          </m:rPr>
          <m:t>)</m:t>
        </m:r>
      </m:oMath>
      <w:r>
        <w:rPr>
          <w:rFonts w:hint="eastAsia"/>
        </w:rPr>
        <w:t>衡量给定参数下观测数据出现的概率。假设测量误差服从高斯分布，基准噪声标准差</w:t>
      </w:r>
      <m:oMath>
        <m:sSub>
          <m:sSubPr/>
          <m:e>
            <m:r>
              <m:rPr/>
              <m:t>σ</m:t>
            </m:r>
          </m:e>
          <m:sub>
            <m:r>
              <m:rPr/>
              <m:t>0</m:t>
            </m:r>
          </m:sub>
        </m:sSub>
        <m:r>
          <m:rPr>
            <m:sty m:val="p"/>
          </m:rPr>
          <m:t>=</m:t>
        </m:r>
        <m:r>
          <m:rPr/>
          <m:t>0.1</m:t>
        </m:r>
      </m:oMath>
      <w:r>
        <w:t xml:space="preserve"> </w:t>
      </w:r>
      <w:r>
        <w:rPr>
          <w:rFonts w:hint="eastAsia"/>
        </w:rPr>
        <w:t>ns（由标定实验确定），单个数据点的似然贡献为：</w:t>
      </w:r>
    </w:p>
    <w:p w14:paraId="27CD20B9">
      <w:r>
        <w:t xml:space="preserve"> </w:t>
      </w:r>
    </w:p>
    <w:p w14:paraId="64FE2C0D">
      <w:pPr>
        <w:pStyle w:val="44"/>
        <w:spacing w:before="0" w:after="0" w:line="400" w:lineRule="atLeast"/>
      </w:pPr>
      <w:r>
        <w:tab/>
      </w:r>
      <m:oMath>
        <m:r>
          <m:rPr/>
          <m:t>P</m:t>
        </m:r>
        <m:r>
          <m:rPr>
            <m:sty m:val="p"/>
          </m:rPr>
          <m:t>(</m:t>
        </m:r>
        <m:sSub>
          <m:sSubPr/>
          <m:e>
            <m:r>
              <m:rPr/>
              <m:t>τ</m:t>
            </m:r>
          </m:e>
          <m:sub>
            <m:r>
              <m:rPr/>
              <m:t>meas</m:t>
            </m:r>
            <m:r>
              <m:rPr>
                <m:sty m:val="p"/>
              </m:rPr>
              <m:t>,</m:t>
            </m:r>
            <m:r>
              <m:rPr/>
              <m:t>i</m:t>
            </m:r>
          </m:sub>
        </m:sSub>
        <m:r>
          <m:rPr>
            <m:sty m:val="p"/>
          </m:rPr>
          <m:t>|</m:t>
        </m:r>
        <m:r>
          <m:rPr>
            <m:sty m:val="bi"/>
          </m:rPr>
          <m:t>θ</m:t>
        </m:r>
        <m:r>
          <m:rPr>
            <m:sty m:val="p"/>
          </m:rPr>
          <m:t>)∝exp</m:t>
        </m:r>
        <m:d>
          <m:dPr>
            <m:sepChr m:val=""/>
          </m:dPr>
          <m:e>
            <m:r>
              <m:rPr>
                <m:sty m:val="p"/>
              </m:rPr>
              <m:t>−</m:t>
            </m:r>
            <m:f>
              <m:fPr/>
              <m:num>
                <m:r>
                  <m:rPr>
                    <m:sty m:val="p"/>
                  </m:rPr>
                  <m:t>(</m:t>
                </m:r>
                <m:sSub>
                  <m:sSubPr/>
                  <m:e>
                    <m:r>
                      <m:rPr/>
                      <m:t>τ</m:t>
                    </m:r>
                  </m:e>
                  <m:sub>
                    <m:r>
                      <m:rPr/>
                      <m:t>meas</m:t>
                    </m:r>
                    <m:r>
                      <m:rPr>
                        <m:sty m:val="p"/>
                      </m:rPr>
                      <m:t>,</m:t>
                    </m:r>
                    <m:r>
                      <m:rPr/>
                      <m:t>i</m:t>
                    </m:r>
                  </m:sub>
                </m:sSub>
                <m:r>
                  <m:rPr>
                    <m:sty m:val="p"/>
                  </m:rPr>
                  <m:t>−</m:t>
                </m:r>
                <m:sSub>
                  <m:sSubPr/>
                  <m:e>
                    <m:r>
                      <m:rPr/>
                      <m:t>τ</m:t>
                    </m:r>
                  </m:e>
                  <m:sub>
                    <m:r>
                      <m:rPr/>
                      <m:t>model</m:t>
                    </m:r>
                  </m:sub>
                </m:sSub>
                <m:r>
                  <m:rPr>
                    <m:sty m:val="p"/>
                  </m:rPr>
                  <m:t>(</m:t>
                </m:r>
                <m:sSub>
                  <m:sSubPr/>
                  <m:e>
                    <m:r>
                      <m:rPr/>
                      <m:t>f</m:t>
                    </m:r>
                  </m:e>
                  <m:sub>
                    <m:r>
                      <m:rPr/>
                      <m:t>probe</m:t>
                    </m:r>
                    <m:r>
                      <m:rPr>
                        <m:sty m:val="p"/>
                      </m:rPr>
                      <m:t>,</m:t>
                    </m:r>
                    <m:r>
                      <m:rPr/>
                      <m:t>i</m:t>
                    </m:r>
                  </m:sub>
                </m:sSub>
                <m:r>
                  <m:rPr>
                    <m:sty m:val="p"/>
                  </m:rPr>
                  <m:t>;</m:t>
                </m:r>
                <m:r>
                  <m:rPr>
                    <m:sty m:val="bi"/>
                  </m:rPr>
                  <m:t>θ</m:t>
                </m:r>
                <m:r>
                  <m:rPr>
                    <m:sty m:val="p"/>
                  </m:rPr>
                  <m:t>)</m:t>
                </m:r>
                <m:sSup>
                  <m:sSupPr/>
                  <m:e>
                    <m:r>
                      <m:rPr>
                        <m:sty m:val="p"/>
                      </m:rPr>
                      <m:t>)</m:t>
                    </m:r>
                  </m:e>
                  <m:sup>
                    <m:r>
                      <m:rPr/>
                      <m:t>2</m:t>
                    </m:r>
                  </m:sup>
                </m:sSup>
              </m:num>
              <m:den>
                <m:r>
                  <m:rPr/>
                  <m:t>2</m:t>
                </m:r>
                <m:sSubSup>
                  <m:sSubSupPr/>
                  <m:e>
                    <m:r>
                      <m:rPr/>
                      <m:t>σ</m:t>
                    </m:r>
                  </m:e>
                  <m:sub>
                    <m:r>
                      <m:rPr/>
                      <m:t>0</m:t>
                    </m:r>
                  </m:sub>
                  <m:sup>
                    <m:r>
                      <m:rPr/>
                      <m:t>2</m:t>
                    </m:r>
                  </m:sup>
                </m:sSubSup>
              </m:den>
            </m:f>
          </m:e>
        </m:d>
      </m:oMath>
      <w:r>
        <w:tab/>
      </w:r>
      <w:r>
        <w:t>(4</w:t>
      </w:r>
      <w:r>
        <w:noBreakHyphen/>
      </w:r>
      <w:r>
        <w:t>43)</w:t>
      </w:r>
    </w:p>
    <w:p w14:paraId="369FB5BF">
      <w:r>
        <w:t xml:space="preserve"> </w:t>
      </w:r>
    </w:p>
    <w:p w14:paraId="0E4C8D36">
      <w:r>
        <w:rPr>
          <w:rFonts w:hint="eastAsia"/>
        </w:rPr>
        <w:t>其中</w:t>
      </w:r>
      <m:oMath>
        <m:sSub>
          <m:sSubPr/>
          <m:e>
            <m:r>
              <m:rPr/>
              <m:t>τ</m:t>
            </m:r>
          </m:e>
          <m:sub>
            <m:r>
              <m:rPr/>
              <m:t>model</m:t>
            </m:r>
          </m:sub>
        </m:sSub>
        <m:r>
          <m:rPr>
            <m:sty m:val="p"/>
          </m:rPr>
          <m:t>(</m:t>
        </m:r>
        <m:r>
          <m:rPr/>
          <m:t>f</m:t>
        </m:r>
        <m:r>
          <m:rPr>
            <m:sty m:val="p"/>
          </m:rPr>
          <m:t>;</m:t>
        </m:r>
        <m:r>
          <m:rPr>
            <m:sty m:val="bi"/>
          </m:rPr>
          <m:t>θ</m:t>
        </m:r>
        <m:r>
          <m:rPr>
            <m:sty m:val="p"/>
          </m:rPr>
          <m:t>)</m:t>
        </m:r>
      </m:oMath>
      <w:r>
        <w:rPr>
          <w:rFonts w:hint="eastAsia"/>
        </w:rPr>
        <w:t>为Drude理论模型计算的群时延。然而，当</w:t>
      </w:r>
      <m:oMath>
        <m:sSub>
          <m:sSubPr/>
          <m:e>
            <m:r>
              <m:rPr/>
              <m:t>f</m:t>
            </m:r>
          </m:e>
          <m:sub>
            <m:r>
              <m:rPr/>
              <m:t>probe</m:t>
            </m:r>
          </m:sub>
        </m:sSub>
      </m:oMath>
      <w:r>
        <w:rPr>
          <w:rFonts w:hint="eastAsia"/>
        </w:rPr>
        <w:t>接近截止频率</w:t>
      </w:r>
      <m:oMath>
        <m:sSub>
          <m:sSubPr/>
          <m:e>
            <m:r>
              <m:rPr/>
              <m:t>f</m:t>
            </m:r>
          </m:e>
          <m:sub>
            <m:r>
              <m:rPr/>
              <m:t>p</m:t>
            </m:r>
          </m:sub>
        </m:sSub>
      </m:oMath>
      <w:r>
        <w:rPr>
          <w:rFonts w:hint="eastAsia"/>
        </w:rPr>
        <w:t>时，信号幅度急剧衰减，信噪比恶化。若对所有数据点赋予等权重，低信噪比区域的噪声将主导残差计算，掩盖高质量数据携带的物理信息。</w:t>
      </w:r>
    </w:p>
    <w:p w14:paraId="4B94B592">
      <w:r>
        <w:rPr>
          <w:rFonts w:hint="eastAsia"/>
        </w:rPr>
        <w:t>为此，本文引入基于幅度的自适应加权机制，利用式(4-21)的窗口幅度</w:t>
      </w:r>
      <m:oMath>
        <m:sSub>
          <m:sSubPr/>
          <m:e>
            <m:r>
              <m:rPr/>
              <m:t>A</m:t>
            </m:r>
          </m:e>
          <m:sub>
            <m:r>
              <m:rPr/>
              <m:t>i</m:t>
            </m:r>
          </m:sub>
        </m:sSub>
      </m:oMath>
      <w:r>
        <w:rPr>
          <w:rFonts w:hint="eastAsia"/>
        </w:rPr>
        <w:t>定义归一化权重：</w:t>
      </w:r>
    </w:p>
    <w:p w14:paraId="17CE1A8E">
      <w:r>
        <w:t xml:space="preserve"> </w:t>
      </w:r>
    </w:p>
    <w:p w14:paraId="46E3262D">
      <w:pPr>
        <w:pStyle w:val="44"/>
        <w:spacing w:before="0" w:after="0" w:line="400" w:lineRule="atLeast"/>
      </w:pPr>
      <w:r>
        <w:tab/>
      </w:r>
      <m:oMath>
        <m:sSub>
          <m:sSubPr/>
          <m:e>
            <m:r>
              <m:rPr/>
              <m:t>w</m:t>
            </m:r>
          </m:e>
          <m:sub>
            <m:r>
              <m:rPr/>
              <m:t>i</m:t>
            </m:r>
          </m:sub>
        </m:sSub>
        <m:r>
          <m:rPr>
            <m:sty m:val="p"/>
          </m:rPr>
          <m:t>=</m:t>
        </m:r>
        <m:sSup>
          <m:sSupPr/>
          <m:e>
            <m:d>
              <m:dPr>
                <m:sepChr m:val=""/>
              </m:dPr>
              <m:e>
                <m:f>
                  <m:fPr/>
                  <m:num>
                    <m:sSub>
                      <m:sSubPr/>
                      <m:e>
                        <m:r>
                          <m:rPr/>
                          <m:t>A</m:t>
                        </m:r>
                      </m:e>
                      <m:sub>
                        <m:r>
                          <m:rPr/>
                          <m:t>i</m:t>
                        </m:r>
                      </m:sub>
                    </m:sSub>
                  </m:num>
                  <m:den>
                    <m:r>
                      <m:rPr>
                        <m:sty m:val="p"/>
                      </m:rPr>
                      <m:t>max(</m:t>
                    </m:r>
                    <m:r>
                      <m:rPr>
                        <m:sty m:val="bi"/>
                      </m:rPr>
                      <m:t>A</m:t>
                    </m:r>
                    <m:r>
                      <m:rPr>
                        <m:sty m:val="p"/>
                      </m:rPr>
                      <m:t>)</m:t>
                    </m:r>
                  </m:den>
                </m:f>
              </m:e>
            </m:d>
          </m:e>
          <m:sup>
            <m:r>
              <m:rPr/>
              <m:t>2</m:t>
            </m:r>
          </m:sup>
        </m:sSup>
      </m:oMath>
      <w:r>
        <w:tab/>
      </w:r>
      <w:r>
        <w:t>(4</w:t>
      </w:r>
      <w:r>
        <w:noBreakHyphen/>
      </w:r>
      <w:r>
        <w:t>44)</w:t>
      </w:r>
    </w:p>
    <w:p w14:paraId="009F98B3">
      <w:r>
        <w:t xml:space="preserve"> </w:t>
      </w:r>
    </w:p>
    <w:p w14:paraId="5A2C7EB2">
      <w:r>
        <w:rPr>
          <w:rFonts w:hint="eastAsia"/>
        </w:rPr>
        <w:t>幅度</w:t>
      </w:r>
      <m:oMath>
        <m:sSub>
          <m:sSubPr/>
          <m:e>
            <m:r>
              <m:rPr/>
              <m:t>A</m:t>
            </m:r>
          </m:e>
          <m:sub>
            <m:r>
              <m:rPr/>
              <m:t>i</m:t>
            </m:r>
          </m:sub>
        </m:sSub>
      </m:oMath>
      <w:r>
        <w:rPr>
          <w:rFonts w:hint="eastAsia"/>
        </w:rPr>
        <w:t>反映窗口内信号能量，与信噪比正相关；平方处理进一步放大权重差异，使透射窗口内的高质量数据主导反演，截止频率附近的低质量数据自动降权。该策略把幅度主要响应</w:t>
      </w:r>
      <m:oMath>
        <m:sSub>
          <m:sSubPr/>
          <m:e>
            <m:r>
              <m:rPr/>
              <m:t>ν</m:t>
            </m:r>
          </m:e>
          <m:sub>
            <m:r>
              <m:rPr/>
              <m:t>e</m:t>
            </m:r>
          </m:sub>
        </m:sSub>
      </m:oMath>
      <w:r>
        <w:rPr>
          <w:rFonts w:hint="eastAsia"/>
        </w:rPr>
        <w:t>、时延主要响应</w:t>
      </w:r>
      <m:oMath>
        <m:sSub>
          <m:sSubPr/>
          <m:e>
            <m:r>
              <m:rPr/>
              <m:t>n</m:t>
            </m:r>
          </m:e>
          <m:sub>
            <m:r>
              <m:rPr/>
              <m:t>e</m:t>
            </m:r>
          </m:sub>
        </m:sSub>
      </m:oMath>
      <w:r>
        <w:rPr>
          <w:rFonts w:hint="eastAsia"/>
        </w:rPr>
        <w:t>的解耦特性融入算法设计。</w:t>
      </w:r>
    </w:p>
    <w:p w14:paraId="732F7DD3">
      <w:r>
        <w:rPr>
          <w:rFonts w:hint="eastAsia"/>
        </w:rPr>
        <w:t>引入加权因子后，加权对数似然函数的最终形式为：</w:t>
      </w:r>
    </w:p>
    <w:p w14:paraId="2428659A">
      <w:r>
        <w:t xml:space="preserve"> </w:t>
      </w:r>
    </w:p>
    <w:p w14:paraId="4E4E19D1">
      <w:pPr>
        <w:pStyle w:val="44"/>
        <w:spacing w:before="0" w:after="0" w:line="400" w:lineRule="atLeast"/>
      </w:pPr>
      <w:r>
        <w:tab/>
      </w:r>
      <m:oMath>
        <m:r>
          <m:rPr>
            <m:sty m:val="p"/>
          </m:rPr>
          <m:t>ln</m:t>
        </m:r>
        <m:r>
          <m:rPr>
            <m:sty m:val="p"/>
            <m:scr m:val="script"/>
          </m:rPr>
          <m:t>ℒ</m:t>
        </m:r>
        <m:r>
          <m:rPr>
            <m:sty m:val="p"/>
          </m:rPr>
          <m:t>(</m:t>
        </m:r>
        <m:r>
          <m:rPr>
            <m:sty m:val="bi"/>
          </m:rPr>
          <m:t>θ</m:t>
        </m:r>
        <m:r>
          <m:rPr>
            <m:sty m:val="p"/>
          </m:rPr>
          <m:t>)=−</m:t>
        </m:r>
        <m:f>
          <m:fPr/>
          <m:num>
            <m:r>
              <m:rPr/>
              <m:t>1</m:t>
            </m:r>
          </m:num>
          <m:den>
            <m:r>
              <m:rPr/>
              <m:t>2</m:t>
            </m:r>
            <m:sSubSup>
              <m:sSubSupPr/>
              <m:e>
                <m:r>
                  <m:rPr/>
                  <m:t>σ</m:t>
                </m:r>
              </m:e>
              <m:sub>
                <m:r>
                  <m:rPr/>
                  <m:t>0</m:t>
                </m:r>
              </m:sub>
              <m:sup>
                <m:r>
                  <m:rPr/>
                  <m:t>2</m:t>
                </m:r>
              </m:sup>
            </m:sSubSup>
          </m:den>
        </m:f>
        <m:nary>
          <m:naryPr>
            <m:chr m:val="∑"/>
            <m:limLoc m:val="undOvr"/>
          </m:naryPr>
          <m:sub>
            <m:r>
              <m:rPr/>
              <m:t>i</m:t>
            </m:r>
            <m:r>
              <m:rPr>
                <m:sty m:val="p"/>
              </m:rPr>
              <m:t>=</m:t>
            </m:r>
            <m:r>
              <m:rPr/>
              <m:t>1</m:t>
            </m:r>
          </m:sub>
          <m:sup>
            <m:sSub>
              <m:sSubPr/>
              <m:e>
                <m:r>
                  <m:rPr/>
                  <m:t>N</m:t>
                </m:r>
              </m:e>
              <m:sub>
                <m:r>
                  <m:rPr/>
                  <m:t>w</m:t>
                </m:r>
              </m:sub>
            </m:sSub>
          </m:sup>
          <m:e>
            <m:sSub>
              <m:sSubPr/>
              <m:e>
                <m:r>
                  <m:rPr/>
                  <m:t>w</m:t>
                </m:r>
              </m:e>
              <m:sub>
                <m:r>
                  <m:rPr/>
                  <m:t>i</m:t>
                </m:r>
              </m:sub>
            </m:sSub>
          </m:e>
        </m:nary>
        <m:sSup>
          <m:sSupPr/>
          <m:e>
            <m:d>
              <m:dPr>
                <m:sepChr m:val=""/>
              </m:dPr>
              <m:e>
                <m:sSub>
                  <m:sSubPr/>
                  <m:e>
                    <m:r>
                      <m:rPr/>
                      <m:t>τ</m:t>
                    </m:r>
                  </m:e>
                  <m:sub>
                    <m:r>
                      <m:rPr/>
                      <m:t>meas</m:t>
                    </m:r>
                    <m:r>
                      <m:rPr>
                        <m:sty m:val="p"/>
                      </m:rPr>
                      <m:t>,</m:t>
                    </m:r>
                    <m:r>
                      <m:rPr/>
                      <m:t>i</m:t>
                    </m:r>
                  </m:sub>
                </m:sSub>
                <m:r>
                  <m:rPr>
                    <m:sty m:val="p"/>
                  </m:rPr>
                  <m:t>−</m:t>
                </m:r>
                <m:sSub>
                  <m:sSubPr/>
                  <m:e>
                    <m:r>
                      <m:rPr/>
                      <m:t>τ</m:t>
                    </m:r>
                  </m:e>
                  <m:sub>
                    <m:r>
                      <m:rPr/>
                      <m:t>model</m:t>
                    </m:r>
                  </m:sub>
                </m:sSub>
                <m:r>
                  <m:rPr>
                    <m:sty m:val="p"/>
                  </m:rPr>
                  <m:t>(</m:t>
                </m:r>
                <m:sSub>
                  <m:sSubPr/>
                  <m:e>
                    <m:r>
                      <m:rPr/>
                      <m:t>f</m:t>
                    </m:r>
                  </m:e>
                  <m:sub>
                    <m:r>
                      <m:rPr/>
                      <m:t>probe</m:t>
                    </m:r>
                    <m:r>
                      <m:rPr>
                        <m:sty m:val="p"/>
                      </m:rPr>
                      <m:t>,</m:t>
                    </m:r>
                    <m:r>
                      <m:rPr/>
                      <m:t>i</m:t>
                    </m:r>
                  </m:sub>
                </m:sSub>
                <m:r>
                  <m:rPr>
                    <m:sty m:val="p"/>
                  </m:rPr>
                  <m:t>;</m:t>
                </m:r>
                <m:r>
                  <m:rPr>
                    <m:sty m:val="bi"/>
                  </m:rPr>
                  <m:t>θ</m:t>
                </m:r>
                <m:r>
                  <m:rPr>
                    <m:sty m:val="p"/>
                  </m:rPr>
                  <m:t>)</m:t>
                </m:r>
              </m:e>
            </m:d>
          </m:e>
          <m:sup>
            <m:r>
              <m:rPr/>
              <m:t>2</m:t>
            </m:r>
          </m:sup>
        </m:sSup>
      </m:oMath>
      <w:r>
        <w:tab/>
      </w:r>
      <w:r>
        <w:t>(4</w:t>
      </w:r>
      <w:r>
        <w:noBreakHyphen/>
      </w:r>
      <w:r>
        <w:t>45)</w:t>
      </w:r>
    </w:p>
    <w:p w14:paraId="3156861C">
      <w:r>
        <w:t xml:space="preserve"> </w:t>
      </w:r>
    </w:p>
    <w:p w14:paraId="393C1ED7">
      <w:r>
        <w:rPr>
          <w:rFonts w:hint="eastAsia"/>
        </w:rPr>
        <w:t>式(4-45)是本文反演模型的核心接口:前文输出的轨迹数据经过该式进入统计反演,后续MH采样也围绕该式反复计算后验概率。</w:t>
      </w:r>
    </w:p>
    <w:p w14:paraId="2F6D74E8">
      <w:r>
        <w:rPr>
          <w:rFonts w:hint="eastAsia"/>
        </w:rPr>
        <w:t>加权似然函数的计算依赖于理论时延</w:t>
      </w:r>
      <m:oMath>
        <m:sSub>
          <m:sSubPr/>
          <m:e>
            <m:r>
              <m:rPr/>
              <m:t>τ</m:t>
            </m:r>
          </m:e>
          <m:sub>
            <m:r>
              <m:rPr/>
              <m:t>model</m:t>
            </m:r>
          </m:sub>
        </m:sSub>
        <m:r>
          <m:rPr>
            <m:sty m:val="p"/>
          </m:rPr>
          <m:t>(</m:t>
        </m:r>
        <m:r>
          <m:rPr/>
          <m:t>f</m:t>
        </m:r>
        <m:r>
          <m:rPr>
            <m:sty m:val="p"/>
          </m:rPr>
          <m:t>;</m:t>
        </m:r>
        <m:r>
          <m:rPr>
            <m:sty m:val="bi"/>
          </m:rPr>
          <m:t>θ</m:t>
        </m:r>
        <m:r>
          <m:rPr>
            <m:sty m:val="p"/>
          </m:rPr>
          <m:t>)</m:t>
        </m:r>
      </m:oMath>
      <w:r>
        <w:rPr>
          <w:rFonts w:hint="eastAsia"/>
        </w:rPr>
        <w:t>的精确求值。由电子密度</w:t>
      </w:r>
      <m:oMath>
        <m:sSub>
          <m:sSubPr/>
          <m:e>
            <m:r>
              <m:rPr/>
              <m:t>n</m:t>
            </m:r>
          </m:e>
          <m:sub>
            <m:r>
              <m:rPr/>
              <m:t>e</m:t>
            </m:r>
          </m:sub>
        </m:sSub>
      </m:oMath>
      <w:r>
        <w:rPr>
          <w:rFonts w:hint="eastAsia"/>
        </w:rPr>
        <w:t>计算等离子体特征角频率</w:t>
      </w:r>
      <m:oMath>
        <m:sSub>
          <m:sSubPr/>
          <m:e>
            <m:r>
              <m:rPr/>
              <m:t>ω</m:t>
            </m:r>
          </m:e>
          <m:sub>
            <m:r>
              <m:rPr/>
              <m:t>p</m:t>
            </m:r>
          </m:sub>
        </m:sSub>
        <m:r>
          <m:rPr>
            <m:sty m:val="p"/>
          </m:rPr>
          <m:t>=</m:t>
        </m:r>
        <m:rad>
          <m:radPr>
            <m:degHide m:val="1"/>
          </m:radPr>
          <m:deg/>
          <m:e>
            <m:sSub>
              <m:sSubPr/>
              <m:e>
                <m:r>
                  <m:rPr/>
                  <m:t>n</m:t>
                </m:r>
              </m:e>
              <m:sub>
                <m:r>
                  <m:rPr/>
                  <m:t>e</m:t>
                </m:r>
              </m:sub>
            </m:sSub>
            <m:sSup>
              <m:sSupPr/>
              <m:e>
                <m:r>
                  <m:rPr/>
                  <m:t>e</m:t>
                </m:r>
              </m:e>
              <m:sup>
                <m:r>
                  <m:rPr/>
                  <m:t>2</m:t>
                </m:r>
              </m:sup>
            </m:sSup>
            <m:r>
              <m:rPr>
                <m:sty m:val="p"/>
              </m:rPr>
              <m:t>/(</m:t>
            </m:r>
            <m:sSub>
              <m:sSubPr/>
              <m:e>
                <m:r>
                  <m:rPr/>
                  <m:t>ε</m:t>
                </m:r>
              </m:e>
              <m:sub>
                <m:r>
                  <m:rPr/>
                  <m:t>0</m:t>
                </m:r>
              </m:sub>
            </m:sSub>
            <m:sSub>
              <m:sSubPr/>
              <m:e>
                <m:r>
                  <m:rPr/>
                  <m:t>m</m:t>
                </m:r>
              </m:e>
              <m:sub>
                <m:r>
                  <m:rPr/>
                  <m:t>e</m:t>
                </m:r>
              </m:sub>
            </m:sSub>
            <m:r>
              <m:rPr>
                <m:sty m:val="p"/>
              </m:rPr>
              <m:t>)</m:t>
            </m:r>
          </m:e>
        </m:rad>
      </m:oMath>
      <w:r>
        <w:rPr>
          <w:rFonts w:hint="eastAsia"/>
        </w:rPr>
        <w:t>，进而得到含阻尼效应的复介电常数：</w:t>
      </w:r>
    </w:p>
    <w:p w14:paraId="77F06217">
      <w:r>
        <w:t xml:space="preserve"> </w:t>
      </w:r>
    </w:p>
    <w:p w14:paraId="7A724BF3">
      <w:pPr>
        <w:pStyle w:val="44"/>
        <w:spacing w:before="0" w:after="0" w:line="400" w:lineRule="atLeast"/>
      </w:pPr>
      <w:r>
        <w:tab/>
      </w:r>
      <m:oMath>
        <m:sSub>
          <m:sSubPr/>
          <m:e>
            <m:acc>
              <m:accPr>
                <m:chr m:val="̃"/>
              </m:accPr>
              <m:e>
                <m:r>
                  <m:rPr/>
                  <m:t>ε</m:t>
                </m:r>
              </m:e>
            </m:acc>
          </m:e>
          <m:sub>
            <m:r>
              <m:rPr/>
              <m:t>r</m:t>
            </m:r>
          </m:sub>
        </m:sSub>
        <m:r>
          <m:rPr>
            <m:sty m:val="p"/>
          </m:rPr>
          <m:t>(</m:t>
        </m:r>
        <m:r>
          <m:rPr/>
          <m:t>ω</m:t>
        </m:r>
        <m:r>
          <m:rPr>
            <m:sty m:val="p"/>
          </m:rPr>
          <m:t>)=</m:t>
        </m:r>
        <m:r>
          <m:rPr/>
          <m:t>1</m:t>
        </m:r>
        <m:r>
          <m:rPr>
            <m:sty m:val="p"/>
          </m:rPr>
          <m:t>−</m:t>
        </m:r>
        <m:f>
          <m:fPr/>
          <m:num>
            <m:sSubSup>
              <m:sSubSupPr/>
              <m:e>
                <m:r>
                  <m:rPr/>
                  <m:t>ω</m:t>
                </m:r>
              </m:e>
              <m:sub>
                <m:r>
                  <m:rPr/>
                  <m:t>p</m:t>
                </m:r>
              </m:sub>
              <m:sup>
                <m:r>
                  <m:rPr/>
                  <m:t>2</m:t>
                </m:r>
              </m:sup>
            </m:sSubSup>
          </m:num>
          <m:den>
            <m:r>
              <m:rPr/>
              <m:t>ω</m:t>
            </m:r>
            <m:r>
              <m:rPr>
                <m:sty m:val="p"/>
              </m:rPr>
              <m:t>(</m:t>
            </m:r>
            <m:r>
              <m:rPr/>
              <m:t>ω</m:t>
            </m:r>
            <m:r>
              <m:rPr>
                <m:sty m:val="p"/>
              </m:rPr>
              <m:t>+</m:t>
            </m:r>
            <m:r>
              <m:rPr/>
              <m:t>j</m:t>
            </m:r>
            <m:sSub>
              <m:sSubPr/>
              <m:e>
                <m:r>
                  <m:rPr/>
                  <m:t>ν</m:t>
                </m:r>
              </m:e>
              <m:sub>
                <m:r>
                  <m:rPr/>
                  <m:t>e</m:t>
                </m:r>
              </m:sub>
            </m:sSub>
            <m:r>
              <m:rPr>
                <m:sty m:val="p"/>
              </m:rPr>
              <m:t>)</m:t>
            </m:r>
          </m:den>
        </m:f>
      </m:oMath>
      <w:r>
        <w:tab/>
      </w:r>
      <w:r>
        <w:t>(4</w:t>
      </w:r>
      <w:r>
        <w:noBreakHyphen/>
      </w:r>
      <w:r>
        <w:t>46)</w:t>
      </w:r>
    </w:p>
    <w:p w14:paraId="6D38C5F4">
      <w:r>
        <w:t xml:space="preserve"> </w:t>
      </w:r>
    </w:p>
    <w:p w14:paraId="4B1BAC57">
      <w:r>
        <w:rPr>
          <w:rFonts w:hint="eastAsia"/>
        </w:rPr>
        <w:t>由复介电常数求得复波数</w:t>
      </w:r>
      <m:oMath>
        <m:acc>
          <m:accPr>
            <m:chr m:val="̃"/>
          </m:accPr>
          <m:e>
            <m:r>
              <m:rPr/>
              <m:t>k</m:t>
            </m:r>
          </m:e>
        </m:acc>
        <m:r>
          <m:rPr>
            <m:sty m:val="p"/>
          </m:rPr>
          <m:t>(</m:t>
        </m:r>
        <m:r>
          <m:rPr/>
          <m:t>ω</m:t>
        </m:r>
        <m:r>
          <m:rPr>
            <m:sty m:val="p"/>
          </m:rPr>
          <m:t>)=(</m:t>
        </m:r>
        <m:r>
          <m:rPr/>
          <m:t>ω</m:t>
        </m:r>
        <m:r>
          <m:rPr>
            <m:sty m:val="p"/>
          </m:rPr>
          <m:t>/</m:t>
        </m:r>
        <m:r>
          <m:rPr/>
          <m:t>c</m:t>
        </m:r>
        <m:r>
          <m:rPr>
            <m:sty m:val="p"/>
          </m:rPr>
          <m:t>)</m:t>
        </m:r>
        <m:rad>
          <m:radPr>
            <m:degHide m:val="1"/>
          </m:radPr>
          <m:deg/>
          <m:e>
            <m:sSub>
              <m:sSubPr/>
              <m:e>
                <m:acc>
                  <m:accPr>
                    <m:chr m:val="̃"/>
                  </m:accPr>
                  <m:e>
                    <m:r>
                      <m:rPr/>
                      <m:t>ε</m:t>
                    </m:r>
                  </m:e>
                </m:acc>
              </m:e>
              <m:sub>
                <m:r>
                  <m:rPr/>
                  <m:t>r</m:t>
                </m:r>
              </m:sub>
            </m:sSub>
            <m:r>
              <m:rPr>
                <m:sty m:val="p"/>
              </m:rPr>
              <m:t>(</m:t>
            </m:r>
            <m:r>
              <m:rPr/>
              <m:t>ω</m:t>
            </m:r>
            <m:r>
              <m:rPr>
                <m:sty m:val="p"/>
              </m:rPr>
              <m:t>)</m:t>
            </m:r>
          </m:e>
        </m:rad>
      </m:oMath>
      <w:r>
        <w:rPr>
          <w:rFonts w:hint="eastAsia"/>
        </w:rPr>
        <w:t>。电磁波穿过厚度</w:t>
      </w:r>
      <m:oMath>
        <m:r>
          <m:rPr/>
          <m:t>d</m:t>
        </m:r>
      </m:oMath>
      <w:r>
        <w:rPr>
          <w:rFonts w:hint="eastAsia"/>
        </w:rPr>
        <w:t>的等离子体层时，传播相位为</w:t>
      </w:r>
      <m:oMath>
        <m:r>
          <m:rPr>
            <m:sty m:val="p"/>
          </m:rPr>
          <m:t>Φ(</m:t>
        </m:r>
        <m:r>
          <m:rPr/>
          <m:t>ω</m:t>
        </m:r>
        <m:r>
          <m:rPr>
            <m:sty m:val="p"/>
          </m:rPr>
          <m:t>)=−</m:t>
        </m:r>
        <m:r>
          <m:rPr>
            <m:nor/>
            <m:sty m:val="p"/>
          </m:rPr>
          <m:t>Re</m:t>
        </m:r>
        <m:r>
          <m:rPr>
            <m:sty m:val="p"/>
          </m:rPr>
          <m:t>{</m:t>
        </m:r>
        <m:acc>
          <m:accPr>
            <m:chr m:val="̃"/>
          </m:accPr>
          <m:e>
            <m:r>
              <m:rPr/>
              <m:t>k</m:t>
            </m:r>
          </m:e>
        </m:acc>
        <m:r>
          <m:rPr>
            <m:sty m:val="p"/>
          </m:rPr>
          <m:t>(</m:t>
        </m:r>
        <m:r>
          <m:rPr/>
          <m:t>ω</m:t>
        </m:r>
        <m:r>
          <m:rPr>
            <m:sty m:val="p"/>
          </m:rPr>
          <m:t>)}⋅</m:t>
        </m:r>
        <m:r>
          <m:rPr/>
          <m:t>d</m:t>
        </m:r>
      </m:oMath>
      <w:r>
        <w:rPr>
          <w:rFonts w:hint="eastAsia"/>
        </w:rPr>
        <w:t>，群时延通过数值微分并减去真空参考获得：</w:t>
      </w:r>
    </w:p>
    <w:p w14:paraId="0498BCCB">
      <w:r>
        <w:t xml:space="preserve"> </w:t>
      </w:r>
    </w:p>
    <w:p w14:paraId="7DD271C6">
      <w:pPr>
        <w:pStyle w:val="44"/>
        <w:spacing w:before="0" w:after="0" w:line="400" w:lineRule="atLeast"/>
      </w:pPr>
      <w:r>
        <w:tab/>
      </w:r>
      <m:oMath>
        <m:sSub>
          <m:sSubPr/>
          <m:e>
            <m:r>
              <m:rPr/>
              <m:t>τ</m:t>
            </m:r>
          </m:e>
          <m:sub>
            <m:r>
              <m:rPr/>
              <m:t>model</m:t>
            </m:r>
          </m:sub>
        </m:sSub>
        <m:r>
          <m:rPr>
            <m:sty m:val="p"/>
          </m:rPr>
          <m:t>(</m:t>
        </m:r>
        <m:r>
          <m:rPr/>
          <m:t>f</m:t>
        </m:r>
        <m:r>
          <m:rPr>
            <m:sty m:val="p"/>
          </m:rPr>
          <m:t>;</m:t>
        </m:r>
        <m:sSub>
          <m:sSubPr/>
          <m:e>
            <m:r>
              <m:rPr/>
              <m:t>n</m:t>
            </m:r>
          </m:e>
          <m:sub>
            <m:r>
              <m:rPr/>
              <m:t>e</m:t>
            </m:r>
          </m:sub>
        </m:sSub>
        <m:r>
          <m:rPr>
            <m:sty m:val="p"/>
          </m:rPr>
          <m:t>,</m:t>
        </m:r>
        <m:sSub>
          <m:sSubPr/>
          <m:e>
            <m:r>
              <m:rPr/>
              <m:t>ν</m:t>
            </m:r>
          </m:e>
          <m:sub>
            <m:r>
              <m:rPr/>
              <m:t>e</m:t>
            </m:r>
          </m:sub>
        </m:sSub>
        <m:r>
          <m:rPr>
            <m:sty m:val="p"/>
          </m:rPr>
          <m:t>)=−</m:t>
        </m:r>
        <m:f>
          <m:fPr/>
          <m:num>
            <m:r>
              <m:rPr/>
              <m:t>d</m:t>
            </m:r>
            <m:r>
              <m:rPr>
                <m:sty m:val="p"/>
              </m:rPr>
              <m:t>Φ</m:t>
            </m:r>
          </m:num>
          <m:den>
            <m:r>
              <m:rPr/>
              <m:t>dω</m:t>
            </m:r>
          </m:den>
        </m:f>
        <m:r>
          <m:rPr>
            <m:sty m:val="p"/>
          </m:rPr>
          <m:t>−</m:t>
        </m:r>
        <m:f>
          <m:fPr/>
          <m:num>
            <m:r>
              <m:rPr/>
              <m:t>d</m:t>
            </m:r>
          </m:num>
          <m:den>
            <m:r>
              <m:rPr/>
              <m:t>c</m:t>
            </m:r>
          </m:den>
        </m:f>
      </m:oMath>
      <w:r>
        <w:tab/>
      </w:r>
      <w:r>
        <w:t>(4</w:t>
      </w:r>
      <w:r>
        <w:noBreakHyphen/>
      </w:r>
      <w:r>
        <w:t>47)</w:t>
      </w:r>
    </w:p>
    <w:p w14:paraId="2B0CF87F">
      <w:r>
        <w:t xml:space="preserve"> </w:t>
      </w:r>
    </w:p>
    <w:p w14:paraId="1451CE57">
      <w:r>
        <w:rPr>
          <w:rFonts w:hint="eastAsia"/>
        </w:rPr>
        <w:t>式(4-46)至(4-47)构成从参数</w:t>
      </w:r>
      <m:oMath>
        <m:r>
          <m:rPr>
            <m:sty m:val="bi"/>
          </m:rPr>
          <m:t>θ</m:t>
        </m:r>
      </m:oMath>
      <w:r>
        <w:rPr>
          <w:rFonts w:hint="eastAsia"/>
        </w:rPr>
        <w:t>到理论时延的完整映射链。该计算采用全复数Drude模型，保留了</w:t>
      </w:r>
      <m:oMath>
        <m:sSub>
          <m:sSubPr/>
          <m:e>
            <m:r>
              <m:rPr/>
              <m:t>ν</m:t>
            </m:r>
          </m:e>
          <m:sub>
            <m:r>
              <m:rPr/>
              <m:t>e</m:t>
            </m:r>
          </m:sub>
        </m:sSub>
      </m:oMath>
      <w:r>
        <w:rPr>
          <w:rFonts w:hint="eastAsia"/>
        </w:rPr>
        <w:t>的完整物理效应，为通过后验分布形态检验其可观测性提供数学基础。</w:t>
      </w:r>
    </w:p>
    <w:p w14:paraId="31B4E326">
      <w:r>
        <w:pict>
          <v:rect id="_x0000_i1040" o:spt="1" style="height:1.5pt;width:0pt;" coordsize="21600,21600" o:hr="t" o:hrstd="t" o:hralign="center">
            <v:path/>
            <v:fill focussize="0,0"/>
            <v:stroke/>
            <v:imagedata o:title=""/>
            <o:lock v:ext="edit"/>
            <w10:wrap type="none"/>
            <w10:anchorlock/>
          </v:rect>
        </w:pict>
      </w:r>
    </w:p>
    <w:bookmarkEnd w:id="67"/>
    <w:p w14:paraId="336534DA">
      <w:pPr>
        <w:pStyle w:val="4"/>
      </w:pPr>
      <w:bookmarkStart w:id="68" w:name="先验分布设定与mcmc采样策略"/>
      <w:r>
        <w:rPr>
          <w:rFonts w:hint="eastAsia"/>
        </w:rPr>
        <w:t>先验分布设定与MCMC采样策略</w:t>
      </w:r>
    </w:p>
    <w:p w14:paraId="0F27C1A5">
      <w:r>
        <w:rPr>
          <w:rFonts w:hint="eastAsia"/>
        </w:rPr>
        <w:t>先验分布</w:t>
      </w:r>
      <m:oMath>
        <m:r>
          <m:rPr/>
          <m:t>P</m:t>
        </m:r>
        <m:r>
          <m:rPr>
            <m:sty m:val="p"/>
          </m:rPr>
          <m:t>(</m:t>
        </m:r>
        <m:r>
          <m:rPr>
            <m:sty m:val="bi"/>
          </m:rPr>
          <m:t>θ</m:t>
        </m:r>
        <m:r>
          <m:rPr>
            <m:sty m:val="p"/>
          </m:rPr>
          <m:t>)</m:t>
        </m:r>
      </m:oMath>
      <w:r>
        <w:rPr>
          <w:rFonts w:hint="eastAsia"/>
        </w:rPr>
        <w:t>体现对参数取值范围的物理约束。为避免先验预设掩盖数据本身对参数可观测性的判别作用，本节在可观测性检验阶段对</w:t>
      </w:r>
      <m:oMath>
        <m:sSub>
          <m:sSubPr/>
          <m:e>
            <m:r>
              <m:rPr/>
              <m:t>n</m:t>
            </m:r>
          </m:e>
          <m:sub>
            <m:r>
              <m:rPr/>
              <m:t>e</m:t>
            </m:r>
          </m:sub>
        </m:sSub>
      </m:oMath>
      <w:r>
        <w:rPr>
          <w:rFonts w:hint="eastAsia"/>
        </w:rPr>
        <w:t>和</w:t>
      </w:r>
      <m:oMath>
        <m:sSub>
          <m:sSubPr/>
          <m:e>
            <m:r>
              <m:rPr/>
              <m:t>ν</m:t>
            </m:r>
          </m:e>
          <m:sub>
            <m:r>
              <m:rPr/>
              <m:t>e</m:t>
            </m:r>
          </m:sub>
        </m:sSub>
      </m:oMath>
      <w:r>
        <w:rPr>
          <w:rFonts w:hint="eastAsia"/>
        </w:rPr>
        <w:t>均采用均匀分布作为先验：</w:t>
      </w:r>
    </w:p>
    <w:p w14:paraId="1BE62248">
      <w:r>
        <w:t xml:space="preserve"> </w:t>
      </w:r>
    </w:p>
    <w:p w14:paraId="34E72F83">
      <w:pPr>
        <w:pStyle w:val="44"/>
        <w:spacing w:before="0" w:after="0" w:line="400" w:lineRule="atLeast"/>
      </w:pPr>
      <w:r>
        <w:tab/>
      </w:r>
      <m:oMath>
        <m:r>
          <m:rPr/>
          <m:t>P</m:t>
        </m:r>
        <m:r>
          <m:rPr>
            <m:sty m:val="p"/>
          </m:rPr>
          <m:t>(</m:t>
        </m:r>
        <m:sSub>
          <m:sSubPr/>
          <m:e>
            <m:r>
              <m:rPr/>
              <m:t>n</m:t>
            </m:r>
          </m:e>
          <m:sub>
            <m:r>
              <m:rPr/>
              <m:t>e</m:t>
            </m:r>
          </m:sub>
        </m:sSub>
        <m:r>
          <m:rPr>
            <m:sty m:val="p"/>
          </m:rPr>
          <m:t>)=</m:t>
        </m:r>
        <m:d>
          <m:dPr>
            <m:begChr m:val="{"/>
            <m:sepChr m:val=""/>
            <m:endChr m:val=""/>
          </m:dPr>
          <m:e>
            <m:m>
              <m:mPr>
                <m:mcs>
                  <m:mc>
                    <m:mcPr>
                      <m:count m:val="2"/>
                      <m:mcJc m:val="left"/>
                    </m:mcPr>
                  </m:mc>
                </m:mcs>
                <m:plcHide m:val="1"/>
              </m:mPr>
              <m:mr>
                <m:e>
                  <m:f>
                    <m:fPr/>
                    <m:num>
                      <m:r>
                        <m:rPr/>
                        <m:t>1</m:t>
                      </m:r>
                    </m:num>
                    <m:den>
                      <m:sSub>
                        <m:sSubPr/>
                        <m:e>
                          <m:r>
                            <m:rPr/>
                            <m:t>n</m:t>
                          </m:r>
                        </m:e>
                        <m:sub>
                          <m:r>
                            <m:rPr/>
                            <m:t>e</m:t>
                          </m:r>
                          <m:r>
                            <m:rPr>
                              <m:sty m:val="p"/>
                            </m:rPr>
                            <m:t>,</m:t>
                          </m:r>
                          <m:r>
                            <m:rPr/>
                            <m:t>max</m:t>
                          </m:r>
                        </m:sub>
                      </m:sSub>
                      <m:r>
                        <m:rPr>
                          <m:sty m:val="p"/>
                        </m:rPr>
                        <m:t>−</m:t>
                      </m:r>
                      <m:sSub>
                        <m:sSubPr/>
                        <m:e>
                          <m:r>
                            <m:rPr/>
                            <m:t>n</m:t>
                          </m:r>
                        </m:e>
                        <m:sub>
                          <m:r>
                            <m:rPr/>
                            <m:t>e</m:t>
                          </m:r>
                          <m:r>
                            <m:rPr>
                              <m:sty m:val="p"/>
                            </m:rPr>
                            <m:t>,</m:t>
                          </m:r>
                          <m:r>
                            <m:rPr/>
                            <m:t>min</m:t>
                          </m:r>
                        </m:sub>
                      </m:sSub>
                    </m:den>
                  </m:f>
                </m:e>
                <m:e>
                  <m:r>
                    <m:rPr>
                      <m:nor/>
                      <m:sty m:val="p"/>
                    </m:rPr>
                    <w:rPr>
                      <w:b w:val="0"/>
                      <w:i w:val="0"/>
                    </w:rPr>
                    <m:t>if</m:t>
                  </m:r>
                  <m:sSub>
                    <m:sSubPr/>
                    <m:e>
                      <m:r>
                        <m:rPr/>
                        <m:t>n</m:t>
                      </m:r>
                    </m:e>
                    <m:sub>
                      <m:r>
                        <m:rPr/>
                        <m:t>e</m:t>
                      </m:r>
                    </m:sub>
                  </m:sSub>
                  <m:r>
                    <m:rPr>
                      <m:sty m:val="p"/>
                    </m:rPr>
                    <m:t>∈[</m:t>
                  </m:r>
                  <m:sSub>
                    <m:sSubPr/>
                    <m:e>
                      <m:r>
                        <m:rPr/>
                        <m:t>n</m:t>
                      </m:r>
                    </m:e>
                    <m:sub>
                      <m:r>
                        <m:rPr/>
                        <m:t>e</m:t>
                      </m:r>
                      <m:r>
                        <m:rPr>
                          <m:sty m:val="p"/>
                        </m:rPr>
                        <m:t>,</m:t>
                      </m:r>
                      <m:r>
                        <m:rPr/>
                        <m:t>min</m:t>
                      </m:r>
                    </m:sub>
                  </m:sSub>
                  <m:r>
                    <m:rPr>
                      <m:sty m:val="p"/>
                    </m:rPr>
                    <m:t>,</m:t>
                  </m:r>
                  <m:sSub>
                    <m:sSubPr/>
                    <m:e>
                      <m:r>
                        <m:rPr/>
                        <m:t>n</m:t>
                      </m:r>
                    </m:e>
                    <m:sub>
                      <m:r>
                        <m:rPr/>
                        <m:t>e</m:t>
                      </m:r>
                      <m:r>
                        <m:rPr>
                          <m:sty m:val="p"/>
                        </m:rPr>
                        <m:t>,</m:t>
                      </m:r>
                      <m:r>
                        <m:rPr/>
                        <m:t>max</m:t>
                      </m:r>
                    </m:sub>
                  </m:sSub>
                  <m:r>
                    <m:rPr>
                      <m:sty m:val="p"/>
                    </m:rPr>
                    <m:t>]</m:t>
                  </m:r>
                </m:e>
              </m:mr>
              <m:mr>
                <m:e>
                  <m:r>
                    <m:rPr/>
                    <m:t>0</m:t>
                  </m:r>
                </m:e>
                <m:e>
                  <m:r>
                    <m:rPr>
                      <m:nor/>
                      <m:sty m:val="p"/>
                    </m:rPr>
                    <w:rPr>
                      <w:b w:val="0"/>
                      <w:i w:val="0"/>
                    </w:rPr>
                    <m:t>otherwise</m:t>
                  </m:r>
                </m:e>
              </m:mr>
            </m:m>
          </m:e>
        </m:d>
      </m:oMath>
      <w:r>
        <w:tab/>
      </w:r>
      <w:r>
        <w:t>(4</w:t>
      </w:r>
      <w:r>
        <w:noBreakHyphen/>
      </w:r>
      <w:r>
        <w:t>48)</w:t>
      </w:r>
    </w:p>
    <w:p w14:paraId="464BA1B9">
      <w:r>
        <w:t xml:space="preserve"> </w:t>
      </w:r>
    </w:p>
    <w:p w14:paraId="4F5BC592">
      <w:r>
        <w:t xml:space="preserve"> </w:t>
      </w:r>
    </w:p>
    <w:p w14:paraId="7D7DE395">
      <w:pPr>
        <w:pStyle w:val="44"/>
        <w:spacing w:before="0" w:after="0" w:line="400" w:lineRule="atLeast"/>
      </w:pPr>
      <w:r>
        <w:tab/>
      </w:r>
      <m:oMath>
        <m:r>
          <m:rPr/>
          <m:t>P</m:t>
        </m:r>
        <m:r>
          <m:rPr>
            <m:sty m:val="p"/>
          </m:rPr>
          <m:t>(</m:t>
        </m:r>
        <m:sSub>
          <m:sSubPr/>
          <m:e>
            <m:r>
              <m:rPr/>
              <m:t>ν</m:t>
            </m:r>
          </m:e>
          <m:sub>
            <m:r>
              <m:rPr/>
              <m:t>e</m:t>
            </m:r>
          </m:sub>
        </m:sSub>
        <m:r>
          <m:rPr>
            <m:sty m:val="p"/>
          </m:rPr>
          <m:t>)=</m:t>
        </m:r>
        <m:d>
          <m:dPr>
            <m:begChr m:val="{"/>
            <m:sepChr m:val=""/>
            <m:endChr m:val=""/>
          </m:dPr>
          <m:e>
            <m:m>
              <m:mPr>
                <m:mcs>
                  <m:mc>
                    <m:mcPr>
                      <m:count m:val="2"/>
                      <m:mcJc m:val="left"/>
                    </m:mcPr>
                  </m:mc>
                </m:mcs>
                <m:plcHide m:val="1"/>
              </m:mPr>
              <m:mr>
                <m:e>
                  <m:f>
                    <m:fPr/>
                    <m:num>
                      <m:r>
                        <m:rPr/>
                        <m:t>1</m:t>
                      </m:r>
                    </m:num>
                    <m:den>
                      <m:sSub>
                        <m:sSubPr/>
                        <m:e>
                          <m:r>
                            <m:rPr/>
                            <m:t>ν</m:t>
                          </m:r>
                        </m:e>
                        <m:sub>
                          <m:r>
                            <m:rPr/>
                            <m:t>e</m:t>
                          </m:r>
                          <m:r>
                            <m:rPr>
                              <m:sty m:val="p"/>
                            </m:rPr>
                            <m:t>,</m:t>
                          </m:r>
                          <m:r>
                            <m:rPr/>
                            <m:t>max</m:t>
                          </m:r>
                        </m:sub>
                      </m:sSub>
                      <m:r>
                        <m:rPr>
                          <m:sty m:val="p"/>
                        </m:rPr>
                        <m:t>−</m:t>
                      </m:r>
                      <m:sSub>
                        <m:sSubPr/>
                        <m:e>
                          <m:r>
                            <m:rPr/>
                            <m:t>ν</m:t>
                          </m:r>
                        </m:e>
                        <m:sub>
                          <m:r>
                            <m:rPr/>
                            <m:t>e</m:t>
                          </m:r>
                          <m:r>
                            <m:rPr>
                              <m:sty m:val="p"/>
                            </m:rPr>
                            <m:t>,</m:t>
                          </m:r>
                          <m:r>
                            <m:rPr/>
                            <m:t>min</m:t>
                          </m:r>
                        </m:sub>
                      </m:sSub>
                    </m:den>
                  </m:f>
                </m:e>
                <m:e>
                  <m:r>
                    <m:rPr>
                      <m:nor/>
                      <m:sty m:val="p"/>
                    </m:rPr>
                    <w:rPr>
                      <w:b w:val="0"/>
                      <w:i w:val="0"/>
                    </w:rPr>
                    <m:t>if</m:t>
                  </m:r>
                  <m:sSub>
                    <m:sSubPr/>
                    <m:e>
                      <m:r>
                        <m:rPr/>
                        <m:t>ν</m:t>
                      </m:r>
                    </m:e>
                    <m:sub>
                      <m:r>
                        <m:rPr/>
                        <m:t>e</m:t>
                      </m:r>
                    </m:sub>
                  </m:sSub>
                  <m:r>
                    <m:rPr>
                      <m:sty m:val="p"/>
                    </m:rPr>
                    <m:t>∈[</m:t>
                  </m:r>
                  <m:sSub>
                    <m:sSubPr/>
                    <m:e>
                      <m:r>
                        <m:rPr/>
                        <m:t>ν</m:t>
                      </m:r>
                    </m:e>
                    <m:sub>
                      <m:r>
                        <m:rPr/>
                        <m:t>e</m:t>
                      </m:r>
                      <m:r>
                        <m:rPr>
                          <m:sty m:val="p"/>
                        </m:rPr>
                        <m:t>,</m:t>
                      </m:r>
                      <m:r>
                        <m:rPr/>
                        <m:t>min</m:t>
                      </m:r>
                    </m:sub>
                  </m:sSub>
                  <m:r>
                    <m:rPr>
                      <m:sty m:val="p"/>
                    </m:rPr>
                    <m:t>,</m:t>
                  </m:r>
                  <m:sSub>
                    <m:sSubPr/>
                    <m:e>
                      <m:r>
                        <m:rPr/>
                        <m:t>ν</m:t>
                      </m:r>
                    </m:e>
                    <m:sub>
                      <m:r>
                        <m:rPr/>
                        <m:t>e</m:t>
                      </m:r>
                      <m:r>
                        <m:rPr>
                          <m:sty m:val="p"/>
                        </m:rPr>
                        <m:t>,</m:t>
                      </m:r>
                      <m:r>
                        <m:rPr/>
                        <m:t>max</m:t>
                      </m:r>
                    </m:sub>
                  </m:sSub>
                  <m:r>
                    <m:rPr>
                      <m:sty m:val="p"/>
                    </m:rPr>
                    <m:t>]</m:t>
                  </m:r>
                </m:e>
              </m:mr>
              <m:mr>
                <m:e>
                  <m:r>
                    <m:rPr/>
                    <m:t>0</m:t>
                  </m:r>
                </m:e>
                <m:e>
                  <m:r>
                    <m:rPr>
                      <m:nor/>
                      <m:sty m:val="p"/>
                    </m:rPr>
                    <w:rPr>
                      <w:b w:val="0"/>
                      <w:i w:val="0"/>
                    </w:rPr>
                    <m:t>otherwise</m:t>
                  </m:r>
                </m:e>
              </m:mr>
            </m:m>
          </m:e>
        </m:d>
      </m:oMath>
      <w:r>
        <w:tab/>
      </w:r>
      <w:r>
        <w:t>(4</w:t>
      </w:r>
      <w:r>
        <w:noBreakHyphen/>
      </w:r>
      <w:r>
        <w:t>49)</w:t>
      </w:r>
    </w:p>
    <w:p w14:paraId="0D6347E7">
      <w:r>
        <w:t xml:space="preserve"> </w:t>
      </w:r>
    </w:p>
    <w:p w14:paraId="0EB7A577">
      <w:r>
        <w:rPr>
          <w:rFonts w:hint="eastAsia"/>
        </w:rPr>
        <w:t>均匀先验仅限定物理可行域而不引入主观偏好，后验形态尽可能由数据驱动。对</w:t>
      </w:r>
      <m:oMath>
        <m:sSub>
          <m:sSubPr/>
          <m:e>
            <m:r>
              <m:rPr/>
              <m:t>ν</m:t>
            </m:r>
          </m:e>
          <m:sub>
            <m:r>
              <m:rPr/>
              <m:t>e</m:t>
            </m:r>
          </m:sub>
        </m:sSub>
      </m:oMath>
      <w:r>
        <w:rPr>
          <w:rFonts w:hint="eastAsia"/>
        </w:rPr>
        <w:t>保留均匀先验的目的，不是将其重新定义为工程待估参数，而是检验当允许其在合理物理范围内自由游走时，群时延观测能否将其收缩到真值邻域。若后验仍保持弥散或发生均值漂移，则应回到前文的降维结论，将</w:t>
      </w:r>
      <m:oMath>
        <m:sSub>
          <m:sSubPr/>
          <m:e>
            <m:r>
              <m:rPr/>
              <m:t>ν</m:t>
            </m:r>
          </m:e>
          <m:sub>
            <m:r>
              <m:rPr/>
              <m:t>e</m:t>
            </m:r>
          </m:sub>
        </m:sSub>
      </m:oMath>
      <w:r>
        <w:rPr>
          <w:rFonts w:hint="eastAsia"/>
        </w:rPr>
        <w:t>固定为经验常数。</w:t>
      </w:r>
    </w:p>
    <w:p w14:paraId="05F9FE44">
      <w:r>
        <w:rPr>
          <w:rFonts w:hint="eastAsia"/>
        </w:rPr>
        <w:t>先验边界需结合诊断系统工作频段确定。对于Ka波段LFMCW系统，电子密度设定为</w:t>
      </w:r>
      <m:oMath>
        <m:sSub>
          <m:sSubPr/>
          <m:e>
            <m:r>
              <m:rPr/>
              <m:t>n</m:t>
            </m:r>
          </m:e>
          <m:sub>
            <m:r>
              <m:rPr/>
              <m:t>e</m:t>
            </m:r>
          </m:sub>
        </m:sSub>
        <m:r>
          <m:rPr>
            <m:sty m:val="p"/>
          </m:rPr>
          <m:t>∈[</m:t>
        </m:r>
        <m:sSup>
          <m:sSupPr/>
          <m:e>
            <m:r>
              <m:rPr/>
              <m:t>10</m:t>
            </m:r>
          </m:e>
          <m:sup>
            <m:r>
              <m:rPr/>
              <m:t>18</m:t>
            </m:r>
          </m:sup>
        </m:sSup>
        <m:r>
          <m:rPr>
            <m:sty m:val="p"/>
          </m:rPr>
          <m:t>,</m:t>
        </m:r>
        <m:sSup>
          <m:sSupPr/>
          <m:e>
            <m:r>
              <m:rPr/>
              <m:t>10</m:t>
            </m:r>
          </m:e>
          <m:sup>
            <m:r>
              <m:rPr/>
              <m:t>20</m:t>
            </m:r>
          </m:sup>
        </m:sSup>
        <m:r>
          <m:rPr>
            <m:sty m:val="p"/>
          </m:rPr>
          <m:t>]</m:t>
        </m:r>
      </m:oMath>
      <w:r>
        <w:t xml:space="preserve"> m</w:t>
      </w:r>
      <m:oMath>
        <m:sSup>
          <m:sSupPr/>
          <m:e>
            <m:r>
              <m:rPr/>
              <m:t>​</m:t>
            </m:r>
          </m:e>
          <m:sup>
            <m:r>
              <m:rPr>
                <m:sty m:val="p"/>
              </m:rPr>
              <m:t>−</m:t>
            </m:r>
            <m:r>
              <m:rPr/>
              <m:t>3</m:t>
            </m:r>
          </m:sup>
        </m:sSup>
      </m:oMath>
      <w:r>
        <w:rPr>
          <w:rFonts w:hint="eastAsia"/>
        </w:rPr>
        <w:t>（对应</w:t>
      </w:r>
      <m:oMath>
        <m:sSub>
          <m:sSubPr/>
          <m:e>
            <m:r>
              <m:rPr/>
              <m:t>f</m:t>
            </m:r>
          </m:e>
          <m:sub>
            <m:r>
              <m:rPr/>
              <m:t>p</m:t>
            </m:r>
          </m:sub>
        </m:sSub>
        <m:r>
          <m:rPr>
            <m:sty m:val="p"/>
          </m:rPr>
          <m:t>∈[</m:t>
        </m:r>
        <m:r>
          <m:rPr/>
          <m:t>9</m:t>
        </m:r>
        <m:r>
          <m:rPr>
            <m:sty m:val="p"/>
          </m:rPr>
          <m:t>,</m:t>
        </m:r>
        <m:r>
          <m:rPr/>
          <m:t>90</m:t>
        </m:r>
        <m:r>
          <m:rPr>
            <m:sty m:val="p"/>
          </m:rPr>
          <m:t>]</m:t>
        </m:r>
      </m:oMath>
      <w:r>
        <w:t xml:space="preserve"> </w:t>
      </w:r>
      <w:r>
        <w:rPr>
          <w:rFonts w:hint="eastAsia"/>
        </w:rPr>
        <w:t>GHz），涵盖弱电离至强电离状态；碰撞频率设定为</w:t>
      </w:r>
      <m:oMath>
        <m:sSub>
          <m:sSubPr/>
          <m:e>
            <m:r>
              <m:rPr/>
              <m:t>ν</m:t>
            </m:r>
          </m:e>
          <m:sub>
            <m:r>
              <m:rPr/>
              <m:t>e</m:t>
            </m:r>
          </m:sub>
        </m:sSub>
        <m:r>
          <m:rPr>
            <m:sty m:val="p"/>
          </m:rPr>
          <m:t>∈[</m:t>
        </m:r>
        <m:r>
          <m:rPr/>
          <m:t>0.1</m:t>
        </m:r>
        <m:r>
          <m:rPr>
            <m:sty m:val="p"/>
          </m:rPr>
          <m:t>,</m:t>
        </m:r>
        <m:r>
          <m:rPr/>
          <m:t>5</m:t>
        </m:r>
        <m:r>
          <m:rPr>
            <m:sty m:val="p"/>
          </m:rPr>
          <m:t>]</m:t>
        </m:r>
      </m:oMath>
      <w:r>
        <w:t xml:space="preserve"> </w:t>
      </w:r>
      <w:r>
        <w:rPr>
          <w:rFonts w:hint="eastAsia"/>
        </w:rPr>
        <w:t>GHz，覆盖低压至大气压放电工况。</w:t>
      </w:r>
    </w:p>
    <w:p w14:paraId="1FDDA3AA">
      <w:r>
        <w:rPr>
          <w:rFonts w:hint="eastAsia"/>
        </w:rPr>
        <w:t>本文采用Metropolis-Hastings（MH）算法从式(4-42)定义的后验分布中抽取样本。MH算法通过提议与接受-拒绝相结合的随机游走机制使马尔可夫链收敛至目标后验分布。其核心优势在于零阶特性——仅需计算目标函数值而无需求导，既避免了群时延在截止频率附近因导数趋于无穷大引发的数值溢出，又能适应导数不连续的物理模型。</w:t>
      </w:r>
    </w:p>
    <w:p w14:paraId="74C26C13">
      <w:r>
        <w:rPr>
          <w:rFonts w:hint="eastAsia"/>
        </w:rPr>
        <w:t>算法从先验分布均匀采样初始状态</w:t>
      </w:r>
      <m:oMath>
        <m:sSup>
          <m:sSupPr/>
          <m:e>
            <m:r>
              <m:rPr>
                <m:sty m:val="bi"/>
              </m:rPr>
              <m:t>θ</m:t>
            </m:r>
          </m:e>
          <m:sup>
            <m:r>
              <m:rPr>
                <m:sty m:val="p"/>
              </m:rPr>
              <m:t>(</m:t>
            </m:r>
            <m:r>
              <m:rPr/>
              <m:t>0</m:t>
            </m:r>
            <m:r>
              <m:rPr>
                <m:sty m:val="p"/>
              </m:rPr>
              <m:t>)</m:t>
            </m:r>
          </m:sup>
        </m:sSup>
      </m:oMath>
      <w:r>
        <w:rPr>
          <w:rFonts w:hint="eastAsia"/>
        </w:rPr>
        <w:t>并计算初始对数似然。随后基于当前状态</w:t>
      </w:r>
      <m:oMath>
        <m:sSup>
          <m:sSupPr/>
          <m:e>
            <m:r>
              <m:rPr>
                <m:sty m:val="bi"/>
              </m:rPr>
              <m:t>θ</m:t>
            </m:r>
          </m:e>
          <m:sup>
            <m:r>
              <m:rPr>
                <m:sty m:val="p"/>
              </m:rPr>
              <m:t>(</m:t>
            </m:r>
            <m:r>
              <m:rPr/>
              <m:t>t</m:t>
            </m:r>
            <m:r>
              <m:rPr>
                <m:sty m:val="p"/>
              </m:rPr>
              <m:t>)</m:t>
            </m:r>
          </m:sup>
        </m:sSup>
      </m:oMath>
      <w:r>
        <w:rPr>
          <w:rFonts w:hint="eastAsia"/>
        </w:rPr>
        <w:t>通过高斯随机游走生成候选状态：</w:t>
      </w:r>
    </w:p>
    <w:p w14:paraId="29734259">
      <w:r>
        <w:t xml:space="preserve"> </w:t>
      </w:r>
    </w:p>
    <w:p w14:paraId="4DA058F0">
      <w:pPr>
        <w:pStyle w:val="44"/>
        <w:spacing w:before="0" w:after="0" w:line="400" w:lineRule="atLeast"/>
      </w:pPr>
      <w:r>
        <w:tab/>
      </w:r>
      <m:oMath>
        <m:sSup>
          <m:sSupPr/>
          <m:e>
            <m:r>
              <m:rPr>
                <m:sty m:val="bi"/>
              </m:rPr>
              <m:t>θ</m:t>
            </m:r>
          </m:e>
          <m:sup>
            <m:r>
              <m:rPr>
                <m:sty m:val="p"/>
              </m:rPr>
              <m:t>′</m:t>
            </m:r>
          </m:sup>
        </m:sSup>
        <m:r>
          <m:rPr>
            <m:sty m:val="p"/>
          </m:rPr>
          <m:t>=</m:t>
        </m:r>
        <m:sSup>
          <m:sSupPr/>
          <m:e>
            <m:r>
              <m:rPr>
                <m:sty m:val="bi"/>
              </m:rPr>
              <m:t>θ</m:t>
            </m:r>
          </m:e>
          <m:sup>
            <m:r>
              <m:rPr>
                <m:sty m:val="p"/>
              </m:rPr>
              <m:t>(</m:t>
            </m:r>
            <m:r>
              <m:rPr/>
              <m:t>t</m:t>
            </m:r>
            <m:r>
              <m:rPr>
                <m:sty m:val="p"/>
              </m:rPr>
              <m:t>)</m:t>
            </m:r>
          </m:sup>
        </m:sSup>
        <m:r>
          <m:rPr>
            <m:sty m:val="p"/>
          </m:rPr>
          <m:t>+</m:t>
        </m:r>
        <m:r>
          <m:rPr>
            <m:sty m:val="bi"/>
          </m:rPr>
          <m:t>ϵ</m:t>
        </m:r>
        <m:r>
          <m:rPr>
            <m:sty m:val="p"/>
          </m:rPr>
          <m:t>,</m:t>
        </m:r>
        <m:r>
          <m:rPr>
            <m:sty m:val="bi"/>
          </m:rPr>
          <m:t>ϵ</m:t>
        </m:r>
        <m:r>
          <m:rPr>
            <m:sty m:val="p"/>
          </m:rPr>
          <m:t>∼</m:t>
        </m:r>
        <m:r>
          <m:rPr>
            <m:sty m:val="p"/>
            <m:scr m:val="script"/>
          </m:rPr>
          <m:t>N</m:t>
        </m:r>
        <m:r>
          <m:rPr>
            <m:sty m:val="p"/>
          </m:rPr>
          <m:t>(</m:t>
        </m:r>
        <m:r>
          <m:rPr>
            <m:sty m:val="b"/>
          </m:rPr>
          <m:t>0</m:t>
        </m:r>
        <m:r>
          <m:rPr>
            <m:sty m:val="p"/>
          </m:rPr>
          <m:t>,</m:t>
        </m:r>
        <m:sSub>
          <m:sSubPr/>
          <m:e>
            <m:r>
              <m:rPr>
                <m:sty m:val="b"/>
              </m:rPr>
              <m:t>Σ</m:t>
            </m:r>
          </m:e>
          <m:sub>
            <m:r>
              <m:rPr/>
              <m:t>prop</m:t>
            </m:r>
          </m:sub>
        </m:sSub>
        <m:r>
          <m:rPr>
            <m:sty m:val="p"/>
          </m:rPr>
          <m:t>)</m:t>
        </m:r>
      </m:oMath>
      <w:r>
        <w:tab/>
      </w:r>
      <w:r>
        <w:t>(4</w:t>
      </w:r>
      <w:r>
        <w:noBreakHyphen/>
      </w:r>
      <w:r>
        <w:t>50)</w:t>
      </w:r>
    </w:p>
    <w:p w14:paraId="31D12047">
      <w:r>
        <w:t xml:space="preserve"> </w:t>
      </w:r>
    </w:p>
    <w:p w14:paraId="54419F5C">
      <w:r>
        <w:rPr>
          <w:rFonts w:hint="eastAsia"/>
        </w:rPr>
        <w:t>其中</w:t>
      </w:r>
      <m:oMath>
        <m:sSub>
          <m:sSubPr/>
          <m:e>
            <m:r>
              <m:rPr>
                <m:sty m:val="b"/>
              </m:rPr>
              <m:t>Σ</m:t>
            </m:r>
          </m:e>
          <m:sub>
            <m:r>
              <m:rPr/>
              <m:t>prop</m:t>
            </m:r>
          </m:sub>
        </m:sSub>
        <m:r>
          <m:rPr>
            <m:sty m:val="p"/>
          </m:rPr>
          <m:t>=</m:t>
        </m:r>
        <m:r>
          <m:rPr>
            <m:nor/>
            <m:sty m:val="p"/>
          </m:rPr>
          <m:t>diag</m:t>
        </m:r>
        <m:r>
          <m:rPr>
            <m:sty m:val="p"/>
          </m:rPr>
          <m:t>(</m:t>
        </m:r>
        <m:sSubSup>
          <m:sSubSupPr/>
          <m:e>
            <m:r>
              <m:rPr/>
              <m:t>σ</m:t>
            </m:r>
          </m:e>
          <m:sub>
            <m:sSub>
              <m:sSubPr/>
              <m:e>
                <m:r>
                  <m:rPr/>
                  <m:t>n</m:t>
                </m:r>
              </m:e>
              <m:sub>
                <m:r>
                  <m:rPr/>
                  <m:t>e</m:t>
                </m:r>
              </m:sub>
            </m:sSub>
          </m:sub>
          <m:sup>
            <m:r>
              <m:rPr/>
              <m:t>2</m:t>
            </m:r>
          </m:sup>
        </m:sSubSup>
        <m:r>
          <m:rPr>
            <m:sty m:val="p"/>
          </m:rPr>
          <m:t>,</m:t>
        </m:r>
        <m:sSubSup>
          <m:sSubSupPr/>
          <m:e>
            <m:r>
              <m:rPr/>
              <m:t>σ</m:t>
            </m:r>
          </m:e>
          <m:sub>
            <m:sSub>
              <m:sSubPr/>
              <m:e>
                <m:r>
                  <m:rPr/>
                  <m:t>ν</m:t>
                </m:r>
              </m:e>
              <m:sub>
                <m:r>
                  <m:rPr/>
                  <m:t>e</m:t>
                </m:r>
              </m:sub>
            </m:sSub>
          </m:sub>
          <m:sup>
            <m:r>
              <m:rPr/>
              <m:t>2</m:t>
            </m:r>
          </m:sup>
        </m:sSubSup>
        <m:r>
          <m:rPr>
            <m:sty m:val="p"/>
          </m:rPr>
          <m:t>)</m:t>
        </m:r>
      </m:oMath>
      <w:r>
        <w:rPr>
          <w:rFonts w:hint="eastAsia"/>
        </w:rPr>
        <w:t>为提议分布协方差矩阵，</w:t>
      </w:r>
      <m:oMath>
        <m:sSub>
          <m:sSubPr/>
          <m:e>
            <m:r>
              <m:rPr/>
              <m:t>σ</m:t>
            </m:r>
          </m:e>
          <m:sub>
            <m:sSub>
              <m:sSubPr/>
              <m:e>
                <m:r>
                  <m:rPr/>
                  <m:t>n</m:t>
                </m:r>
              </m:e>
              <m:sub>
                <m:r>
                  <m:rPr/>
                  <m:t>e</m:t>
                </m:r>
              </m:sub>
            </m:sSub>
          </m:sub>
        </m:sSub>
      </m:oMath>
      <w:r>
        <w:rPr>
          <w:rFonts w:hint="eastAsia"/>
        </w:rPr>
        <w:t>和</w:t>
      </w:r>
      <m:oMath>
        <m:sSub>
          <m:sSubPr/>
          <m:e>
            <m:r>
              <m:rPr/>
              <m:t>σ</m:t>
            </m:r>
          </m:e>
          <m:sub>
            <m:sSub>
              <m:sSubPr/>
              <m:e>
                <m:r>
                  <m:rPr/>
                  <m:t>ν</m:t>
                </m:r>
              </m:e>
              <m:sub>
                <m:r>
                  <m:rPr/>
                  <m:t>e</m:t>
                </m:r>
              </m:sub>
            </m:sSub>
          </m:sub>
        </m:sSub>
      </m:oMath>
      <w:r>
        <w:rPr>
          <w:rFonts w:hint="eastAsia"/>
        </w:rPr>
        <w:t>分别设为先验范围的2%和5%。较大的</w:t>
      </w:r>
      <m:oMath>
        <m:sSub>
          <m:sSubPr/>
          <m:e>
            <m:r>
              <m:rPr/>
              <m:t>ν</m:t>
            </m:r>
          </m:e>
          <m:sub>
            <m:r>
              <m:rPr/>
              <m:t>e</m:t>
            </m:r>
          </m:sub>
        </m:sSub>
      </m:oMath>
      <w:r>
        <w:rPr>
          <w:rFonts w:hint="eastAsia"/>
        </w:rPr>
        <w:t>提议步长考虑了其对时延的低敏感性。</w:t>
      </w:r>
    </w:p>
    <w:p w14:paraId="6712BC7D">
      <w:r>
        <w:rPr>
          <w:rFonts w:hint="eastAsia"/>
        </w:rPr>
        <w:t>若候选状态超出先验边界则直接拒绝；否则计算Metropolis接受概率：</w:t>
      </w:r>
    </w:p>
    <w:p w14:paraId="72E8C9F9">
      <w:r>
        <w:t xml:space="preserve"> </w:t>
      </w:r>
    </w:p>
    <w:p w14:paraId="3F9EEC7E">
      <w:pPr>
        <w:pStyle w:val="44"/>
        <w:spacing w:before="0" w:after="0" w:line="400" w:lineRule="atLeast"/>
      </w:pPr>
      <w:r>
        <w:tab/>
      </w:r>
      <m:oMath>
        <m:r>
          <m:rPr/>
          <m:t>α</m:t>
        </m:r>
        <m:r>
          <m:rPr>
            <m:sty m:val="p"/>
          </m:rPr>
          <m:t>=min</m:t>
        </m:r>
        <m:d>
          <m:dPr>
            <m:sepChr m:val=""/>
          </m:dPr>
          <m:e>
            <m:r>
              <m:rPr/>
              <m:t>1</m:t>
            </m:r>
            <m:r>
              <m:rPr>
                <m:sty m:val="p"/>
              </m:rPr>
              <m:t>,</m:t>
            </m:r>
            <m:f>
              <m:fPr/>
              <m:num>
                <m:r>
                  <m:rPr/>
                  <m:t>P</m:t>
                </m:r>
                <m:r>
                  <m:rPr>
                    <m:sty m:val="p"/>
                  </m:rPr>
                  <m:t>(</m:t>
                </m:r>
                <m:sSup>
                  <m:sSupPr/>
                  <m:e>
                    <m:r>
                      <m:rPr>
                        <m:sty m:val="bi"/>
                      </m:rPr>
                      <m:t>θ</m:t>
                    </m:r>
                  </m:e>
                  <m:sup>
                    <m:r>
                      <m:rPr>
                        <m:sty m:val="p"/>
                      </m:rPr>
                      <m:t>′</m:t>
                    </m:r>
                  </m:sup>
                </m:sSup>
                <m:r>
                  <m:rPr>
                    <m:sty m:val="p"/>
                  </m:rPr>
                  <m:t>|</m:t>
                </m:r>
                <m:r>
                  <m:rPr>
                    <m:sty m:val="p"/>
                    <m:scr m:val="script"/>
                  </m:rPr>
                  <m:t>D</m:t>
                </m:r>
                <m:r>
                  <m:rPr>
                    <m:sty m:val="p"/>
                  </m:rPr>
                  <m:t>)</m:t>
                </m:r>
              </m:num>
              <m:den>
                <m:r>
                  <m:rPr/>
                  <m:t>P</m:t>
                </m:r>
                <m:r>
                  <m:rPr>
                    <m:sty m:val="p"/>
                  </m:rPr>
                  <m:t>(</m:t>
                </m:r>
                <m:sSup>
                  <m:sSupPr/>
                  <m:e>
                    <m:r>
                      <m:rPr>
                        <m:sty m:val="bi"/>
                      </m:rPr>
                      <m:t>θ</m:t>
                    </m:r>
                  </m:e>
                  <m:sup>
                    <m:r>
                      <m:rPr>
                        <m:sty m:val="p"/>
                      </m:rPr>
                      <m:t>(</m:t>
                    </m:r>
                    <m:r>
                      <m:rPr/>
                      <m:t>t</m:t>
                    </m:r>
                    <m:r>
                      <m:rPr>
                        <m:sty m:val="p"/>
                      </m:rPr>
                      <m:t>)</m:t>
                    </m:r>
                  </m:sup>
                </m:sSup>
                <m:r>
                  <m:rPr>
                    <m:sty m:val="p"/>
                  </m:rPr>
                  <m:t>|</m:t>
                </m:r>
                <m:r>
                  <m:rPr>
                    <m:sty m:val="p"/>
                    <m:scr m:val="script"/>
                  </m:rPr>
                  <m:t>D</m:t>
                </m:r>
                <m:r>
                  <m:rPr>
                    <m:sty m:val="p"/>
                  </m:rPr>
                  <m:t>)</m:t>
                </m:r>
              </m:den>
            </m:f>
          </m:e>
        </m:d>
        <m:r>
          <m:rPr>
            <m:sty m:val="p"/>
          </m:rPr>
          <m:t>=min</m:t>
        </m:r>
        <m:d>
          <m:dPr>
            <m:sepChr m:val=""/>
          </m:dPr>
          <m:e>
            <m:r>
              <m:rPr/>
              <m:t>1</m:t>
            </m:r>
            <m:r>
              <m:rPr>
                <m:sty m:val="p"/>
              </m:rPr>
              <m:t>,exp(ln</m:t>
            </m:r>
            <m:r>
              <m:rPr>
                <m:sty m:val="p"/>
                <m:scr m:val="script"/>
              </m:rPr>
              <m:t>ℒ</m:t>
            </m:r>
            <m:r>
              <m:rPr>
                <m:sty m:val="p"/>
              </m:rPr>
              <m:t>(</m:t>
            </m:r>
            <m:sSup>
              <m:sSupPr/>
              <m:e>
                <m:r>
                  <m:rPr>
                    <m:sty m:val="bi"/>
                  </m:rPr>
                  <m:t>θ</m:t>
                </m:r>
              </m:e>
              <m:sup>
                <m:r>
                  <m:rPr>
                    <m:sty m:val="p"/>
                  </m:rPr>
                  <m:t>′</m:t>
                </m:r>
              </m:sup>
            </m:sSup>
            <m:r>
              <m:rPr>
                <m:sty m:val="p"/>
              </m:rPr>
              <m:t>)−ln</m:t>
            </m:r>
            <m:r>
              <m:rPr>
                <m:sty m:val="p"/>
                <m:scr m:val="script"/>
              </m:rPr>
              <m:t>ℒ</m:t>
            </m:r>
            <m:r>
              <m:rPr>
                <m:sty m:val="p"/>
              </m:rPr>
              <m:t>(</m:t>
            </m:r>
            <m:sSup>
              <m:sSupPr/>
              <m:e>
                <m:r>
                  <m:rPr>
                    <m:sty m:val="bi"/>
                  </m:rPr>
                  <m:t>θ</m:t>
                </m:r>
              </m:e>
              <m:sup>
                <m:r>
                  <m:rPr>
                    <m:sty m:val="p"/>
                  </m:rPr>
                  <m:t>(</m:t>
                </m:r>
                <m:r>
                  <m:rPr/>
                  <m:t>t</m:t>
                </m:r>
                <m:r>
                  <m:rPr>
                    <m:sty m:val="p"/>
                  </m:rPr>
                  <m:t>)</m:t>
                </m:r>
              </m:sup>
            </m:sSup>
            <m:r>
              <m:rPr>
                <m:sty m:val="p"/>
              </m:rPr>
              <m:t>))</m:t>
            </m:r>
          </m:e>
        </m:d>
      </m:oMath>
      <w:r>
        <w:tab/>
      </w:r>
      <w:r>
        <w:t>(4</w:t>
      </w:r>
      <w:r>
        <w:noBreakHyphen/>
      </w:r>
      <w:r>
        <w:t>51)</w:t>
      </w:r>
    </w:p>
    <w:p w14:paraId="432759FC">
      <w:r>
        <w:t xml:space="preserve"> </w:t>
      </w:r>
    </w:p>
    <w:p w14:paraId="30CB584C">
      <w:r>
        <w:rPr>
          <w:rFonts w:hint="eastAsia"/>
        </w:rPr>
        <w:t>由于采用均匀先验且提议分布对称，式(4-51)可简化为似然比形式。随后根据Metropolis接受准则，以概率</w:t>
      </w:r>
      <m:oMath>
        <m:r>
          <m:rPr/>
          <m:t>α</m:t>
        </m:r>
      </m:oMath>
      <w:r>
        <w:rPr>
          <w:rFonts w:hint="eastAsia"/>
        </w:rPr>
        <w:t>接受候选状态，否则保留当前状态。重复迭代</w:t>
      </w:r>
      <m:oMath>
        <m:sSub>
          <m:sSubPr/>
          <m:e>
            <m:r>
              <m:rPr/>
              <m:t>N</m:t>
            </m:r>
          </m:e>
          <m:sub>
            <m:r>
              <m:rPr/>
              <m:t>samples</m:t>
            </m:r>
          </m:sub>
        </m:sSub>
        <m:r>
          <m:rPr>
            <m:sty m:val="p"/>
          </m:rPr>
          <m:t>=</m:t>
        </m:r>
        <m:r>
          <m:rPr/>
          <m:t>10000</m:t>
        </m:r>
      </m:oMath>
      <w:r>
        <w:rPr>
          <w:rFonts w:hint="eastAsia"/>
        </w:rPr>
        <w:t>次，即可生成完整的马尔可夫链。</w:t>
      </w:r>
    </w:p>
    <w:p w14:paraId="6048D826">
      <w:r>
        <w:rPr>
          <w:rFonts w:hint="eastAsia"/>
        </w:rPr>
        <w:t>马尔可夫链前若干样本受初始状态影响尚未收敛，称为预烧期。本文设定</w:t>
      </w:r>
      <m:oMath>
        <m:sSub>
          <m:sSubPr/>
          <m:e>
            <m:r>
              <m:rPr/>
              <m:t>N</m:t>
            </m:r>
          </m:e>
          <m:sub>
            <m:r>
              <m:rPr/>
              <m:t>burn</m:t>
            </m:r>
          </m:sub>
        </m:sSub>
        <m:r>
          <m:rPr>
            <m:sty m:val="p"/>
          </m:rPr>
          <m:t>=</m:t>
        </m:r>
        <m:r>
          <m:rPr/>
          <m:t>2000</m:t>
        </m:r>
      </m:oMath>
      <w:r>
        <w:rPr>
          <w:rFonts w:hint="eastAsia"/>
        </w:rPr>
        <w:t>次迭代（占总采样数20%），预烧期样本不参与后验统计。预烧期可通过迹线图判断：链轨迹围绕稳定值波动而非趋势性漂移时即进入平稳状态。</w:t>
      </w:r>
    </w:p>
    <w:p w14:paraId="2B8977A1">
      <w:r>
        <w:rPr>
          <w:rFonts w:hint="eastAsia"/>
        </w:rPr>
        <w:t>迹线图主要用于判断采样链在预烧期后是否进入平稳状态。对可观测参数而言，迹线通常会在真值邻域附近形成稳定振荡；而对弱可观测参数而言，链往往在较宽区间内持续游走，难以形成明显聚集。本文展示迹线图的目的，不是进行教科书式的MCMC诊断，而是为后文判断“哪些参数值得进入工程反演“提供直观统计证据。</w:t>
      </w:r>
    </w:p>
    <w:p w14:paraId="64D68447">
      <w:r>
        <w:rPr>
          <w:rFonts w:hint="eastAsia"/>
        </w:rPr>
        <w:t>MH算法的采样效率用接受率衡量。本文将20%-50%视为可接受区间:过高说明步长过小、探索效率偏低,过低则说明步长过大、链频繁原地踏步。收敛性主要通过迹线图、边缘后验形态和参数相关图联合判断,其目的不是给出教科书式采样诊断,而是为后文讨论轨迹是否支撑稳定反演提供可复查的统计输出。</w:t>
      </w:r>
    </w:p>
    <w:p w14:paraId="21BB7C15">
      <w:r>
        <w:pict>
          <v:rect id="_x0000_i1041" o:spt="1" style="height:1.5pt;width:0pt;" coordsize="21600,21600" o:hr="t" o:hrstd="t" o:hralign="center">
            <v:path/>
            <v:fill focussize="0,0"/>
            <v:stroke/>
            <v:imagedata o:title=""/>
            <o:lock v:ext="edit"/>
            <w10:wrap type="none"/>
            <w10:anchorlock/>
          </v:rect>
        </w:pict>
      </w:r>
    </w:p>
    <w:bookmarkEnd w:id="68"/>
    <w:p w14:paraId="58FED790">
      <w:pPr>
        <w:pStyle w:val="4"/>
      </w:pPr>
      <w:bookmarkStart w:id="69" w:name="参数可观测性判据基于后验分布宽度的量化标准"/>
      <w:r>
        <w:rPr>
          <w:rFonts w:hint="eastAsia"/>
        </w:rPr>
        <w:t>参数可观测性判据：基于后验分布宽度的量化标准</w:t>
      </w:r>
    </w:p>
    <w:p w14:paraId="48D8414D">
      <w:r>
        <w:rPr>
          <w:rFonts w:hint="eastAsia"/>
        </w:rPr>
        <w:t>前文论证了</w:t>
      </w:r>
      <m:oMath>
        <m:sSub>
          <m:sSubPr/>
          <m:e>
            <m:r>
              <m:rPr/>
              <m:t>ν</m:t>
            </m:r>
          </m:e>
          <m:sub>
            <m:r>
              <m:rPr/>
              <m:t>e</m:t>
            </m:r>
          </m:sub>
        </m:sSub>
      </m:oMath>
      <w:r>
        <w:rPr>
          <w:rFonts w:hint="eastAsia"/>
        </w:rPr>
        <w:t>对群时延的影响仅为</w:t>
      </w:r>
      <m:oMath>
        <m:r>
          <m:rPr/>
          <m:t>O</m:t>
        </m:r>
        <m:r>
          <m:rPr>
            <m:sty m:val="p"/>
          </m:rPr>
          <m:t>((</m:t>
        </m:r>
        <m:sSub>
          <m:sSubPr/>
          <m:e>
            <m:r>
              <m:rPr/>
              <m:t>ν</m:t>
            </m:r>
          </m:e>
          <m:sub>
            <m:r>
              <m:rPr/>
              <m:t>e</m:t>
            </m:r>
          </m:sub>
        </m:sSub>
        <m:r>
          <m:rPr>
            <m:sty m:val="p"/>
          </m:rPr>
          <m:t>/</m:t>
        </m:r>
        <m:r>
          <m:rPr/>
          <m:t>ω</m:t>
        </m:r>
        <m:sSup>
          <m:sSupPr/>
          <m:e>
            <m:r>
              <m:rPr>
                <m:sty m:val="p"/>
              </m:rPr>
              <m:t>)</m:t>
            </m:r>
          </m:e>
          <m:sup>
            <m:r>
              <m:rPr/>
              <m:t>2</m:t>
            </m:r>
          </m:sup>
        </m:sSup>
        <m:r>
          <m:rPr>
            <m:sty m:val="p"/>
          </m:rPr>
          <m:t>)</m:t>
        </m:r>
      </m:oMath>
      <w:r>
        <w:rPr>
          <w:rFonts w:hint="eastAsia"/>
        </w:rPr>
        <w:t>的二阶微扰，据此提出参数降维策略。MCMC方法提供了直接验证途径：若某参数对观测数据影响微弱，其后验分布将保持接近先验的平坦形态，而非收敛至窄峰。</w:t>
      </w:r>
    </w:p>
    <w:p w14:paraId="6DCEA4BD">
      <w:r>
        <w:rPr>
          <w:rFonts w:hint="eastAsia"/>
        </w:rPr>
        <w:t>这一物理直觉可形式化为参数可观测性的量化判据。定义后验变异系数（CV）：</w:t>
      </w:r>
    </w:p>
    <w:p w14:paraId="7A87E390">
      <w:r>
        <w:t xml:space="preserve"> </w:t>
      </w:r>
    </w:p>
    <w:p w14:paraId="5F7A912D">
      <w:pPr>
        <w:pStyle w:val="44"/>
        <w:spacing w:before="0" w:after="0" w:line="400" w:lineRule="atLeast"/>
      </w:pPr>
      <w:r>
        <w:tab/>
      </w:r>
      <m:oMath>
        <m:sSub>
          <m:sSubPr/>
          <m:e>
            <m:r>
              <m:rPr>
                <m:nor/>
                <m:sty m:val="p"/>
              </m:rPr>
              <w:rPr>
                <w:b w:val="0"/>
                <w:i w:val="0"/>
              </w:rPr>
              <m:t>CV</m:t>
            </m:r>
          </m:e>
          <m:sub>
            <m:r>
              <m:rPr/>
              <m:t>θ</m:t>
            </m:r>
          </m:sub>
        </m:sSub>
        <m:r>
          <m:rPr>
            <m:sty m:val="p"/>
          </m:rPr>
          <m:t>=</m:t>
        </m:r>
        <m:f>
          <m:fPr/>
          <m:num>
            <m:sSubSup>
              <m:sSubSupPr/>
              <m:e>
                <m:r>
                  <m:rPr/>
                  <m:t>σ</m:t>
                </m:r>
              </m:e>
              <m:sub>
                <m:r>
                  <m:rPr/>
                  <m:t>θ</m:t>
                </m:r>
              </m:sub>
              <m:sup>
                <m:r>
                  <m:rPr>
                    <m:sty m:val="p"/>
                  </m:rPr>
                  <m:t>(</m:t>
                </m:r>
                <m:r>
                  <m:rPr/>
                  <m:t>post</m:t>
                </m:r>
                <m:r>
                  <m:rPr>
                    <m:sty m:val="p"/>
                  </m:rPr>
                  <m:t>)</m:t>
                </m:r>
              </m:sup>
            </m:sSubSup>
          </m:num>
          <m:den>
            <m:sSup>
              <m:sSupPr/>
              <m:e>
                <m:acc>
                  <m:accPr/>
                  <m:e>
                    <m:r>
                      <m:rPr/>
                      <m:t>θ</m:t>
                    </m:r>
                  </m:e>
                </m:acc>
              </m:e>
              <m:sup>
                <m:r>
                  <m:rPr>
                    <m:sty m:val="p"/>
                  </m:rPr>
                  <m:t>(</m:t>
                </m:r>
                <m:r>
                  <m:rPr/>
                  <m:t>post</m:t>
                </m:r>
                <m:r>
                  <m:rPr>
                    <m:sty m:val="p"/>
                  </m:rPr>
                  <m:t>)</m:t>
                </m:r>
              </m:sup>
            </m:sSup>
          </m:den>
        </m:f>
      </m:oMath>
      <w:r>
        <w:tab/>
      </w:r>
      <w:r>
        <w:t>(4</w:t>
      </w:r>
      <w:r>
        <w:noBreakHyphen/>
      </w:r>
      <w:r>
        <w:t>52)</w:t>
      </w:r>
    </w:p>
    <w:p w14:paraId="68A918E3">
      <w:r>
        <w:t xml:space="preserve"> </w:t>
      </w:r>
    </w:p>
    <w:p w14:paraId="694548B6">
      <w:r>
        <w:rPr>
          <w:rFonts w:hint="eastAsia"/>
        </w:rPr>
        <w:t>CV反映后验分布相对于均值的弥散程度,可作为参数可观测性的直接量化指标。对本文问题而言,若</w:t>
      </w:r>
      <m:oMath>
        <m:sSub>
          <m:sSubPr/>
          <m:e>
            <m:r>
              <m:rPr/>
              <m:t>n</m:t>
            </m:r>
          </m:e>
          <m:sub>
            <m:r>
              <m:rPr/>
              <m:t>e</m:t>
            </m:r>
          </m:sub>
        </m:sSub>
      </m:oMath>
      <w:r>
        <w:rPr>
          <w:rFonts w:hint="eastAsia"/>
        </w:rPr>
        <w:t>的CV保持较低而</w:t>
      </w:r>
      <m:oMath>
        <m:sSub>
          <m:sSubPr/>
          <m:e>
            <m:r>
              <m:rPr/>
              <m:t>ν</m:t>
            </m:r>
          </m:e>
          <m:sub>
            <m:r>
              <m:rPr/>
              <m:t>e</m:t>
            </m:r>
          </m:sub>
        </m:sSub>
      </m:oMath>
      <w:r>
        <w:rPr>
          <w:rFonts w:hint="eastAsia"/>
        </w:rPr>
        <w:t>的后验仍明显宽展,则说明群时延数据能够稳定锁定</w:t>
      </w:r>
      <m:oMath>
        <m:sSub>
          <m:sSubPr/>
          <m:e>
            <m:r>
              <m:rPr/>
              <m:t>n</m:t>
            </m:r>
          </m:e>
          <m:sub>
            <m:r>
              <m:rPr/>
              <m:t>e</m:t>
            </m:r>
          </m:sub>
        </m:sSub>
      </m:oMath>
      <w:r>
        <w:rPr>
          <w:rFonts w:hint="eastAsia"/>
        </w:rPr>
        <w:t>,却不足以支撑</w:t>
      </w:r>
      <m:oMath>
        <m:sSub>
          <m:sSubPr/>
          <m:e>
            <m:r>
              <m:rPr/>
              <m:t>ν</m:t>
            </m:r>
          </m:e>
          <m:sub>
            <m:r>
              <m:rPr/>
              <m:t>e</m:t>
            </m:r>
          </m:sub>
        </m:sSub>
      </m:oMath>
      <w:r>
        <w:rPr>
          <w:rFonts w:hint="eastAsia"/>
        </w:rPr>
        <w:t>的可信识别。这也是本章后续将</w:t>
      </w:r>
      <m:oMath>
        <m:sSub>
          <m:sSubPr/>
          <m:e>
            <m:r>
              <m:rPr/>
              <m:t>ν</m:t>
            </m:r>
          </m:e>
          <m:sub>
            <m:r>
              <m:rPr/>
              <m:t>e</m:t>
            </m:r>
          </m:sub>
        </m:sSub>
      </m:oMath>
      <w:r>
        <w:rPr>
          <w:rFonts w:hint="eastAsia"/>
        </w:rPr>
        <w:t>视为可观测性检验变量、而不把它作为工程求解目标的统计依据。</w:t>
      </w:r>
    </w:p>
    <w:p w14:paraId="675D1B3F">
      <w:r>
        <w:rPr>
          <w:rFonts w:hint="eastAsia"/>
        </w:rPr>
        <w:t>基于系统性仿真验证，本文归纳出如下四级工程判据（表4-1）：</w:t>
      </w:r>
    </w:p>
    <w:tbl>
      <w:tblPr>
        <w:tblStyle w:val="30"/>
        <w:tblW w:w="0" w:type="auto"/>
        <w:tblInd w:w="0" w:type="dxa"/>
        <w:tblLayout w:type="autofit"/>
        <w:tblCellMar>
          <w:top w:w="0" w:type="dxa"/>
          <w:left w:w="108" w:type="dxa"/>
          <w:bottom w:w="0" w:type="dxa"/>
          <w:right w:w="108" w:type="dxa"/>
        </w:tblCellMar>
      </w:tblPr>
      <w:tblGrid>
        <w:gridCol w:w="2412"/>
        <w:gridCol w:w="2136"/>
        <w:gridCol w:w="3336"/>
      </w:tblGrid>
      <w:tr w14:paraId="51F986C1">
        <w:tblPrEx>
          <w:tblCellMar>
            <w:top w:w="0" w:type="dxa"/>
            <w:left w:w="108" w:type="dxa"/>
            <w:bottom w:w="0" w:type="dxa"/>
            <w:right w:w="108" w:type="dxa"/>
          </w:tblCellMar>
        </w:tblPrEx>
        <w:trPr>
          <w:tblHeader/>
        </w:trPr>
        <w:tc>
          <w:p w14:paraId="5F06C160">
            <w:pPr>
              <w:jc w:val="center"/>
            </w:pPr>
            <w:r>
              <w:rPr>
                <w:rFonts w:hint="eastAsia"/>
              </w:rPr>
              <w:t>CV范围</w:t>
            </w:r>
          </w:p>
        </w:tc>
        <w:tc>
          <w:p w14:paraId="4371CDBC">
            <w:pPr>
              <w:jc w:val="center"/>
            </w:pPr>
            <w:r>
              <w:rPr>
                <w:rFonts w:hint="eastAsia"/>
              </w:rPr>
              <w:t>可观测性等级</w:t>
            </w:r>
          </w:p>
        </w:tc>
        <w:tc>
          <w:p w14:paraId="10F1563C">
            <w:pPr>
              <w:jc w:val="left"/>
            </w:pPr>
            <w:r>
              <w:rPr>
                <w:rFonts w:hint="eastAsia"/>
              </w:rPr>
              <w:t>工程含义</w:t>
            </w:r>
          </w:p>
        </w:tc>
      </w:tr>
      <w:tr w14:paraId="7DEBCE99">
        <w:tblPrEx>
          <w:tblCellMar>
            <w:top w:w="0" w:type="dxa"/>
            <w:left w:w="108" w:type="dxa"/>
            <w:bottom w:w="0" w:type="dxa"/>
            <w:right w:w="108" w:type="dxa"/>
          </w:tblCellMar>
        </w:tblPrEx>
        <w:tc>
          <w:p w14:paraId="4197ED9D">
            <w:pPr>
              <w:jc w:val="center"/>
            </w:pPr>
            <w:r>
              <w:t>CV &lt; 5%</w:t>
            </w:r>
          </w:p>
        </w:tc>
        <w:tc>
          <w:p w14:paraId="2FC03CE8">
            <w:pPr>
              <w:jc w:val="center"/>
            </w:pPr>
            <w:r>
              <w:rPr>
                <w:rFonts w:hint="eastAsia"/>
              </w:rPr>
              <w:t>强可观测</w:t>
            </w:r>
          </w:p>
        </w:tc>
        <w:tc>
          <w:p w14:paraId="7D7AAE55">
            <w:pPr>
              <w:jc w:val="left"/>
            </w:pPr>
            <w:r>
              <w:rPr>
                <w:rFonts w:hint="eastAsia"/>
              </w:rPr>
              <w:t>高精度反演，稳定可靠</w:t>
            </w:r>
          </w:p>
        </w:tc>
      </w:tr>
      <w:tr w14:paraId="7AD0DEC1">
        <w:tblPrEx>
          <w:tblCellMar>
            <w:top w:w="0" w:type="dxa"/>
            <w:left w:w="108" w:type="dxa"/>
            <w:bottom w:w="0" w:type="dxa"/>
            <w:right w:w="108" w:type="dxa"/>
          </w:tblCellMar>
        </w:tblPrEx>
        <w:tc>
          <w:p w14:paraId="2518717A">
            <w:pPr>
              <w:jc w:val="center"/>
            </w:pPr>
            <w:r>
              <w:t>5% ≤ CV &lt; 15%</w:t>
            </w:r>
          </w:p>
        </w:tc>
        <w:tc>
          <w:p w14:paraId="1FAAC395">
            <w:pPr>
              <w:jc w:val="center"/>
            </w:pPr>
            <w:r>
              <w:rPr>
                <w:rFonts w:hint="eastAsia"/>
              </w:rPr>
              <w:t>中等可观测</w:t>
            </w:r>
          </w:p>
        </w:tc>
        <w:tc>
          <w:p w14:paraId="40B8336C">
            <w:pPr>
              <w:jc w:val="left"/>
            </w:pPr>
            <w:r>
              <w:rPr>
                <w:rFonts w:hint="eastAsia"/>
              </w:rPr>
              <w:t>可信反演，但精度受限</w:t>
            </w:r>
          </w:p>
        </w:tc>
      </w:tr>
      <w:tr w14:paraId="08A65404">
        <w:tblPrEx>
          <w:tblCellMar>
            <w:top w:w="0" w:type="dxa"/>
            <w:left w:w="108" w:type="dxa"/>
            <w:bottom w:w="0" w:type="dxa"/>
            <w:right w:w="108" w:type="dxa"/>
          </w:tblCellMar>
        </w:tblPrEx>
        <w:tc>
          <w:p w14:paraId="2F4F6897">
            <w:pPr>
              <w:jc w:val="center"/>
            </w:pPr>
            <w:r>
              <w:t>15% ≤ CV &lt; 30%</w:t>
            </w:r>
          </w:p>
        </w:tc>
        <w:tc>
          <w:p w14:paraId="7811FA14">
            <w:pPr>
              <w:jc w:val="center"/>
            </w:pPr>
            <w:r>
              <w:rPr>
                <w:rFonts w:hint="eastAsia"/>
              </w:rPr>
              <w:t>弱可观测</w:t>
            </w:r>
          </w:p>
        </w:tc>
        <w:tc>
          <w:p w14:paraId="3D73D767">
            <w:pPr>
              <w:jc w:val="left"/>
            </w:pPr>
            <w:r>
              <w:rPr>
                <w:rFonts w:hint="eastAsia"/>
              </w:rPr>
              <w:t>可被数据约束，偏差显著</w:t>
            </w:r>
          </w:p>
        </w:tc>
      </w:tr>
      <w:tr w14:paraId="087A6A13">
        <w:tblPrEx>
          <w:tblCellMar>
            <w:top w:w="0" w:type="dxa"/>
            <w:left w:w="108" w:type="dxa"/>
            <w:bottom w:w="0" w:type="dxa"/>
            <w:right w:w="108" w:type="dxa"/>
          </w:tblCellMar>
        </w:tblPrEx>
        <w:tc>
          <w:p w14:paraId="27DD1645">
            <w:pPr>
              <w:jc w:val="center"/>
            </w:pPr>
            <w:r>
              <w:t>CV ≥ 30%</w:t>
            </w:r>
          </w:p>
        </w:tc>
        <w:tc>
          <w:p w14:paraId="33BB8D57">
            <w:pPr>
              <w:jc w:val="center"/>
            </w:pPr>
            <w:r>
              <w:rPr>
                <w:rFonts w:hint="eastAsia"/>
              </w:rPr>
              <w:t>不可观测</w:t>
            </w:r>
          </w:p>
        </w:tc>
        <w:tc>
          <w:p w14:paraId="06330A7A">
            <w:pPr>
              <w:jc w:val="left"/>
            </w:pPr>
            <w:r>
              <w:rPr>
                <w:rFonts w:hint="eastAsia"/>
              </w:rPr>
              <w:t>由先验主导，建议固定</w:t>
            </w:r>
          </w:p>
        </w:tc>
      </w:tr>
    </w:tbl>
    <w:p w14:paraId="624E285E">
      <w:r>
        <w:rPr>
          <w:rFonts w:hint="eastAsia"/>
        </w:rPr>
        <w:t>该判据将参数可观测性从二元分类细化为四级分类，更准确地刻画了物理参数被数据约束的程度。</w:t>
      </w:r>
    </w:p>
    <w:p w14:paraId="4145B93C">
      <w:r>
        <w:rPr>
          <w:rFonts w:hint="eastAsia"/>
        </w:rPr>
        <w:t>本文采用角点图（Corner</w:t>
      </w:r>
      <w:r>
        <w:t xml:space="preserve"> </w:t>
      </w:r>
      <w:r>
        <w:rPr>
          <w:rFonts w:hint="eastAsia"/>
        </w:rPr>
        <w:t>Plot）可视化参数间联合后验分布：主对角线展示边缘后验直方图及CV值，下三角展示联合分布散点图，右上区域标注参数相关分析结果。</w:t>
      </w:r>
    </w:p>
    <w:p w14:paraId="75F15989">
      <w:r>
        <w:rPr>
          <w:rFonts w:hint="eastAsia"/>
        </w:rPr>
        <w:t>角点图可直观揭示参数耦合信息。联合分布呈圆形表明两者独立，呈倾斜椭圆表明存在相关性。若某参数边缘后验呈尖锐峰而另一参数呈较平坦形态，联合分布将表现为长条结构，长轴方向对应弱可观测参数，短轴方向对应强可观测参数。若联合分布存在多个分离高概率区域，则表明反演问题存在多解性。</w:t>
      </w:r>
    </w:p>
    <w:p w14:paraId="39CFDFC5">
      <w:r>
        <w:rPr>
          <w:rFonts w:hint="eastAsia"/>
        </w:rPr>
        <w:t>标准工况下的角点图结果将在后文仿真验证部分给出。</w:t>
      </w:r>
    </w:p>
    <w:p w14:paraId="7DAF0E3E">
      <w:r>
        <w:rPr>
          <w:rFonts w:hint="eastAsia"/>
        </w:rPr>
        <w:t>联合后验散点图呈现特征性的纵向长条结构：(n_e)</w:t>
      </w:r>
      <w:r>
        <w:t xml:space="preserve"> </w:t>
      </w:r>
      <w:r>
        <w:rPr>
          <w:rFonts w:hint="eastAsia"/>
        </w:rPr>
        <w:t>被数据强约束在狭窄区间内，而</w:t>
      </w:r>
      <w:r>
        <w:t xml:space="preserve"> (_e) </w:t>
      </w:r>
      <w:r>
        <w:rPr>
          <w:rFonts w:hint="eastAsia"/>
        </w:rPr>
        <w:t>则在更宽范围内弥散。该几何形态表明，(n_e)</w:t>
      </w:r>
      <w:r>
        <w:t xml:space="preserve"> </w:t>
      </w:r>
      <w:r>
        <w:rPr>
          <w:rFonts w:hint="eastAsia"/>
        </w:rPr>
        <w:t>的后验锁定并不依赖于</w:t>
      </w:r>
      <w:r>
        <w:t xml:space="preserve"> (_e) </w:t>
      </w:r>
      <w:r>
        <w:rPr>
          <w:rFonts w:hint="eastAsia"/>
        </w:rPr>
        <w:t>被准确估计，两者在当前观测通道下仅表现为弱相关。换言之，当前群时延观测足以支撑</w:t>
      </w:r>
      <w:r>
        <w:t xml:space="preserve"> (n_e) </w:t>
      </w:r>
      <w:r>
        <w:rPr>
          <w:rFonts w:hint="eastAsia"/>
        </w:rPr>
        <w:t>的稳定反演，却不足以支持</w:t>
      </w:r>
      <w:r>
        <w:t xml:space="preserve"> (_e) </w:t>
      </w:r>
      <w:r>
        <w:rPr>
          <w:rFonts w:hint="eastAsia"/>
        </w:rPr>
        <w:t>的可信识别。</w:t>
      </w:r>
    </w:p>
    <w:p w14:paraId="572C90A9">
      <w:r>
        <w:rPr>
          <w:rFonts w:hint="eastAsia"/>
        </w:rPr>
        <w:t>这一结果从统计视角进一步验证了前文的物理预判。为避免与后文标准工况下的具体统计结果重复，本节不再提前给出CV、区间与相关系数的具体数值；相关定量结果统一在4.5.3节结合图4-11、图4-12及配套表格给出。</w:t>
      </w:r>
    </w:p>
    <w:p w14:paraId="7F6B88EB">
      <w:r>
        <w:rPr>
          <w:rFonts w:hint="eastAsia"/>
        </w:rPr>
        <w:t>本文建立的可观测性分析流程为:对候选参数集</w:t>
      </w:r>
      <m:oMath>
        <m:r>
          <m:rPr>
            <m:sty m:val="bi"/>
          </m:rPr>
          <m:t>θ</m:t>
        </m:r>
        <m:r>
          <m:rPr>
            <m:sty m:val="p"/>
          </m:rPr>
          <m:t>=[</m:t>
        </m:r>
        <m:sSub>
          <m:sSubPr/>
          <m:e>
            <m:r>
              <m:rPr/>
              <m:t>n</m:t>
            </m:r>
          </m:e>
          <m:sub>
            <m:r>
              <m:rPr/>
              <m:t>e</m:t>
            </m:r>
          </m:sub>
        </m:sSub>
        <m:r>
          <m:rPr>
            <m:sty m:val="p"/>
          </m:rPr>
          <m:t>,</m:t>
        </m:r>
        <m:sSub>
          <m:sSubPr/>
          <m:e>
            <m:r>
              <m:rPr/>
              <m:t>ν</m:t>
            </m:r>
          </m:e>
          <m:sub>
            <m:r>
              <m:rPr/>
              <m:t>e</m:t>
            </m:r>
          </m:sub>
        </m:sSub>
        <m:sSup>
          <m:sSupPr/>
          <m:e>
            <m:r>
              <m:rPr>
                <m:sty m:val="p"/>
              </m:rPr>
              <m:t>]</m:t>
            </m:r>
          </m:e>
          <m:sup>
            <m:r>
              <m:rPr/>
              <m:t>T</m:t>
            </m:r>
          </m:sup>
        </m:sSup>
      </m:oMath>
      <w:r>
        <w:rPr>
          <w:rFonts w:hint="eastAsia"/>
        </w:rPr>
        <w:t>运行MCMC采样,计算各参数后验CV值并按表4-1进行四级分类,再结合角点图中的联合分布形态与相关系数判断参数耦合程度。对Drude等离子体群时延诊断问题而言,只要</w:t>
      </w:r>
      <m:oMath>
        <m:sSub>
          <m:sSubPr/>
          <m:e>
            <m:r>
              <m:rPr/>
              <m:t>ν</m:t>
            </m:r>
          </m:e>
          <m:sub>
            <m:r>
              <m:rPr/>
              <m:t>e</m:t>
            </m:r>
          </m:sub>
        </m:sSub>
      </m:oMath>
      <w:r>
        <w:rPr>
          <w:rFonts w:hint="eastAsia"/>
        </w:rPr>
        <w:t>的后验仍表现为宽展、漂移或未锁定真值,就不应进入在线反演,而应固定为经验常数;真正需要稳定输出的主参数始终是</w:t>
      </w:r>
      <m:oMath>
        <m:sSub>
          <m:sSubPr/>
          <m:e>
            <m:r>
              <m:rPr/>
              <m:t>n</m:t>
            </m:r>
          </m:e>
          <m:sub>
            <m:r>
              <m:rPr/>
              <m:t>e</m:t>
            </m:r>
          </m:sub>
        </m:sSub>
      </m:oMath>
      <w:r>
        <w:t>。</w:t>
      </w:r>
    </w:p>
    <w:p w14:paraId="0593DB96">
      <w:r>
        <w:rPr>
          <w:rFonts w:hint="eastAsia"/>
        </w:rPr>
        <w:t>该流程的核心价值在于将参数是否进入反演从主观经验提升为客观的数据驱动决策。CV判据具有可重复性和可移植性，可作为后续已知色散正向模型场景中的统计检验工具。第5章引入Lorentz超材料与微波滤波器,也仅是将其作为色散函数已知、真值可控的等效验证载体,而非诊断对象本身。</w:t>
      </w:r>
    </w:p>
    <w:p w14:paraId="736BF51D">
      <w:r>
        <w:rPr>
          <w:rFonts w:hint="eastAsia"/>
        </w:rPr>
        <w:t>相较于LM算法,MCMC在本文场景中的优势主要体现在两点:一是对初值不敏感,即便电子密度初值偏离真值较大,采样链仍可在预烧期后回到高后验区域;二是无需显式求导,在截止频率附近的陡峭区间也能保持稳定采样。这两点足以支撑其作为本文统计反演工具。</w:t>
      </w:r>
    </w:p>
    <w:p w14:paraId="1011B043">
      <w:r>
        <w:pict>
          <v:rect id="_x0000_i1042" o:spt="1" style="height:1.5pt;width:0pt;" coordsize="21600,21600" o:hr="t" o:hrstd="t" o:hralign="center">
            <v:path/>
            <v:fill focussize="0,0"/>
            <v:stroke/>
            <v:imagedata o:title=""/>
            <o:lock v:ext="edit"/>
            <w10:wrap type="none"/>
            <w10:anchorlock/>
          </v:rect>
        </w:pict>
      </w:r>
    </w:p>
    <w:bookmarkEnd w:id="69"/>
    <w:p w14:paraId="03EB6F46">
      <w:pPr>
        <w:pStyle w:val="4"/>
      </w:pPr>
      <w:bookmarkStart w:id="70" w:name="本节小结-2"/>
      <w:r>
        <w:rPr>
          <w:rFonts w:hint="eastAsia"/>
        </w:rPr>
        <w:t>本节小结</w:t>
      </w:r>
    </w:p>
    <w:p w14:paraId="03A0AF72">
      <w:r>
        <w:rPr>
          <w:rFonts w:hint="eastAsia"/>
        </w:rPr>
        <w:t>本节的作用,是把前文得到的轨迹数据真正接入反演计算链。围绕这一目标,本文给出了三项直接服务实现的要素:融合幅度权重的加权高斯似然函数（式(4-45)）,围绕Drude模型设置的先验边界、提议步长与MH采样流程,以及以后验均值、置信区间、CV和角点图为核心的输出指标。</w:t>
      </w:r>
    </w:p>
    <w:p w14:paraId="24298E2B">
      <w:r>
        <w:rPr>
          <w:rFonts w:hint="eastAsia"/>
        </w:rPr>
        <w:t>这一定义使第四章的方法主线保持一致:先从物理上限定反演变量,再可靠提取观测轨迹,继而把轨迹转化为统计反演结果。贝叶斯采样保留</w:t>
      </w:r>
      <m:oMath>
        <m:sSub>
          <m:sSubPr/>
          <m:e>
            <m:r>
              <m:rPr/>
              <m:t>ν</m:t>
            </m:r>
          </m:e>
          <m:sub>
            <m:r>
              <m:rPr/>
              <m:t>e</m:t>
            </m:r>
          </m:sub>
        </m:sSub>
      </m:oMath>
      <w:r>
        <w:rPr>
          <w:rFonts w:hint="eastAsia"/>
        </w:rPr>
        <w:t>这一维度,目的始终是可观测性检验而非恢复联合反演方案;工程输出仍只包括</w:t>
      </w:r>
      <m:oMath>
        <m:sSub>
          <m:sSubPr/>
          <m:e>
            <m:r>
              <m:rPr/>
              <m:t>n</m:t>
            </m:r>
          </m:e>
          <m:sub>
            <m:r>
              <m:rPr/>
              <m:t>e</m:t>
            </m:r>
          </m:sub>
        </m:sSub>
      </m:oMath>
      <w:r>
        <w:rPr>
          <w:rFonts w:hint="eastAsia"/>
        </w:rPr>
        <w:t>及其不确定性量化结果。</w:t>
      </w:r>
    </w:p>
    <w:bookmarkEnd w:id="66"/>
    <w:bookmarkEnd w:id="70"/>
    <w:p w14:paraId="535EA469">
      <w:pPr>
        <w:pStyle w:val="3"/>
      </w:pPr>
      <w:bookmarkStart w:id="71" w:name="drude等离子体模型仿真验证与不确定性量化"/>
      <w:r>
        <w:rPr>
          <w:rFonts w:hint="eastAsia"/>
        </w:rPr>
        <w:t>Drude等离子体模型仿真验证与不确定性量化</w:t>
      </w:r>
    </w:p>
    <w:p w14:paraId="13A63CF2">
      <w:r>
        <w:rPr>
          <w:rFonts w:hint="eastAsia"/>
        </w:rPr>
        <w:t>第4.2节已经从物理约束出发锁定了“固定</w:t>
      </w:r>
      <m:oMath>
        <m:sSub>
          <m:sSubPr/>
          <m:e>
            <m:r>
              <m:rPr/>
              <m:t>ν</m:t>
            </m:r>
          </m:e>
          <m:sub>
            <m:r>
              <m:rPr/>
              <m:t>e</m:t>
            </m:r>
          </m:sub>
        </m:sSub>
      </m:oMath>
      <w:r>
        <w:rPr>
          <w:rFonts w:hint="eastAsia"/>
        </w:rPr>
        <w:t>、仅反演</w:t>
      </w:r>
      <m:oMath>
        <m:sSub>
          <m:sSubPr/>
          <m:e>
            <m:r>
              <m:rPr/>
              <m:t>n</m:t>
            </m:r>
          </m:e>
          <m:sub>
            <m:r>
              <m:rPr/>
              <m:t>e</m:t>
            </m:r>
          </m:sub>
        </m:sSub>
      </m:oMath>
      <w:r>
        <w:rPr>
          <w:rFonts w:hint="eastAsia"/>
        </w:rPr>
        <w:t>”的降维前提,第4.3节和第4.4节则分别建立了“轨迹提取”和“贝叶斯反演”两段方法链。本节的任务不是继续扩展方法名词,而是把第四章的主线真正落到Drude等离子体仿真场景中,回答两个直接问题:其一,这条“滑动窗口—MDL—ESPRIT—MCMC”链路能否稳定提取频率-时延轨迹并完成电子密度反演;其二,后验统计结果是否足以支撑4.2节提出的降维策略。</w:t>
      </w:r>
    </w:p>
    <w:p w14:paraId="063D353C">
      <w:r>
        <w:rPr>
          <w:rFonts w:hint="eastAsia"/>
        </w:rPr>
        <w:t>因此,本节所有图表与统计量都围绕这两个问题组织:4.5.2验证特征提取是否可靠,4.5.3验证</w:t>
      </w:r>
      <m:oMath>
        <m:sSub>
          <m:sSubPr/>
          <m:e>
            <m:r>
              <m:rPr/>
              <m:t>n</m:t>
            </m:r>
          </m:e>
          <m:sub>
            <m:r>
              <m:rPr/>
              <m:t>e</m:t>
            </m:r>
          </m:sub>
        </m:sSub>
      </m:oMath>
      <w:r>
        <w:rPr>
          <w:rFonts w:hint="eastAsia"/>
        </w:rPr>
        <w:t>与</w:t>
      </w:r>
      <m:oMath>
        <m:sSub>
          <m:sSubPr/>
          <m:e>
            <m:r>
              <m:rPr/>
              <m:t>ν</m:t>
            </m:r>
          </m:e>
          <m:sub>
            <m:r>
              <m:rPr/>
              <m:t>e</m:t>
            </m:r>
          </m:sub>
        </m:sSub>
      </m:oMath>
      <w:r>
        <w:rPr>
          <w:rFonts w:hint="eastAsia"/>
        </w:rPr>
        <w:t>在后验层面的可观测性差异,4.5.4和4.5.5分别从传统方法对比与噪声鲁棒性两个角度检验该链路的工程有效性。通过这些结果,第四章完成“物理预判—方法实现—仿真验证”的闭环,而不是把彼此独立的统计讨论并列堆叠。</w:t>
      </w:r>
    </w:p>
    <w:p w14:paraId="2A1FCC08">
      <w:r>
        <w:pict>
          <v:rect id="_x0000_i1043" o:spt="1" style="height:1.5pt;width:0pt;" coordsize="21600,21600" o:hr="t" o:hrstd="t" o:hralign="center">
            <v:path/>
            <v:fill focussize="0,0"/>
            <v:stroke/>
            <v:imagedata o:title=""/>
            <o:lock v:ext="edit"/>
            <w10:wrap type="none"/>
            <w10:anchorlock/>
          </v:rect>
        </w:pict>
      </w:r>
    </w:p>
    <w:p w14:paraId="2EB6AA30">
      <w:pPr>
        <w:pStyle w:val="4"/>
      </w:pPr>
      <w:bookmarkStart w:id="72" w:name="仿真环境设置与噪声建模"/>
      <w:r>
        <w:rPr>
          <w:rFonts w:hint="eastAsia"/>
        </w:rPr>
        <w:t>仿真环境设置与噪声建模</w:t>
      </w:r>
    </w:p>
    <w:p w14:paraId="15D85EBC">
      <w:pPr>
        <w:pStyle w:val="5"/>
      </w:pPr>
      <w:bookmarkStart w:id="73" w:name="仿真系统参数配置"/>
      <w:r>
        <w:rPr>
          <w:rFonts w:hint="eastAsia"/>
        </w:rPr>
        <w:t>仿真系统参数配置</w:t>
      </w:r>
    </w:p>
    <w:p w14:paraId="18334E0C">
      <w:r>
        <w:rPr>
          <w:rFonts w:hint="eastAsia"/>
        </w:rPr>
        <w:t>为验证所提方法在强色散条件下的有效性，本节构建了完整的LFMCW等离子体诊断仿真系统。该系统包含信号生成、Drude模型传播、噪声注入、混频处理和特征提取五个核心模块。所有仿真参数严格对应工程典型值与实现设置，确保结果的可复现性。表4-2汇总了完整的仿真参数配置。</w:t>
      </w:r>
    </w:p>
    <w:p w14:paraId="6C2AE835">
      <w:r>
        <w:rPr>
          <w:rFonts w:hint="eastAsia"/>
          <w:b/>
          <w:bCs/>
        </w:rPr>
        <w:t>表4-2</w:t>
      </w:r>
      <w:r>
        <w:rPr>
          <w:b/>
          <w:bCs/>
        </w:rPr>
        <w:t xml:space="preserve"> </w:t>
      </w:r>
      <w:r>
        <w:rPr>
          <w:rFonts w:hint="eastAsia"/>
          <w:b/>
          <w:bCs/>
        </w:rPr>
        <w:t>LFMCW等离子体诊断仿真参数配置</w:t>
      </w:r>
    </w:p>
    <w:tbl>
      <w:tblPr>
        <w:tblStyle w:val="30"/>
        <w:tblW w:w="5000" w:type="pct"/>
        <w:tblInd w:w="0" w:type="dxa"/>
        <w:tblLayout w:type="fixed"/>
        <w:tblCellMar>
          <w:top w:w="0" w:type="dxa"/>
          <w:left w:w="108" w:type="dxa"/>
          <w:bottom w:w="0" w:type="dxa"/>
          <w:right w:w="108" w:type="dxa"/>
        </w:tblCellMar>
      </w:tblPr>
      <w:tblGrid>
        <w:gridCol w:w="2078"/>
        <w:gridCol w:w="2078"/>
        <w:gridCol w:w="2078"/>
        <w:gridCol w:w="1385"/>
        <w:gridCol w:w="1385"/>
      </w:tblGrid>
      <w:tr w14:paraId="5D9A52A7">
        <w:tblPrEx>
          <w:tblCellMar>
            <w:top w:w="0" w:type="dxa"/>
            <w:left w:w="108" w:type="dxa"/>
            <w:bottom w:w="0" w:type="dxa"/>
            <w:right w:w="108" w:type="dxa"/>
          </w:tblCellMar>
        </w:tblPrEx>
        <w:trPr>
          <w:tblHeader/>
        </w:trPr>
        <w:tc>
          <w:p w14:paraId="029B8EC0">
            <w:r>
              <w:rPr>
                <w:rFonts w:hint="eastAsia"/>
              </w:rPr>
              <w:t>参数类别</w:t>
            </w:r>
          </w:p>
        </w:tc>
        <w:tc>
          <w:p w14:paraId="79A1E53D">
            <w:r>
              <w:rPr>
                <w:rFonts w:hint="eastAsia"/>
              </w:rPr>
              <w:t>参数符号</w:t>
            </w:r>
          </w:p>
        </w:tc>
        <w:tc>
          <w:p w14:paraId="6D873CF2">
            <w:r>
              <w:rPr>
                <w:rFonts w:hint="eastAsia"/>
              </w:rPr>
              <w:t>物理含义</w:t>
            </w:r>
          </w:p>
        </w:tc>
        <w:tc>
          <w:p w14:paraId="0022F83A">
            <w:r>
              <w:rPr>
                <w:rFonts w:hint="eastAsia"/>
              </w:rPr>
              <w:t>数值</w:t>
            </w:r>
          </w:p>
        </w:tc>
        <w:tc>
          <w:p w14:paraId="7D0F05A5">
            <w:r>
              <w:rPr>
                <w:rFonts w:hint="eastAsia"/>
              </w:rPr>
              <w:t>单位</w:t>
            </w:r>
          </w:p>
        </w:tc>
      </w:tr>
      <w:tr w14:paraId="7A47F2D3">
        <w:tblPrEx>
          <w:tblCellMar>
            <w:top w:w="0" w:type="dxa"/>
            <w:left w:w="108" w:type="dxa"/>
            <w:bottom w:w="0" w:type="dxa"/>
            <w:right w:w="108" w:type="dxa"/>
          </w:tblCellMar>
        </w:tblPrEx>
        <w:tc>
          <w:p w14:paraId="40C62406">
            <w:r>
              <w:rPr>
                <w:rFonts w:hint="eastAsia"/>
                <w:b/>
                <w:bCs/>
              </w:rPr>
              <w:t>LFMCW信号</w:t>
            </w:r>
          </w:p>
        </w:tc>
        <w:tc>
          <w:p w14:paraId="4A0F08A6">
            <m:oMathPara>
              <m:oMath>
                <m:sSub>
                  <m:sSubPr/>
                  <m:e>
                    <m:r>
                      <m:rPr/>
                      <m:t>f</m:t>
                    </m:r>
                  </m:e>
                  <m:sub>
                    <m:r>
                      <m:rPr/>
                      <m:t>start</m:t>
                    </m:r>
                  </m:sub>
                </m:sSub>
              </m:oMath>
            </m:oMathPara>
          </w:p>
        </w:tc>
        <w:tc>
          <w:p w14:paraId="10C2790C">
            <w:r>
              <w:rPr>
                <w:rFonts w:hint="eastAsia"/>
              </w:rPr>
              <w:t>扫频起始频率</w:t>
            </w:r>
          </w:p>
        </w:tc>
        <w:tc>
          <w:p w14:paraId="4512B35D">
            <w:r>
              <w:t>34.2</w:t>
            </w:r>
          </w:p>
        </w:tc>
        <w:tc>
          <w:p w14:paraId="41F064C4">
            <w:r>
              <w:t>GHz</w:t>
            </w:r>
          </w:p>
        </w:tc>
      </w:tr>
      <w:tr w14:paraId="75B26B7D">
        <w:tblPrEx>
          <w:tblCellMar>
            <w:top w:w="0" w:type="dxa"/>
            <w:left w:w="108" w:type="dxa"/>
            <w:bottom w:w="0" w:type="dxa"/>
            <w:right w:w="108" w:type="dxa"/>
          </w:tblCellMar>
        </w:tblPrEx>
        <w:tc>
          <w:p w14:paraId="13E36908"/>
        </w:tc>
        <w:tc>
          <w:p w14:paraId="6C93C3E7">
            <m:oMathPara>
              <m:oMath>
                <m:sSub>
                  <m:sSubPr/>
                  <m:e>
                    <m:r>
                      <m:rPr/>
                      <m:t>f</m:t>
                    </m:r>
                  </m:e>
                  <m:sub>
                    <m:r>
                      <m:rPr/>
                      <m:t>end</m:t>
                    </m:r>
                  </m:sub>
                </m:sSub>
              </m:oMath>
            </m:oMathPara>
          </w:p>
        </w:tc>
        <w:tc>
          <w:p w14:paraId="446AA18A">
            <w:r>
              <w:rPr>
                <w:rFonts w:hint="eastAsia"/>
              </w:rPr>
              <w:t>扫频终止频率</w:t>
            </w:r>
          </w:p>
        </w:tc>
        <w:tc>
          <w:p w14:paraId="3C7997F7">
            <w:r>
              <w:t>37.4</w:t>
            </w:r>
          </w:p>
        </w:tc>
        <w:tc>
          <w:p w14:paraId="333FEAD9">
            <w:r>
              <w:t>GHz</w:t>
            </w:r>
          </w:p>
        </w:tc>
      </w:tr>
      <w:tr w14:paraId="0257A5BE">
        <w:tblPrEx>
          <w:tblCellMar>
            <w:top w:w="0" w:type="dxa"/>
            <w:left w:w="108" w:type="dxa"/>
            <w:bottom w:w="0" w:type="dxa"/>
            <w:right w:w="108" w:type="dxa"/>
          </w:tblCellMar>
        </w:tblPrEx>
        <w:tc>
          <w:p w14:paraId="047F09B6"/>
        </w:tc>
        <w:tc>
          <w:p w14:paraId="68732F5A">
            <m:oMathPara>
              <m:oMath>
                <m:r>
                  <m:rPr/>
                  <m:t>B</m:t>
                </m:r>
              </m:oMath>
            </m:oMathPara>
          </w:p>
        </w:tc>
        <w:tc>
          <w:p w14:paraId="11515944">
            <w:r>
              <w:rPr>
                <w:rFonts w:hint="eastAsia"/>
              </w:rPr>
              <w:t>扫频带宽</w:t>
            </w:r>
          </w:p>
        </w:tc>
        <w:tc>
          <w:p w14:paraId="78C0FD73">
            <w:r>
              <w:t>3.2</w:t>
            </w:r>
          </w:p>
        </w:tc>
        <w:tc>
          <w:p w14:paraId="17B5479F">
            <w:r>
              <w:t>GHz</w:t>
            </w:r>
          </w:p>
        </w:tc>
      </w:tr>
      <w:tr w14:paraId="0351AB24">
        <w:tblPrEx>
          <w:tblCellMar>
            <w:top w:w="0" w:type="dxa"/>
            <w:left w:w="108" w:type="dxa"/>
            <w:bottom w:w="0" w:type="dxa"/>
            <w:right w:w="108" w:type="dxa"/>
          </w:tblCellMar>
        </w:tblPrEx>
        <w:tc>
          <w:p w14:paraId="30678D8D"/>
        </w:tc>
        <w:tc>
          <w:p w14:paraId="3A506B37">
            <m:oMathPara>
              <m:oMath>
                <m:sSub>
                  <m:sSubPr/>
                  <m:e>
                    <m:r>
                      <m:rPr/>
                      <m:t>T</m:t>
                    </m:r>
                  </m:e>
                  <m:sub>
                    <m:r>
                      <m:rPr/>
                      <m:t>m</m:t>
                    </m:r>
                  </m:sub>
                </m:sSub>
              </m:oMath>
            </m:oMathPara>
          </w:p>
        </w:tc>
        <w:tc>
          <w:p w14:paraId="51EEC816">
            <w:r>
              <w:rPr>
                <w:rFonts w:hint="eastAsia"/>
              </w:rPr>
              <w:t>调制周期</w:t>
            </w:r>
          </w:p>
        </w:tc>
        <w:tc>
          <w:p w14:paraId="458A61DC">
            <w:r>
              <w:t>50</w:t>
            </w:r>
          </w:p>
        </w:tc>
        <w:tc>
          <w:p w14:paraId="1DD53D5A">
            <m:oMath>
              <m:r>
                <m:rPr/>
                <m:t>μ</m:t>
              </m:r>
            </m:oMath>
            <w:r>
              <w:t>s</w:t>
            </w:r>
          </w:p>
        </w:tc>
      </w:tr>
      <w:tr w14:paraId="5FF03C7A">
        <w:tblPrEx>
          <w:tblCellMar>
            <w:top w:w="0" w:type="dxa"/>
            <w:left w:w="108" w:type="dxa"/>
            <w:bottom w:w="0" w:type="dxa"/>
            <w:right w:w="108" w:type="dxa"/>
          </w:tblCellMar>
        </w:tblPrEx>
        <w:tc>
          <w:p w14:paraId="53E48C13"/>
        </w:tc>
        <w:tc>
          <w:p w14:paraId="231AA210">
            <m:oMathPara>
              <m:oMath>
                <m:r>
                  <m:rPr/>
                  <m:t>K</m:t>
                </m:r>
              </m:oMath>
            </m:oMathPara>
          </w:p>
        </w:tc>
        <w:tc>
          <w:p w14:paraId="635CBAB8">
            <w:r>
              <w:rPr>
                <w:rFonts w:hint="eastAsia"/>
              </w:rPr>
              <w:t>调频斜率</w:t>
            </w:r>
          </w:p>
        </w:tc>
        <w:tc>
          <w:p w14:paraId="35E7B3D3">
            <m:oMathPara>
              <m:oMath>
                <m:r>
                  <m:rPr/>
                  <m:t>6.4</m:t>
                </m:r>
                <m:r>
                  <m:rPr>
                    <m:sty m:val="p"/>
                  </m:rPr>
                  <m:t>×</m:t>
                </m:r>
                <m:sSup>
                  <m:sSupPr/>
                  <m:e>
                    <m:r>
                      <m:rPr/>
                      <m:t>10</m:t>
                    </m:r>
                  </m:e>
                  <m:sup>
                    <m:r>
                      <m:rPr/>
                      <m:t>13</m:t>
                    </m:r>
                  </m:sup>
                </m:sSup>
              </m:oMath>
            </m:oMathPara>
          </w:p>
        </w:tc>
        <w:tc>
          <w:p w14:paraId="32ACFCCE">
            <w:r>
              <w:t>Hz/s</w:t>
            </w:r>
          </w:p>
        </w:tc>
      </w:tr>
      <w:tr w14:paraId="1F9C0972">
        <w:tblPrEx>
          <w:tblCellMar>
            <w:top w:w="0" w:type="dxa"/>
            <w:left w:w="108" w:type="dxa"/>
            <w:bottom w:w="0" w:type="dxa"/>
            <w:right w:w="108" w:type="dxa"/>
          </w:tblCellMar>
        </w:tblPrEx>
        <w:tc>
          <w:p w14:paraId="37553177"/>
        </w:tc>
        <w:tc>
          <w:p w14:paraId="400A9FFF">
            <m:oMathPara>
              <m:oMath>
                <m:sSub>
                  <m:sSubPr/>
                  <m:e>
                    <m:r>
                      <m:rPr/>
                      <m:t>f</m:t>
                    </m:r>
                  </m:e>
                  <m:sub>
                    <m:r>
                      <m:rPr/>
                      <m:t>s</m:t>
                    </m:r>
                  </m:sub>
                </m:sSub>
              </m:oMath>
            </m:oMathPara>
          </w:p>
        </w:tc>
        <w:tc>
          <w:p w14:paraId="2605EB5C">
            <w:r>
              <w:rPr>
                <w:rFonts w:hint="eastAsia"/>
              </w:rPr>
              <w:t>仿真采样率</w:t>
            </w:r>
          </w:p>
        </w:tc>
        <w:tc>
          <w:p w14:paraId="64A2517B">
            <w:r>
              <w:t>80</w:t>
            </w:r>
          </w:p>
        </w:tc>
        <w:tc>
          <w:p w14:paraId="4CF0070A">
            <w:r>
              <w:t>GHz</w:t>
            </w:r>
          </w:p>
        </w:tc>
      </w:tr>
      <w:tr w14:paraId="0CC44D0E">
        <w:tblPrEx>
          <w:tblCellMar>
            <w:top w:w="0" w:type="dxa"/>
            <w:left w:w="108" w:type="dxa"/>
            <w:bottom w:w="0" w:type="dxa"/>
            <w:right w:w="108" w:type="dxa"/>
          </w:tblCellMar>
        </w:tblPrEx>
        <w:tc>
          <w:p w14:paraId="03B70523">
            <w:r>
              <w:rPr>
                <w:rFonts w:hint="eastAsia"/>
                <w:b/>
                <w:bCs/>
              </w:rPr>
              <w:t>等离子体参数</w:t>
            </w:r>
          </w:p>
        </w:tc>
        <w:tc>
          <w:p w14:paraId="5D64B841">
            <m:oMathPara>
              <m:oMath>
                <m:sSub>
                  <m:sSubPr/>
                  <m:e>
                    <m:r>
                      <m:rPr/>
                      <m:t>f</m:t>
                    </m:r>
                  </m:e>
                  <m:sub>
                    <m:r>
                      <m:rPr/>
                      <m:t>p</m:t>
                    </m:r>
                  </m:sub>
                </m:sSub>
              </m:oMath>
            </m:oMathPara>
          </w:p>
        </w:tc>
        <w:tc>
          <w:p w14:paraId="64B2F50D">
            <w:r>
              <w:rPr>
                <w:rFonts w:hint="eastAsia"/>
              </w:rPr>
              <w:t>等离子体截止频率</w:t>
            </w:r>
          </w:p>
        </w:tc>
        <w:tc>
          <w:p w14:paraId="01043043">
            <w:r>
              <w:t>33</w:t>
            </w:r>
          </w:p>
        </w:tc>
        <w:tc>
          <w:p w14:paraId="7C3D3686">
            <w:r>
              <w:t>GHz</w:t>
            </w:r>
          </w:p>
        </w:tc>
      </w:tr>
      <w:tr w14:paraId="0361D548">
        <w:tblPrEx>
          <w:tblCellMar>
            <w:top w:w="0" w:type="dxa"/>
            <w:left w:w="108" w:type="dxa"/>
            <w:bottom w:w="0" w:type="dxa"/>
            <w:right w:w="108" w:type="dxa"/>
          </w:tblCellMar>
        </w:tblPrEx>
        <w:tc>
          <w:p w14:paraId="454353D9"/>
        </w:tc>
        <w:tc>
          <w:p w14:paraId="7DB6D608">
            <m:oMathPara>
              <m:oMath>
                <m:sSub>
                  <m:sSubPr/>
                  <m:e>
                    <m:r>
                      <m:rPr/>
                      <m:t>n</m:t>
                    </m:r>
                  </m:e>
                  <m:sub>
                    <m:r>
                      <m:rPr/>
                      <m:t>e</m:t>
                    </m:r>
                  </m:sub>
                </m:sSub>
              </m:oMath>
            </m:oMathPara>
          </w:p>
        </w:tc>
        <w:tc>
          <w:p w14:paraId="29738D4D">
            <w:r>
              <w:rPr>
                <w:rFonts w:hint="eastAsia"/>
              </w:rPr>
              <w:t>电子密度（由</w:t>
            </w:r>
            <m:oMath>
              <m:sSub>
                <m:sSubPr/>
                <m:e>
                  <m:r>
                    <m:rPr/>
                    <m:t>f</m:t>
                  </m:r>
                </m:e>
                <m:sub>
                  <m:r>
                    <m:rPr/>
                    <m:t>p</m:t>
                  </m:r>
                </m:sub>
              </m:sSub>
            </m:oMath>
            <w:r>
              <w:rPr>
                <w:rFonts w:hint="eastAsia"/>
              </w:rPr>
              <w:t>计算）</w:t>
            </w:r>
          </w:p>
        </w:tc>
        <w:tc>
          <w:p w14:paraId="60438487">
            <m:oMathPara>
              <m:oMath>
                <m:r>
                  <m:rPr/>
                  <m:t>1.3511</m:t>
                </m:r>
                <m:r>
                  <m:rPr>
                    <m:sty m:val="p"/>
                  </m:rPr>
                  <m:t>×</m:t>
                </m:r>
                <m:sSup>
                  <m:sSupPr/>
                  <m:e>
                    <m:r>
                      <m:rPr/>
                      <m:t>10</m:t>
                    </m:r>
                  </m:e>
                  <m:sup>
                    <m:r>
                      <m:rPr/>
                      <m:t>19</m:t>
                    </m:r>
                  </m:sup>
                </m:sSup>
              </m:oMath>
            </m:oMathPara>
          </w:p>
        </w:tc>
        <w:tc>
          <w:p w14:paraId="00E6DC78">
            <w:r>
              <w:t>m</w:t>
            </w:r>
            <m:oMath>
              <m:sSup>
                <m:sSupPr/>
                <m:e>
                  <m:r>
                    <m:rPr/>
                    <m:t>​</m:t>
                  </m:r>
                </m:e>
                <m:sup>
                  <m:r>
                    <m:rPr>
                      <m:sty m:val="p"/>
                    </m:rPr>
                    <m:t>−</m:t>
                  </m:r>
                  <m:r>
                    <m:rPr/>
                    <m:t>3</m:t>
                  </m:r>
                </m:sup>
              </m:sSup>
            </m:oMath>
          </w:p>
        </w:tc>
      </w:tr>
      <w:tr w14:paraId="71A18CED">
        <w:tblPrEx>
          <w:tblCellMar>
            <w:top w:w="0" w:type="dxa"/>
            <w:left w:w="108" w:type="dxa"/>
            <w:bottom w:w="0" w:type="dxa"/>
            <w:right w:w="108" w:type="dxa"/>
          </w:tblCellMar>
        </w:tblPrEx>
        <w:tc>
          <w:p w14:paraId="7F1741E6"/>
        </w:tc>
        <w:tc>
          <w:p w14:paraId="188DEE9D">
            <m:oMathPara>
              <m:oMath>
                <m:sSub>
                  <m:sSubPr/>
                  <m:e>
                    <m:r>
                      <m:rPr/>
                      <m:t>ν</m:t>
                    </m:r>
                  </m:e>
                  <m:sub>
                    <m:r>
                      <m:rPr/>
                      <m:t>e</m:t>
                    </m:r>
                  </m:sub>
                </m:sSub>
              </m:oMath>
            </m:oMathPara>
          </w:p>
        </w:tc>
        <w:tc>
          <w:p w14:paraId="6782F1BE">
            <w:r>
              <w:rPr>
                <w:rFonts w:hint="eastAsia"/>
              </w:rPr>
              <w:t>碰撞频率</w:t>
            </w:r>
          </w:p>
        </w:tc>
        <w:tc>
          <w:p w14:paraId="3FC47C55">
            <w:r>
              <w:t>1.5</w:t>
            </w:r>
          </w:p>
        </w:tc>
        <w:tc>
          <w:p w14:paraId="5F4531CD">
            <w:r>
              <w:t>GHz</w:t>
            </w:r>
          </w:p>
        </w:tc>
      </w:tr>
      <w:tr w14:paraId="78A684CF">
        <w:tblPrEx>
          <w:tblCellMar>
            <w:top w:w="0" w:type="dxa"/>
            <w:left w:w="108" w:type="dxa"/>
            <w:bottom w:w="0" w:type="dxa"/>
            <w:right w:w="108" w:type="dxa"/>
          </w:tblCellMar>
        </w:tblPrEx>
        <w:tc>
          <w:p w14:paraId="6BE20E56"/>
        </w:tc>
        <w:tc>
          <w:p w14:paraId="3FAA4DB8">
            <m:oMathPara>
              <m:oMath>
                <m:r>
                  <m:rPr/>
                  <m:t>d</m:t>
                </m:r>
              </m:oMath>
            </m:oMathPara>
          </w:p>
        </w:tc>
        <w:tc>
          <w:p w14:paraId="5EE8BC26">
            <w:r>
              <w:rPr>
                <w:rFonts w:hint="eastAsia"/>
              </w:rPr>
              <w:t>等离子体层厚度</w:t>
            </w:r>
          </w:p>
        </w:tc>
        <w:tc>
          <w:p w14:paraId="0D3B6B68">
            <w:r>
              <w:t>150</w:t>
            </w:r>
          </w:p>
        </w:tc>
        <w:tc>
          <w:p w14:paraId="5DD3BC29">
            <w:r>
              <w:t>mm</w:t>
            </w:r>
          </w:p>
        </w:tc>
      </w:tr>
      <w:tr w14:paraId="3AF3E11A">
        <w:tblPrEx>
          <w:tblCellMar>
            <w:top w:w="0" w:type="dxa"/>
            <w:left w:w="108" w:type="dxa"/>
            <w:bottom w:w="0" w:type="dxa"/>
            <w:right w:w="108" w:type="dxa"/>
          </w:tblCellMar>
        </w:tblPrEx>
        <w:tc>
          <w:p w14:paraId="26DF6B65">
            <w:r>
              <w:rPr>
                <w:rFonts w:hint="eastAsia"/>
                <w:b/>
                <w:bCs/>
              </w:rPr>
              <w:t>传播路径</w:t>
            </w:r>
          </w:p>
        </w:tc>
        <w:tc>
          <w:p w14:paraId="5D2A8772">
            <m:oMathPara>
              <m:oMath>
                <m:sSub>
                  <m:sSubPr/>
                  <m:e>
                    <m:r>
                      <m:rPr/>
                      <m:t>τ</m:t>
                    </m:r>
                  </m:e>
                  <m:sub>
                    <m:r>
                      <m:rPr/>
                      <m:t>fs</m:t>
                    </m:r>
                  </m:sub>
                </m:sSub>
              </m:oMath>
            </m:oMathPara>
          </w:p>
        </w:tc>
        <w:tc>
          <w:p w14:paraId="3803DAA2">
            <w:r>
              <w:rPr>
                <w:rFonts w:hint="eastAsia"/>
              </w:rPr>
              <w:t>自由空间单程时延</w:t>
            </w:r>
          </w:p>
        </w:tc>
        <w:tc>
          <w:p w14:paraId="3C409673">
            <w:r>
              <w:t>1.75</w:t>
            </w:r>
          </w:p>
        </w:tc>
        <w:tc>
          <w:p w14:paraId="12F9B83F">
            <w:r>
              <w:t>ns</w:t>
            </w:r>
          </w:p>
        </w:tc>
      </w:tr>
      <w:tr w14:paraId="25E5EA9F">
        <w:tblPrEx>
          <w:tblCellMar>
            <w:top w:w="0" w:type="dxa"/>
            <w:left w:w="108" w:type="dxa"/>
            <w:bottom w:w="0" w:type="dxa"/>
            <w:right w:w="108" w:type="dxa"/>
          </w:tblCellMar>
        </w:tblPrEx>
        <w:tc>
          <w:p w14:paraId="7D2965DB"/>
        </w:tc>
        <w:tc>
          <w:p w14:paraId="00DCCC69">
            <m:oMathPara>
              <m:oMath>
                <m:sSub>
                  <m:sSubPr/>
                  <m:e>
                    <m:r>
                      <m:rPr/>
                      <m:t>τ</m:t>
                    </m:r>
                  </m:e>
                  <m:sub>
                    <m:r>
                      <m:rPr/>
                      <m:t>air</m:t>
                    </m:r>
                  </m:sub>
                </m:sSub>
              </m:oMath>
            </m:oMathPara>
          </w:p>
        </w:tc>
        <w:tc>
          <w:p w14:paraId="47BEE708">
            <w:r>
              <w:rPr>
                <w:rFonts w:hint="eastAsia"/>
              </w:rPr>
              <w:t>空气参考信道时延</w:t>
            </w:r>
          </w:p>
        </w:tc>
        <w:tc>
          <w:p w14:paraId="37AEFFDA">
            <w:r>
              <w:t>4</w:t>
            </w:r>
          </w:p>
        </w:tc>
        <w:tc>
          <w:p w14:paraId="583452E0">
            <w:r>
              <w:t>ns</w:t>
            </w:r>
          </w:p>
        </w:tc>
      </w:tr>
      <w:tr w14:paraId="6F8A992C">
        <w:tblPrEx>
          <w:tblCellMar>
            <w:top w:w="0" w:type="dxa"/>
            <w:left w:w="108" w:type="dxa"/>
            <w:bottom w:w="0" w:type="dxa"/>
            <w:right w:w="108" w:type="dxa"/>
          </w:tblCellMar>
        </w:tblPrEx>
        <w:tc>
          <w:p w14:paraId="459A4D73">
            <w:r>
              <w:rPr>
                <w:rFonts w:hint="eastAsia"/>
                <w:b/>
                <w:bCs/>
              </w:rPr>
              <w:t>噪声模型</w:t>
            </w:r>
          </w:p>
        </w:tc>
        <w:tc>
          <w:p w14:paraId="061D641B">
            <w:r>
              <w:t>SNR</w:t>
            </w:r>
          </w:p>
        </w:tc>
        <w:tc>
          <w:p w14:paraId="2EF15027">
            <w:r>
              <w:rPr>
                <w:rFonts w:hint="eastAsia"/>
              </w:rPr>
              <w:t>射频端信噪比</w:t>
            </w:r>
          </w:p>
        </w:tc>
        <w:tc>
          <w:p w14:paraId="726F6B5C">
            <w:r>
              <w:t>20</w:t>
            </w:r>
          </w:p>
        </w:tc>
        <w:tc>
          <w:p w14:paraId="7101AABA">
            <w:r>
              <w:t>dB</w:t>
            </w:r>
          </w:p>
        </w:tc>
      </w:tr>
      <w:tr w14:paraId="4800F4B1">
        <w:tblPrEx>
          <w:tblCellMar>
            <w:top w:w="0" w:type="dxa"/>
            <w:left w:w="108" w:type="dxa"/>
            <w:bottom w:w="0" w:type="dxa"/>
            <w:right w:w="108" w:type="dxa"/>
          </w:tblCellMar>
        </w:tblPrEx>
        <w:tc>
          <w:p w14:paraId="6AEB32A1"/>
        </w:tc>
        <w:tc>
          <w:p w14:paraId="5320C787">
            <m:oMathPara>
              <m:oMath>
                <m:sSub>
                  <m:sSubPr/>
                  <m:e>
                    <m:r>
                      <m:rPr/>
                      <m:t>P</m:t>
                    </m:r>
                  </m:e>
                  <m:sub>
                    <m:r>
                      <m:rPr/>
                      <m:t>n</m:t>
                    </m:r>
                  </m:sub>
                </m:sSub>
              </m:oMath>
            </m:oMathPara>
          </w:p>
        </w:tc>
        <w:tc>
          <w:p w14:paraId="545BB891">
            <w:r>
              <w:rPr>
                <w:rFonts w:hint="eastAsia"/>
              </w:rPr>
              <w:t>噪声功率</w:t>
            </w:r>
          </w:p>
        </w:tc>
        <w:tc>
          <w:p w14:paraId="6524A8EA">
            <m:oMathPara>
              <m:oMath>
                <m:sSub>
                  <m:sSubPr/>
                  <m:e>
                    <m:r>
                      <m:rPr/>
                      <m:t>P</m:t>
                    </m:r>
                  </m:e>
                  <m:sub>
                    <m:r>
                      <m:rPr/>
                      <m:t>s</m:t>
                    </m:r>
                  </m:sub>
                </m:sSub>
                <m:r>
                  <m:rPr>
                    <m:sty m:val="p"/>
                  </m:rPr>
                  <m:t>/</m:t>
                </m:r>
                <m:sSup>
                  <m:sSupPr/>
                  <m:e>
                    <m:r>
                      <m:rPr/>
                      <m:t>10</m:t>
                    </m:r>
                  </m:e>
                  <m:sup>
                    <m:r>
                      <m:rPr/>
                      <m:t>2</m:t>
                    </m:r>
                  </m:sup>
                </m:sSup>
              </m:oMath>
            </m:oMathPara>
          </w:p>
        </w:tc>
        <w:tc>
          <w:p w14:paraId="666BAA6E">
            <w:r>
              <w:t>W</w:t>
            </w:r>
          </w:p>
        </w:tc>
      </w:tr>
      <w:tr w14:paraId="1FDA9827">
        <w:tblPrEx>
          <w:tblCellMar>
            <w:top w:w="0" w:type="dxa"/>
            <w:left w:w="108" w:type="dxa"/>
            <w:bottom w:w="0" w:type="dxa"/>
            <w:right w:w="108" w:type="dxa"/>
          </w:tblCellMar>
        </w:tblPrEx>
        <w:tc>
          <w:p w14:paraId="6EEECE8C">
            <w:r>
              <w:rPr>
                <w:rFonts w:hint="eastAsia"/>
                <w:b/>
                <w:bCs/>
              </w:rPr>
              <w:t>ESPRIT参数</w:t>
            </w:r>
          </w:p>
        </w:tc>
        <w:tc>
          <w:p w14:paraId="7234F8F1">
            <m:oMathPara>
              <m:oMath>
                <m:sSub>
                  <m:sSubPr/>
                  <m:e>
                    <m:r>
                      <m:rPr/>
                      <m:t>T</m:t>
                    </m:r>
                  </m:e>
                  <m:sub>
                    <m:r>
                      <m:rPr/>
                      <m:t>w</m:t>
                    </m:r>
                  </m:sub>
                </m:sSub>
              </m:oMath>
            </m:oMathPara>
          </w:p>
        </w:tc>
        <w:tc>
          <w:p w14:paraId="37DD8A33">
            <w:r>
              <w:rPr>
                <w:rFonts w:hint="eastAsia"/>
              </w:rPr>
              <w:t>滑动窗口时长</w:t>
            </w:r>
          </w:p>
        </w:tc>
        <w:tc>
          <w:p w14:paraId="45E4BAA4">
            <w:r>
              <w:t>12</w:t>
            </w:r>
          </w:p>
        </w:tc>
        <w:tc>
          <w:p w14:paraId="0C007114">
            <m:oMath>
              <m:r>
                <m:rPr/>
                <m:t>μ</m:t>
              </m:r>
            </m:oMath>
            <w:r>
              <w:t>s</w:t>
            </w:r>
          </w:p>
        </w:tc>
      </w:tr>
      <w:tr w14:paraId="64E54937">
        <w:tblPrEx>
          <w:tblCellMar>
            <w:top w:w="0" w:type="dxa"/>
            <w:left w:w="108" w:type="dxa"/>
            <w:bottom w:w="0" w:type="dxa"/>
            <w:right w:w="108" w:type="dxa"/>
          </w:tblCellMar>
        </w:tblPrEx>
        <w:tc>
          <w:p w14:paraId="160F2259"/>
        </w:tc>
        <w:tc>
          <w:p w14:paraId="1C06FC46">
            <w:r>
              <w:rPr>
                <w:rFonts w:hint="eastAsia"/>
              </w:rPr>
              <w:t>重叠率</w:t>
            </w:r>
          </w:p>
        </w:tc>
        <w:tc>
          <w:p w14:paraId="0EB65F54">
            <w:r>
              <w:rPr>
                <w:rFonts w:hint="eastAsia"/>
              </w:rPr>
              <w:t>窗口重叠比例</w:t>
            </w:r>
          </w:p>
        </w:tc>
        <w:tc>
          <w:p w14:paraId="4FC30018">
            <w:r>
              <w:t>90</w:t>
            </w:r>
          </w:p>
        </w:tc>
        <w:tc>
          <w:p w14:paraId="5EE7AAC1">
            <w:r>
              <w:t>%</w:t>
            </w:r>
          </w:p>
        </w:tc>
      </w:tr>
      <w:tr w14:paraId="4BBF6A2C">
        <w:tblPrEx>
          <w:tblCellMar>
            <w:top w:w="0" w:type="dxa"/>
            <w:left w:w="108" w:type="dxa"/>
            <w:bottom w:w="0" w:type="dxa"/>
            <w:right w:w="108" w:type="dxa"/>
          </w:tblCellMar>
        </w:tblPrEx>
        <w:tc>
          <w:p w14:paraId="22065B6B">
            <w:r>
              <w:rPr>
                <w:rFonts w:hint="eastAsia"/>
                <w:b/>
                <w:bCs/>
              </w:rPr>
              <w:t>MCMC参数</w:t>
            </w:r>
          </w:p>
        </w:tc>
        <w:tc>
          <w:p w14:paraId="6EC24A6E">
            <m:oMathPara>
              <m:oMath>
                <m:sSub>
                  <m:sSubPr/>
                  <m:e>
                    <m:r>
                      <m:rPr/>
                      <m:t>N</m:t>
                    </m:r>
                  </m:e>
                  <m:sub>
                    <m:r>
                      <m:rPr/>
                      <m:t>samples</m:t>
                    </m:r>
                  </m:sub>
                </m:sSub>
              </m:oMath>
            </m:oMathPara>
          </w:p>
        </w:tc>
        <w:tc>
          <w:p w14:paraId="4E67EF54">
            <w:r>
              <w:rPr>
                <w:rFonts w:hint="eastAsia"/>
              </w:rPr>
              <w:t>总采样次数</w:t>
            </w:r>
          </w:p>
        </w:tc>
        <w:tc>
          <w:p w14:paraId="1DBDEE6A">
            <w:r>
              <w:t>10000</w:t>
            </w:r>
          </w:p>
        </w:tc>
        <w:tc>
          <w:p w14:paraId="1BBCFCDC">
            <w:r>
              <w:rPr>
                <w:rFonts w:hint="eastAsia"/>
              </w:rPr>
              <w:t>次</w:t>
            </w:r>
          </w:p>
        </w:tc>
      </w:tr>
      <w:tr w14:paraId="57FE81C0">
        <w:tblPrEx>
          <w:tblCellMar>
            <w:top w:w="0" w:type="dxa"/>
            <w:left w:w="108" w:type="dxa"/>
            <w:bottom w:w="0" w:type="dxa"/>
            <w:right w:w="108" w:type="dxa"/>
          </w:tblCellMar>
        </w:tblPrEx>
        <w:tc>
          <w:p w14:paraId="08F94EDF"/>
        </w:tc>
        <w:tc>
          <w:p w14:paraId="49B03D13">
            <m:oMathPara>
              <m:oMath>
                <m:sSub>
                  <m:sSubPr/>
                  <m:e>
                    <m:r>
                      <m:rPr/>
                      <m:t>N</m:t>
                    </m:r>
                  </m:e>
                  <m:sub>
                    <m:r>
                      <m:rPr/>
                      <m:t>burn</m:t>
                    </m:r>
                  </m:sub>
                </m:sSub>
              </m:oMath>
            </m:oMathPara>
          </w:p>
        </w:tc>
        <w:tc>
          <w:p w14:paraId="6673A9B8">
            <w:r>
              <w:rPr>
                <w:rFonts w:hint="eastAsia"/>
              </w:rPr>
              <w:t>预烧期</w:t>
            </w:r>
          </w:p>
        </w:tc>
        <w:tc>
          <w:p w14:paraId="52D85D3D">
            <w:r>
              <w:t>2000</w:t>
            </w:r>
          </w:p>
        </w:tc>
        <w:tc>
          <w:p w14:paraId="1C8EBD64">
            <w:r>
              <w:rPr>
                <w:rFonts w:hint="eastAsia"/>
              </w:rPr>
              <w:t>次</w:t>
            </w:r>
          </w:p>
        </w:tc>
      </w:tr>
    </w:tbl>
    <w:p w14:paraId="4C43D26D">
      <w:r>
        <w:rPr>
          <w:rFonts w:hint="eastAsia"/>
        </w:rPr>
        <w:t>MCMC预烧期的选取依据迹线图诊断：经多次实验观察，采样链在约1500次迭代后进入平稳态，故选取</w:t>
      </w:r>
      <m:oMath>
        <m:sSub>
          <m:sSubPr/>
          <m:e>
            <m:r>
              <m:rPr/>
              <m:t>N</m:t>
            </m:r>
          </m:e>
          <m:sub>
            <m:r>
              <m:rPr/>
              <m:t>burn</m:t>
            </m:r>
          </m:sub>
        </m:sSub>
        <m:r>
          <m:rPr>
            <m:sty m:val="p"/>
          </m:rPr>
          <m:t>=</m:t>
        </m:r>
        <m:r>
          <m:rPr/>
          <m:t>2000</m:t>
        </m:r>
      </m:oMath>
      <w:r>
        <w:rPr>
          <w:rFonts w:hint="eastAsia"/>
        </w:rPr>
        <w:t>作为保守预烧期，确保丢弃初始化偏差的影响。</w:t>
      </w:r>
    </w:p>
    <w:p w14:paraId="22D794FB">
      <w:r>
        <w:rPr>
          <w:rFonts w:hint="eastAsia"/>
        </w:rPr>
        <w:t>上述参数配置确保探测频率</w:t>
      </w:r>
      <m:oMath>
        <m:r>
          <m:rPr/>
          <m:t>f</m:t>
        </m:r>
        <m:r>
          <m:rPr>
            <m:sty m:val="p"/>
          </m:rPr>
          <m:t>∈[</m:t>
        </m:r>
        <m:r>
          <m:rPr/>
          <m:t>34.2</m:t>
        </m:r>
        <m:r>
          <m:rPr>
            <m:sty m:val="p"/>
          </m:rPr>
          <m:t>,</m:t>
        </m:r>
        <m:r>
          <m:rPr/>
          <m:t>37.4</m:t>
        </m:r>
        <m:r>
          <m:rPr>
            <m:sty m:val="p"/>
          </m:rPr>
          <m:t>]</m:t>
        </m:r>
      </m:oMath>
      <w:r>
        <w:t xml:space="preserve"> </w:t>
      </w:r>
      <w:r>
        <w:rPr>
          <w:rFonts w:hint="eastAsia"/>
        </w:rPr>
        <w:t>GHz与截止频率</w:t>
      </w:r>
      <m:oMath>
        <m:sSub>
          <m:sSubPr/>
          <m:e>
            <m:r>
              <m:rPr/>
              <m:t>f</m:t>
            </m:r>
          </m:e>
          <m:sub>
            <m:r>
              <m:rPr/>
              <m:t>p</m:t>
            </m:r>
          </m:sub>
        </m:sSub>
        <m:r>
          <m:rPr>
            <m:sty m:val="p"/>
          </m:rPr>
          <m:t>=</m:t>
        </m:r>
        <m:r>
          <m:rPr/>
          <m:t>33</m:t>
        </m:r>
      </m:oMath>
      <w:r>
        <w:t xml:space="preserve"> </w:t>
      </w:r>
      <w:r>
        <w:rPr>
          <w:rFonts w:hint="eastAsia"/>
        </w:rPr>
        <w:t>GHz之间满足</w:t>
      </w:r>
      <m:oMath>
        <m:r>
          <m:rPr/>
          <m:t>f</m:t>
        </m:r>
        <m:r>
          <m:rPr>
            <m:sty m:val="p"/>
          </m:rPr>
          <m:t>&gt;</m:t>
        </m:r>
        <m:sSub>
          <m:sSubPr/>
          <m:e>
            <m:r>
              <m:rPr/>
              <m:t>f</m:t>
            </m:r>
          </m:e>
          <m:sub>
            <m:r>
              <m:rPr/>
              <m:t>p</m:t>
            </m:r>
          </m:sub>
        </m:sSub>
      </m:oMath>
      <w:r>
        <w:rPr>
          <w:rFonts w:hint="eastAsia"/>
        </w:rPr>
        <w:t>的透射条件；若与表4-5中的截止频率扫描范围</w:t>
      </w:r>
      <m:oMath>
        <m:sSub>
          <m:sSubPr/>
          <m:e>
            <m:r>
              <m:rPr/>
              <m:t>f</m:t>
            </m:r>
          </m:e>
          <m:sub>
            <m:r>
              <m:rPr/>
              <m:t>p</m:t>
            </m:r>
          </m:sub>
        </m:sSub>
        <m:r>
          <m:rPr>
            <m:sty m:val="p"/>
          </m:rPr>
          <m:t>∈[</m:t>
        </m:r>
        <m:r>
          <m:rPr/>
          <m:t>20</m:t>
        </m:r>
        <m:r>
          <m:rPr>
            <m:sty m:val="p"/>
          </m:rPr>
          <m:t>,</m:t>
        </m:r>
        <m:r>
          <m:rPr/>
          <m:t>33</m:t>
        </m:r>
        <m:r>
          <m:rPr>
            <m:sty m:val="p"/>
          </m:rPr>
          <m:t>]</m:t>
        </m:r>
      </m:oMath>
      <w:r>
        <w:t xml:space="preserve"> </w:t>
      </w:r>
      <w:r>
        <w:rPr>
          <w:rFonts w:hint="eastAsia"/>
        </w:rPr>
        <w:t>GHz对应，则在同一探测频带下有</w:t>
      </w:r>
      <m:oMath>
        <m:r>
          <m:rPr>
            <m:sty m:val="p"/>
          </m:rPr>
          <m:t>(</m:t>
        </m:r>
        <m:sSub>
          <m:sSubPr/>
          <m:e>
            <m:r>
              <m:rPr/>
              <m:t>f</m:t>
            </m:r>
          </m:e>
          <m:sub>
            <m:r>
              <m:rPr/>
              <m:t>p</m:t>
            </m:r>
          </m:sub>
        </m:sSub>
        <m:r>
          <m:rPr>
            <m:sty m:val="p"/>
          </m:rPr>
          <m:t>/</m:t>
        </m:r>
        <m:r>
          <m:rPr/>
          <m:t>f</m:t>
        </m:r>
        <m:sSup>
          <m:sSupPr/>
          <m:e>
            <m:r>
              <m:rPr>
                <m:sty m:val="p"/>
              </m:rPr>
              <m:t>)</m:t>
            </m:r>
          </m:e>
          <m:sup>
            <m:r>
              <m:rPr/>
              <m:t>2</m:t>
            </m:r>
          </m:sup>
        </m:sSup>
        <m:r>
          <m:rPr>
            <m:sty m:val="p"/>
          </m:rPr>
          <m:t>∈[</m:t>
        </m:r>
        <m:r>
          <m:rPr/>
          <m:t>0.286</m:t>
        </m:r>
        <m:r>
          <m:rPr>
            <m:sty m:val="p"/>
          </m:rPr>
          <m:t>,</m:t>
        </m:r>
        <m:r>
          <m:rPr/>
          <m:t>0.931</m:t>
        </m:r>
        <m:r>
          <m:rPr>
            <m:sty m:val="p"/>
          </m:rPr>
          <m:t>]</m:t>
        </m:r>
      </m:oMath>
      <w:r>
        <w:rPr>
          <w:rFonts w:hint="eastAsia"/>
        </w:rPr>
        <w:t>（约28.6%–93.1%），其中本节标准工况</w:t>
      </w:r>
      <m:oMath>
        <m:sSub>
          <m:sSubPr/>
          <m:e>
            <m:r>
              <m:rPr/>
              <m:t>f</m:t>
            </m:r>
          </m:e>
          <m:sub>
            <m:r>
              <m:rPr/>
              <m:t>p</m:t>
            </m:r>
          </m:sub>
        </m:sSub>
        <m:r>
          <m:rPr>
            <m:sty m:val="p"/>
          </m:rPr>
          <m:t>=</m:t>
        </m:r>
        <m:r>
          <m:rPr/>
          <m:t>33</m:t>
        </m:r>
      </m:oMath>
      <w:r>
        <w:t xml:space="preserve"> </w:t>
      </w:r>
      <w:r>
        <w:rPr>
          <w:rFonts w:hint="eastAsia"/>
        </w:rPr>
        <w:t>GHz对应</w:t>
      </w:r>
      <m:oMath>
        <m:r>
          <m:rPr>
            <m:sty m:val="p"/>
          </m:rPr>
          <m:t>(</m:t>
        </m:r>
        <m:sSub>
          <m:sSubPr/>
          <m:e>
            <m:r>
              <m:rPr/>
              <m:t>f</m:t>
            </m:r>
          </m:e>
          <m:sub>
            <m:r>
              <m:rPr/>
              <m:t>p</m:t>
            </m:r>
          </m:sub>
        </m:sSub>
        <m:r>
          <m:rPr>
            <m:sty m:val="p"/>
          </m:rPr>
          <m:t>/</m:t>
        </m:r>
        <m:r>
          <m:rPr/>
          <m:t>f</m:t>
        </m:r>
        <m:sSup>
          <m:sSupPr/>
          <m:e>
            <m:r>
              <m:rPr>
                <m:sty m:val="p"/>
              </m:rPr>
              <m:t>)</m:t>
            </m:r>
          </m:e>
          <m:sup>
            <m:r>
              <m:rPr/>
              <m:t>2</m:t>
            </m:r>
          </m:sup>
        </m:sSup>
        <m:r>
          <m:rPr>
            <m:sty m:val="p"/>
          </m:rPr>
          <m:t>∈[</m:t>
        </m:r>
        <m:r>
          <m:rPr/>
          <m:t>0.779</m:t>
        </m:r>
        <m:r>
          <m:rPr>
            <m:sty m:val="p"/>
          </m:rPr>
          <m:t>,</m:t>
        </m:r>
        <m:r>
          <m:rPr/>
          <m:t>0.931</m:t>
        </m:r>
        <m:r>
          <m:rPr>
            <m:sty m:val="p"/>
          </m:rPr>
          <m:t>]</m:t>
        </m:r>
      </m:oMath>
      <w:r>
        <w:rPr>
          <w:rFonts w:hint="eastAsia"/>
        </w:rPr>
        <w:t>（约77.9%–93.1%），覆盖了从中等色散到强色散的宽动态范围，为验证算法在接近截止频率极限条件下的性能提供了严苛的测试场景。</w:t>
      </w:r>
    </w:p>
    <w:bookmarkEnd w:id="73"/>
    <w:p w14:paraId="6F15E809">
      <w:pPr>
        <w:pStyle w:val="5"/>
      </w:pPr>
      <w:bookmarkStart w:id="74" w:name="噪声模型射频端加性高斯白噪声"/>
      <w:r>
        <w:rPr>
          <w:rFonts w:hint="eastAsia"/>
        </w:rPr>
        <w:t>噪声模型：射频端加性高斯白噪声</w:t>
      </w:r>
    </w:p>
    <w:p w14:paraId="2122D545">
      <w:r>
        <w:rPr>
          <w:rFonts w:hint="eastAsia"/>
        </w:rPr>
        <w:t>为模拟真实的电磁环境，本节在接收天线端口处的时域回波信号</w:t>
      </w:r>
      <m:oMath>
        <m:sSub>
          <m:sSubPr/>
          <m:e>
            <m:r>
              <m:rPr/>
              <m:t>s</m:t>
            </m:r>
          </m:e>
          <m:sub>
            <m:r>
              <m:rPr/>
              <m:t>RX</m:t>
            </m:r>
          </m:sub>
        </m:sSub>
        <m:r>
          <m:rPr>
            <m:sty m:val="p"/>
          </m:rPr>
          <m:t>(</m:t>
        </m:r>
        <m:r>
          <m:rPr/>
          <m:t>t</m:t>
        </m:r>
        <m:r>
          <m:rPr>
            <m:sty m:val="p"/>
          </m:rPr>
          <m:t>)</m:t>
        </m:r>
      </m:oMath>
      <w:r>
        <w:rPr>
          <w:rFonts w:hint="eastAsia"/>
        </w:rPr>
        <w:t>上叠加加性高斯白噪声（AWGN）。</w:t>
      </w:r>
      <w:r>
        <w:rPr>
          <w:rFonts w:hint="eastAsia"/>
          <w:b w:val="0"/>
          <w:bCs w:val="0"/>
        </w:rPr>
        <w:t>噪声注入位置选在混频之前的射频端口</w:t>
      </w:r>
      <w:r>
        <w:rPr>
          <w:rFonts w:hint="eastAsia"/>
        </w:rPr>
        <w:t>，而非直接在差频信号上加噪，这一设计符合实际接收机的物理链路模型，能够真实反映非线性混频过程对噪声的传递效应。</w:t>
      </w:r>
    </w:p>
    <w:p w14:paraId="103156BB">
      <w:r>
        <w:rPr>
          <w:rFonts w:hint="eastAsia"/>
        </w:rPr>
        <w:t>噪声信号的功率由信噪比关系确定：</w:t>
      </w:r>
    </w:p>
    <w:p w14:paraId="40FA54AA">
      <w:r>
        <w:t xml:space="preserve"> </w:t>
      </w:r>
    </w:p>
    <w:p w14:paraId="3BE280FD">
      <w:pPr>
        <w:pStyle w:val="44"/>
        <w:spacing w:before="0" w:after="0" w:line="400" w:lineRule="atLeast"/>
      </w:pPr>
      <w:r>
        <w:tab/>
      </w:r>
      <m:oMath>
        <m:sSub>
          <m:sSubPr/>
          <m:e>
            <m:r>
              <m:rPr>
                <m:nor/>
                <m:sty m:val="p"/>
              </m:rPr>
              <w:rPr>
                <w:b w:val="0"/>
                <w:i w:val="0"/>
              </w:rPr>
              <m:t>SNR</m:t>
            </m:r>
          </m:e>
          <m:sub>
            <m:r>
              <m:rPr>
                <m:nor/>
                <m:sty m:val="p"/>
              </m:rPr>
              <w:rPr>
                <w:b w:val="0"/>
                <w:i w:val="0"/>
              </w:rPr>
              <m:t>dB</m:t>
            </m:r>
          </m:sub>
        </m:sSub>
        <m:r>
          <m:rPr>
            <m:sty m:val="p"/>
          </m:rPr>
          <m:t>=</m:t>
        </m:r>
        <m:r>
          <m:rPr/>
          <m:t>10</m:t>
        </m:r>
        <m:sSub>
          <m:sSubPr/>
          <m:e>
            <m:r>
              <m:rPr>
                <m:sty m:val="p"/>
              </m:rPr>
              <m:t>log</m:t>
            </m:r>
          </m:e>
          <m:sub>
            <m:r>
              <m:rPr/>
              <m:t>10</m:t>
            </m:r>
          </m:sub>
        </m:sSub>
        <m:f>
          <m:fPr/>
          <m:num>
            <m:sSub>
              <m:sSubPr/>
              <m:e>
                <m:r>
                  <m:rPr/>
                  <m:t>P</m:t>
                </m:r>
              </m:e>
              <m:sub>
                <m:r>
                  <m:rPr/>
                  <m:t>s</m:t>
                </m:r>
              </m:sub>
            </m:sSub>
          </m:num>
          <m:den>
            <m:sSub>
              <m:sSubPr/>
              <m:e>
                <m:r>
                  <m:rPr/>
                  <m:t>P</m:t>
                </m:r>
              </m:e>
              <m:sub>
                <m:r>
                  <m:rPr/>
                  <m:t>n</m:t>
                </m:r>
              </m:sub>
            </m:sSub>
          </m:den>
        </m:f>
        <m:r>
          <m:rPr>
            <m:sty m:val="p"/>
          </m:rPr>
          <m:t>⇒</m:t>
        </m:r>
        <m:sSub>
          <m:sSubPr/>
          <m:e>
            <m:r>
              <m:rPr/>
              <m:t>P</m:t>
            </m:r>
          </m:e>
          <m:sub>
            <m:r>
              <m:rPr/>
              <m:t>n</m:t>
            </m:r>
          </m:sub>
        </m:sSub>
        <m:r>
          <m:rPr>
            <m:sty m:val="p"/>
          </m:rPr>
          <m:t>=</m:t>
        </m:r>
        <m:f>
          <m:fPr/>
          <m:num>
            <m:sSub>
              <m:sSubPr/>
              <m:e>
                <m:r>
                  <m:rPr/>
                  <m:t>P</m:t>
                </m:r>
              </m:e>
              <m:sub>
                <m:r>
                  <m:rPr/>
                  <m:t>s</m:t>
                </m:r>
              </m:sub>
            </m:sSub>
          </m:num>
          <m:den>
            <m:sSup>
              <m:sSupPr/>
              <m:e>
                <m:r>
                  <m:rPr/>
                  <m:t>10</m:t>
                </m:r>
              </m:e>
              <m:sup>
                <m:sSub>
                  <m:sSubPr/>
                  <m:e>
                    <m:r>
                      <m:rPr>
                        <m:nor/>
                        <m:sty m:val="p"/>
                      </m:rPr>
                      <w:rPr>
                        <w:b w:val="0"/>
                        <w:i w:val="0"/>
                      </w:rPr>
                      <m:t>SNR</m:t>
                    </m:r>
                  </m:e>
                  <m:sub>
                    <m:r>
                      <m:rPr>
                        <m:nor/>
                        <m:sty m:val="p"/>
                      </m:rPr>
                      <w:rPr>
                        <w:b w:val="0"/>
                        <w:i w:val="0"/>
                      </w:rPr>
                      <m:t>dB</m:t>
                    </m:r>
                  </m:sub>
                </m:sSub>
                <m:r>
                  <m:rPr>
                    <m:sty m:val="p"/>
                  </m:rPr>
                  <m:t>/</m:t>
                </m:r>
                <m:r>
                  <m:rPr/>
                  <m:t>10</m:t>
                </m:r>
              </m:sup>
            </m:sSup>
          </m:den>
        </m:f>
      </m:oMath>
      <w:r>
        <w:tab/>
      </w:r>
      <w:r>
        <w:t>(4</w:t>
      </w:r>
      <w:r>
        <w:noBreakHyphen/>
      </w:r>
      <w:r>
        <w:t>53)</w:t>
      </w:r>
    </w:p>
    <w:p w14:paraId="11931BDB">
      <w:r>
        <w:t xml:space="preserve"> </w:t>
      </w:r>
    </w:p>
    <w:p w14:paraId="655A4EA7">
      <w:r>
        <w:rPr>
          <w:rFonts w:hint="eastAsia"/>
        </w:rPr>
        <w:t>其中</w:t>
      </w:r>
      <m:oMath>
        <m:sSub>
          <m:sSubPr/>
          <m:e>
            <m:r>
              <m:rPr/>
              <m:t>P</m:t>
            </m:r>
          </m:e>
          <m:sub>
            <m:r>
              <m:rPr/>
              <m:t>s</m:t>
            </m:r>
          </m:sub>
        </m:sSub>
        <m:r>
          <m:rPr>
            <m:sty m:val="p"/>
          </m:rPr>
          <m:t>=</m:t>
        </m:r>
        <m:r>
          <m:rPr>
            <m:nor/>
            <m:sty m:val="p"/>
          </m:rPr>
          <m:t>mean</m:t>
        </m:r>
        <m:r>
          <m:rPr>
            <m:sty m:val="p"/>
          </m:rPr>
          <m:t>(</m:t>
        </m:r>
        <m:sSubSup>
          <m:sSubSupPr/>
          <m:e>
            <m:r>
              <m:rPr/>
              <m:t>s</m:t>
            </m:r>
          </m:e>
          <m:sub>
            <m:r>
              <m:rPr/>
              <m:t>RX</m:t>
            </m:r>
          </m:sub>
          <m:sup>
            <m:r>
              <m:rPr/>
              <m:t>2</m:t>
            </m:r>
          </m:sup>
        </m:sSubSup>
        <m:r>
          <m:rPr>
            <m:sty m:val="p"/>
          </m:rPr>
          <m:t>(</m:t>
        </m:r>
        <m:r>
          <m:rPr/>
          <m:t>t</m:t>
        </m:r>
        <m:r>
          <m:rPr>
            <m:sty m:val="p"/>
          </m:rPr>
          <m:t>))</m:t>
        </m:r>
      </m:oMath>
      <w:r>
        <w:rPr>
          <w:rFonts w:hint="eastAsia"/>
        </w:rPr>
        <w:t>为接收信号的平均功率。噪声采样自零均值高斯分布：</w:t>
      </w:r>
    </w:p>
    <w:p w14:paraId="300B8709">
      <w:r>
        <w:t xml:space="preserve"> </w:t>
      </w:r>
    </w:p>
    <w:p w14:paraId="6EF8BA3A">
      <w:pPr>
        <w:pStyle w:val="44"/>
        <w:spacing w:before="0" w:after="0" w:line="400" w:lineRule="atLeast"/>
      </w:pPr>
      <w:r>
        <w:tab/>
      </w:r>
      <m:oMath>
        <m:r>
          <m:rPr/>
          <m:t>n</m:t>
        </m:r>
        <m:r>
          <m:rPr>
            <m:sty m:val="p"/>
          </m:rPr>
          <m:t>(</m:t>
        </m:r>
        <m:r>
          <m:rPr/>
          <m:t>t</m:t>
        </m:r>
        <m:r>
          <m:rPr>
            <m:sty m:val="p"/>
          </m:rPr>
          <m:t>)∼</m:t>
        </m:r>
        <m:r>
          <m:rPr>
            <m:sty m:val="p"/>
            <m:scr m:val="script"/>
          </m:rPr>
          <m:t>N</m:t>
        </m:r>
        <m:r>
          <m:rPr>
            <m:sty m:val="p"/>
          </m:rPr>
          <m:t>(</m:t>
        </m:r>
        <m:r>
          <m:rPr/>
          <m:t>0</m:t>
        </m:r>
        <m:r>
          <m:rPr>
            <m:sty m:val="p"/>
          </m:rPr>
          <m:t>,</m:t>
        </m:r>
        <m:sSubSup>
          <m:sSubSupPr/>
          <m:e>
            <m:r>
              <m:rPr/>
              <m:t>σ</m:t>
            </m:r>
          </m:e>
          <m:sub>
            <m:r>
              <m:rPr/>
              <m:t>n</m:t>
            </m:r>
          </m:sub>
          <m:sup>
            <m:r>
              <m:rPr/>
              <m:t>2</m:t>
            </m:r>
          </m:sup>
        </m:sSubSup>
        <m:r>
          <m:rPr>
            <m:sty m:val="p"/>
          </m:rPr>
          <m:t>),</m:t>
        </m:r>
        <m:sSub>
          <m:sSubPr/>
          <m:e>
            <m:r>
              <m:rPr/>
              <m:t>σ</m:t>
            </m:r>
          </m:e>
          <m:sub>
            <m:r>
              <m:rPr/>
              <m:t>n</m:t>
            </m:r>
          </m:sub>
        </m:sSub>
        <m:r>
          <m:rPr>
            <m:sty m:val="p"/>
          </m:rPr>
          <m:t>=</m:t>
        </m:r>
        <m:rad>
          <m:radPr>
            <m:degHide m:val="1"/>
          </m:radPr>
          <m:deg/>
          <m:e>
            <m:sSub>
              <m:sSubPr/>
              <m:e>
                <m:r>
                  <m:rPr/>
                  <m:t>P</m:t>
                </m:r>
              </m:e>
              <m:sub>
                <m:r>
                  <m:rPr/>
                  <m:t>n</m:t>
                </m:r>
              </m:sub>
            </m:sSub>
          </m:e>
        </m:rad>
      </m:oMath>
      <w:r>
        <w:tab/>
      </w:r>
      <w:r>
        <w:t>(4</w:t>
      </w:r>
      <w:r>
        <w:noBreakHyphen/>
      </w:r>
      <w:r>
        <w:t>54)</w:t>
      </w:r>
    </w:p>
    <w:p w14:paraId="097F6466">
      <w:r>
        <w:t xml:space="preserve"> </w:t>
      </w:r>
    </w:p>
    <w:p w14:paraId="5936B117">
      <w:r>
        <w:rPr>
          <w:rFonts w:hint="eastAsia"/>
        </w:rPr>
        <w:t>含噪接收信号表示为</w:t>
      </w:r>
      <m:oMath>
        <m:sSub>
          <m:sSubPr/>
          <m:e>
            <m:r>
              <m:rPr/>
              <m:t>s</m:t>
            </m:r>
          </m:e>
          <m:sub>
            <m:r>
              <m:rPr/>
              <m:t>RX</m:t>
            </m:r>
            <m:r>
              <m:rPr>
                <m:sty m:val="p"/>
              </m:rPr>
              <m:t>,</m:t>
            </m:r>
            <m:r>
              <m:rPr/>
              <m:t>noisy</m:t>
            </m:r>
          </m:sub>
        </m:sSub>
        <m:r>
          <m:rPr>
            <m:sty m:val="p"/>
          </m:rPr>
          <m:t>(</m:t>
        </m:r>
        <m:r>
          <m:rPr/>
          <m:t>t</m:t>
        </m:r>
        <m:r>
          <m:rPr>
            <m:sty m:val="p"/>
          </m:rPr>
          <m:t>)=</m:t>
        </m:r>
        <m:sSub>
          <m:sSubPr/>
          <m:e>
            <m:r>
              <m:rPr/>
              <m:t>s</m:t>
            </m:r>
          </m:e>
          <m:sub>
            <m:r>
              <m:rPr/>
              <m:t>RX</m:t>
            </m:r>
          </m:sub>
        </m:sSub>
        <m:r>
          <m:rPr>
            <m:sty m:val="p"/>
          </m:rPr>
          <m:t>(</m:t>
        </m:r>
        <m:r>
          <m:rPr/>
          <m:t>t</m:t>
        </m:r>
        <m:r>
          <m:rPr>
            <m:sty m:val="p"/>
          </m:rPr>
          <m:t>)+</m:t>
        </m:r>
        <m:r>
          <m:rPr/>
          <m:t>n</m:t>
        </m:r>
        <m:r>
          <m:rPr>
            <m:sty m:val="p"/>
          </m:rPr>
          <m:t>(</m:t>
        </m:r>
        <m:r>
          <m:rPr/>
          <m:t>t</m:t>
        </m:r>
        <m:r>
          <m:rPr>
            <m:sty m:val="p"/>
          </m:rPr>
          <m:t>)</m:t>
        </m:r>
      </m:oMath>
      <w:r>
        <w:rPr>
          <w:rFonts w:hint="eastAsia"/>
        </w:rPr>
        <w:t>。设定信噪比SNR</w:t>
      </w:r>
      <w:r>
        <w:t xml:space="preserve"> = 20 </w:t>
      </w:r>
      <w:r>
        <w:rPr>
          <w:rFonts w:hint="eastAsia"/>
        </w:rPr>
        <w:t>dB作为标准测试条件，这涵盖了热噪声、量化噪声及环境杂波的综合影响，代表了典型雷达接收环境的噪声水平。值得指出的是，由于混频增益和低通滤波的带宽限制，差频信号的等效信噪比通常会高于射频端SNR（即存在处理增益）。因此，射频端20</w:t>
      </w:r>
      <w:r>
        <w:t xml:space="preserve"> </w:t>
      </w:r>
      <w:r>
        <w:rPr>
          <w:rFonts w:hint="eastAsia"/>
        </w:rPr>
        <w:t>dB对应着一个较为恶劣的实际工况，这一设置进一步验证了算法的抗噪能力。后续鲁棒性测试将扫描SNR从10</w:t>
      </w:r>
      <w:r>
        <w:t xml:space="preserve"> </w:t>
      </w:r>
      <w:r>
        <w:rPr>
          <w:rFonts w:hint="eastAsia"/>
        </w:rPr>
        <w:t>dB至30</w:t>
      </w:r>
      <w:r>
        <w:t xml:space="preserve"> </w:t>
      </w:r>
      <w:r>
        <w:rPr>
          <w:rFonts w:hint="eastAsia"/>
        </w:rPr>
        <w:t>dB，系统评估算法在不同噪声水平下的性能退化规律。</w:t>
      </w:r>
    </w:p>
    <w:p w14:paraId="38100693">
      <w:r>
        <w:rPr>
          <w:rFonts w:hint="eastAsia"/>
        </w:rPr>
        <w:t>为避免表格编号与叙述顺序交叉，SNR扫描的数值结果在后文“鲁棒性测试”部分集中给出（见表4-6）。</w:t>
      </w:r>
    </w:p>
    <w:bookmarkEnd w:id="74"/>
    <w:p w14:paraId="122B1A70">
      <w:pPr>
        <w:pStyle w:val="5"/>
      </w:pPr>
      <w:bookmarkStart w:id="75" w:name="等离子体信道的频域精确仿真"/>
      <w:r>
        <w:rPr>
          <w:rFonts w:hint="eastAsia"/>
        </w:rPr>
        <w:t>等离子体信道的频域精确仿真</w:t>
      </w:r>
    </w:p>
    <w:p w14:paraId="7E0F625E">
      <w:r>
        <w:rPr>
          <w:rFonts w:hint="eastAsia"/>
        </w:rPr>
        <w:t>信号传播采用频域精确仿真方法，并与仿真脚本保持一致地采用</w:t>
      </w:r>
      <w:r>
        <w:rPr>
          <w:rFonts w:hint="eastAsia"/>
          <w:b/>
          <w:bCs/>
        </w:rPr>
        <w:t>三段式传播模型</w:t>
      </w:r>
      <w:r>
        <w:rPr>
          <w:rFonts w:hint="eastAsia"/>
        </w:rPr>
        <w:t>：发射信号先经过自由空间段1（固定时延</w:t>
      </w:r>
      <m:oMath>
        <m:sSub>
          <m:sSubPr/>
          <m:e>
            <m:r>
              <m:rPr/>
              <m:t>τ</m:t>
            </m:r>
          </m:e>
          <m:sub>
            <m:r>
              <m:rPr/>
              <m:t>fs</m:t>
            </m:r>
          </m:sub>
        </m:sSub>
        <m:r>
          <m:rPr>
            <m:sty m:val="p"/>
          </m:rPr>
          <m:t>=</m:t>
        </m:r>
        <m:r>
          <m:rPr/>
          <m:t>1.75</m:t>
        </m:r>
      </m:oMath>
      <w:r>
        <w:t xml:space="preserve"> </w:t>
      </w:r>
      <w:r>
        <w:rPr>
          <w:rFonts w:hint="eastAsia"/>
        </w:rPr>
        <w:t>ns）到达等离子体层入口，随后穿过厚度为</w:t>
      </w:r>
      <m:oMath>
        <m:r>
          <m:rPr/>
          <m:t>d</m:t>
        </m:r>
      </m:oMath>
      <w:r>
        <w:rPr>
          <w:rFonts w:hint="eastAsia"/>
        </w:rPr>
        <w:t>的等离子体层，最后再经过自由空间段2（同样为</w:t>
      </w:r>
      <m:oMath>
        <m:sSub>
          <m:sSubPr/>
          <m:e>
            <m:r>
              <m:rPr/>
              <m:t>τ</m:t>
            </m:r>
          </m:e>
          <m:sub>
            <m:r>
              <m:rPr/>
              <m:t>fs</m:t>
            </m:r>
          </m:sub>
        </m:sSub>
      </m:oMath>
      <w:r>
        <w:rPr>
          <w:rFonts w:hint="eastAsia"/>
        </w:rPr>
        <w:t>）到达接收端。空气参考信道则用固定时延</w:t>
      </w:r>
      <m:oMath>
        <m:sSub>
          <m:sSubPr/>
          <m:e>
            <m:r>
              <m:rPr/>
              <m:t>τ</m:t>
            </m:r>
          </m:e>
          <m:sub>
            <m:r>
              <m:rPr/>
              <m:t>air</m:t>
            </m:r>
          </m:sub>
        </m:sSub>
      </m:oMath>
      <w:r>
        <w:rPr>
          <w:rFonts w:hint="eastAsia"/>
        </w:rPr>
        <w:t>表征。</w:t>
      </w:r>
    </w:p>
    <w:p w14:paraId="20D33C56">
      <w:r>
        <w:rPr>
          <w:rFonts w:hint="eastAsia"/>
        </w:rPr>
        <w:t>在频域中，等离子体层的传递函数由Drude模型复介电常数导出：</w:t>
      </w:r>
    </w:p>
    <w:p w14:paraId="45750939">
      <w:r>
        <w:t xml:space="preserve"> </w:t>
      </w:r>
    </w:p>
    <w:p w14:paraId="1B1334A2">
      <w:pPr>
        <w:pStyle w:val="44"/>
        <w:spacing w:before="0" w:after="0" w:line="400" w:lineRule="atLeast"/>
      </w:pPr>
      <w:r>
        <w:tab/>
      </w:r>
      <m:oMath>
        <m:sSub>
          <m:sSubPr/>
          <m:e>
            <m:r>
              <m:rPr/>
              <m:t>H</m:t>
            </m:r>
          </m:e>
          <m:sub>
            <m:r>
              <m:rPr/>
              <m:t>plasma</m:t>
            </m:r>
          </m:sub>
        </m:sSub>
        <m:r>
          <m:rPr>
            <m:sty m:val="p"/>
          </m:rPr>
          <m:t>(</m:t>
        </m:r>
        <m:r>
          <m:rPr/>
          <m:t>ω</m:t>
        </m:r>
        <m:r>
          <m:rPr>
            <m:sty m:val="p"/>
          </m:rPr>
          <m:t>)=exp</m:t>
        </m:r>
        <m:d>
          <m:dPr>
            <m:begChr m:val="["/>
            <m:sepChr m:val=""/>
            <m:endChr m:val="]"/>
          </m:dPr>
          <m:e>
            <m:r>
              <m:rPr>
                <m:sty m:val="p"/>
              </m:rPr>
              <m:t>−</m:t>
            </m:r>
            <m:r>
              <m:rPr/>
              <m:t>j</m:t>
            </m:r>
            <m:r>
              <m:rPr>
                <m:sty m:val="p"/>
              </m:rPr>
              <m:t>⋅</m:t>
            </m:r>
            <m:r>
              <m:rPr>
                <m:nor/>
                <m:sty m:val="p"/>
              </m:rPr>
              <m:t>Re</m:t>
            </m:r>
            <m:r>
              <m:rPr>
                <m:sty m:val="p"/>
              </m:rPr>
              <m:t>{</m:t>
            </m:r>
            <m:acc>
              <m:accPr>
                <m:chr m:val="̃"/>
              </m:accPr>
              <m:e>
                <m:r>
                  <m:rPr/>
                  <m:t>k</m:t>
                </m:r>
              </m:e>
            </m:acc>
            <m:r>
              <m:rPr>
                <m:sty m:val="p"/>
              </m:rPr>
              <m:t>(</m:t>
            </m:r>
            <m:r>
              <m:rPr/>
              <m:t>ω</m:t>
            </m:r>
            <m:r>
              <m:rPr>
                <m:sty m:val="p"/>
              </m:rPr>
              <m:t>)}⋅</m:t>
            </m:r>
            <m:r>
              <m:rPr/>
              <m:t>d</m:t>
            </m:r>
            <m:r>
              <m:rPr>
                <m:sty m:val="p"/>
              </m:rPr>
              <m:t>−|</m:t>
            </m:r>
            <m:r>
              <m:rPr>
                <m:nor/>
                <m:sty m:val="p"/>
              </m:rPr>
              <m:t>Im</m:t>
            </m:r>
            <m:r>
              <m:rPr>
                <m:sty m:val="p"/>
              </m:rPr>
              <m:t>{</m:t>
            </m:r>
            <m:acc>
              <m:accPr>
                <m:chr m:val="̃"/>
              </m:accPr>
              <m:e>
                <m:r>
                  <m:rPr/>
                  <m:t>k</m:t>
                </m:r>
              </m:e>
            </m:acc>
            <m:r>
              <m:rPr>
                <m:sty m:val="p"/>
              </m:rPr>
              <m:t>(</m:t>
            </m:r>
            <m:r>
              <m:rPr/>
              <m:t>ω</m:t>
            </m:r>
            <m:r>
              <m:rPr>
                <m:sty m:val="p"/>
              </m:rPr>
              <m:t>)}|⋅</m:t>
            </m:r>
            <m:r>
              <m:rPr/>
              <m:t>d</m:t>
            </m:r>
          </m:e>
        </m:d>
      </m:oMath>
      <w:r>
        <w:tab/>
      </w:r>
      <w:r>
        <w:t>(4</w:t>
      </w:r>
      <w:r>
        <w:noBreakHyphen/>
      </w:r>
      <w:r>
        <w:t>55)</w:t>
      </w:r>
    </w:p>
    <w:p w14:paraId="614A9D28">
      <w:r>
        <w:t xml:space="preserve"> </w:t>
      </w:r>
    </w:p>
    <w:p w14:paraId="5E7FBA53">
      <w:r>
        <w:rPr>
          <w:rFonts w:hint="eastAsia"/>
        </w:rPr>
        <w:t>其中复波数</w:t>
      </w:r>
      <m:oMath>
        <m:acc>
          <m:accPr>
            <m:chr m:val="̃"/>
          </m:accPr>
          <m:e>
            <m:r>
              <m:rPr/>
              <m:t>k</m:t>
            </m:r>
          </m:e>
        </m:acc>
        <m:r>
          <m:rPr>
            <m:sty m:val="p"/>
          </m:rPr>
          <m:t>(</m:t>
        </m:r>
        <m:r>
          <m:rPr/>
          <m:t>ω</m:t>
        </m:r>
        <m:r>
          <m:rPr>
            <m:sty m:val="p"/>
          </m:rPr>
          <m:t>)=(</m:t>
        </m:r>
        <m:r>
          <m:rPr/>
          <m:t>ω</m:t>
        </m:r>
        <m:r>
          <m:rPr>
            <m:sty m:val="p"/>
          </m:rPr>
          <m:t>/</m:t>
        </m:r>
        <m:r>
          <m:rPr/>
          <m:t>c</m:t>
        </m:r>
        <m:r>
          <m:rPr>
            <m:sty m:val="p"/>
          </m:rPr>
          <m:t>)</m:t>
        </m:r>
        <m:rad>
          <m:radPr>
            <m:degHide m:val="1"/>
          </m:radPr>
          <m:deg/>
          <m:e>
            <m:sSub>
              <m:sSubPr/>
              <m:e>
                <m:acc>
                  <m:accPr>
                    <m:chr m:val="̃"/>
                  </m:accPr>
                  <m:e>
                    <m:r>
                      <m:rPr/>
                      <m:t>ε</m:t>
                    </m:r>
                  </m:e>
                </m:acc>
              </m:e>
              <m:sub>
                <m:r>
                  <m:rPr/>
                  <m:t>r</m:t>
                </m:r>
              </m:sub>
            </m:sSub>
            <m:r>
              <m:rPr>
                <m:sty m:val="p"/>
              </m:rPr>
              <m:t>(</m:t>
            </m:r>
            <m:r>
              <m:rPr/>
              <m:t>ω</m:t>
            </m:r>
            <m:r>
              <m:rPr>
                <m:sty m:val="p"/>
              </m:rPr>
              <m:t>)</m:t>
            </m:r>
          </m:e>
        </m:rad>
      </m:oMath>
      <w:r>
        <w:rPr>
          <w:rFonts w:hint="eastAsia"/>
        </w:rPr>
        <w:t>，复介电常数由式(3-1)给出。式(4-55)的第一项描述相位延迟（决定群时延），第二项描述幅度衰减（决定传输损耗）。衰减项采用虚部绝对值</w:t>
      </w:r>
      <m:oMath>
        <m:r>
          <m:rPr>
            <m:sty m:val="p"/>
          </m:rPr>
          <m:t>|</m:t>
        </m:r>
        <m:r>
          <m:rPr>
            <m:nor/>
            <m:sty m:val="p"/>
          </m:rPr>
          <m:t>Im</m:t>
        </m:r>
        <m:r>
          <m:rPr>
            <m:sty m:val="p"/>
          </m:rPr>
          <m:t>{</m:t>
        </m:r>
        <m:acc>
          <m:accPr>
            <m:chr m:val="̃"/>
          </m:accPr>
          <m:e>
            <m:r>
              <m:rPr/>
              <m:t>k</m:t>
            </m:r>
          </m:e>
        </m:acc>
        <m:r>
          <m:rPr>
            <m:sty m:val="p"/>
          </m:rPr>
          <m:t>}|</m:t>
        </m:r>
      </m:oMath>
      <w:r>
        <w:rPr>
          <w:rFonts w:hint="eastAsia"/>
        </w:rPr>
        <w:t>以确保在整个频域内信号幅度单调递减，避免数值伪增益。</w:t>
      </w:r>
    </w:p>
    <w:p w14:paraId="5D835903">
      <w:r>
        <w:rPr>
          <w:rFonts w:hint="eastAsia"/>
        </w:rPr>
        <w:t>因此，等离子体信道的总传递函数可写为</w:t>
      </w:r>
    </w:p>
    <w:p w14:paraId="0C7E9A7E">
      <m:oMathPara>
        <m:oMathParaPr>
          <m:jc m:val="center"/>
        </m:oMathParaPr>
        <m:oMath>
          <m:sSub>
            <m:sSubPr/>
            <m:e>
              <m:r>
                <m:rPr/>
                <m:t>H</m:t>
              </m:r>
            </m:e>
            <m:sub>
              <m:r>
                <m:rPr/>
                <m:t>total</m:t>
              </m:r>
            </m:sub>
          </m:sSub>
          <m:r>
            <m:rPr>
              <m:sty m:val="p"/>
            </m:rPr>
            <m:t>(</m:t>
          </m:r>
          <m:r>
            <m:rPr/>
            <m:t>ω</m:t>
          </m:r>
          <m:r>
            <m:rPr>
              <m:sty m:val="p"/>
            </m:rPr>
            <m:t>)=</m:t>
          </m:r>
          <m:sSup>
            <m:sSupPr/>
            <m:e>
              <m:r>
                <m:rPr/>
                <m:t>e</m:t>
              </m:r>
            </m:e>
            <m:sup>
              <m:r>
                <m:rPr>
                  <m:sty m:val="p"/>
                </m:rPr>
                <m:t>−</m:t>
              </m:r>
              <m:r>
                <m:rPr/>
                <m:t>jω</m:t>
              </m:r>
              <m:sSub>
                <m:sSubPr/>
                <m:e>
                  <m:r>
                    <m:rPr/>
                    <m:t>τ</m:t>
                  </m:r>
                </m:e>
                <m:sub>
                  <m:r>
                    <m:rPr/>
                    <m:t>fs</m:t>
                  </m:r>
                </m:sub>
              </m:sSub>
            </m:sup>
          </m:sSup>
          <m:r>
            <m:rPr>
              <m:sty m:val="p"/>
            </m:rPr>
            <m:t>⋅</m:t>
          </m:r>
          <m:sSub>
            <m:sSubPr/>
            <m:e>
              <m:r>
                <m:rPr/>
                <m:t>H</m:t>
              </m:r>
            </m:e>
            <m:sub>
              <m:r>
                <m:rPr/>
                <m:t>plasma</m:t>
              </m:r>
            </m:sub>
          </m:sSub>
          <m:r>
            <m:rPr>
              <m:sty m:val="p"/>
            </m:rPr>
            <m:t>(</m:t>
          </m:r>
          <m:r>
            <m:rPr/>
            <m:t>ω</m:t>
          </m:r>
          <m:r>
            <m:rPr>
              <m:sty m:val="p"/>
            </m:rPr>
            <m:t>)⋅</m:t>
          </m:r>
          <m:sSup>
            <m:sSupPr/>
            <m:e>
              <m:r>
                <m:rPr/>
                <m:t>e</m:t>
              </m:r>
            </m:e>
            <m:sup>
              <m:r>
                <m:rPr>
                  <m:sty m:val="p"/>
                </m:rPr>
                <m:t>−</m:t>
              </m:r>
              <m:r>
                <m:rPr/>
                <m:t>jω</m:t>
              </m:r>
              <m:sSub>
                <m:sSubPr/>
                <m:e>
                  <m:r>
                    <m:rPr/>
                    <m:t>τ</m:t>
                  </m:r>
                </m:e>
                <m:sub>
                  <m:r>
                    <m:rPr/>
                    <m:t>fs</m:t>
                  </m:r>
                </m:sub>
              </m:sSub>
            </m:sup>
          </m:sSup>
          <m:r>
            <m:rPr>
              <m:sty m:val="p"/>
            </m:rPr>
            <m:t>=</m:t>
          </m:r>
          <m:sSub>
            <m:sSubPr/>
            <m:e>
              <m:r>
                <m:rPr/>
                <m:t>H</m:t>
              </m:r>
            </m:e>
            <m:sub>
              <m:r>
                <m:rPr/>
                <m:t>plasma</m:t>
              </m:r>
            </m:sub>
          </m:sSub>
          <m:r>
            <m:rPr>
              <m:sty m:val="p"/>
            </m:rPr>
            <m:t>(</m:t>
          </m:r>
          <m:r>
            <m:rPr/>
            <m:t>ω</m:t>
          </m:r>
          <m:r>
            <m:rPr>
              <m:sty m:val="p"/>
            </m:rPr>
            <m:t>)</m:t>
          </m:r>
          <m:r>
            <m:rPr/>
            <m:t> </m:t>
          </m:r>
          <m:sSup>
            <m:sSupPr/>
            <m:e>
              <m:r>
                <m:rPr/>
                <m:t>e</m:t>
              </m:r>
            </m:e>
            <m:sup>
              <m:r>
                <m:rPr>
                  <m:sty m:val="p"/>
                </m:rPr>
                <m:t>−</m:t>
              </m:r>
              <m:r>
                <m:rPr/>
                <m:t>jω</m:t>
              </m:r>
              <m:r>
                <m:rPr>
                  <m:sty m:val="p"/>
                </m:rPr>
                <m:t>(</m:t>
              </m:r>
              <m:r>
                <m:rPr/>
                <m:t>2</m:t>
              </m:r>
              <m:sSub>
                <m:sSubPr/>
                <m:e>
                  <m:r>
                    <m:rPr/>
                    <m:t>τ</m:t>
                  </m:r>
                </m:e>
                <m:sub>
                  <m:r>
                    <m:rPr/>
                    <m:t>fs</m:t>
                  </m:r>
                </m:sub>
              </m:sSub>
              <m:r>
                <m:rPr>
                  <m:sty m:val="p"/>
                </m:rPr>
                <m:t>)</m:t>
              </m:r>
            </m:sup>
          </m:sSup>
        </m:oMath>
      </m:oMathPara>
    </w:p>
    <w:p w14:paraId="7AD11A22">
      <w:r>
        <w:rPr>
          <w:rFonts w:hint="eastAsia"/>
        </w:rPr>
        <w:t>对应的时域实现即为：对发射信号施加两次固定采样延迟以表示两段自由空间传播，并在频域乘以</w:t>
      </w:r>
      <m:oMath>
        <m:sSub>
          <m:sSubPr/>
          <m:e>
            <m:r>
              <m:rPr/>
              <m:t>H</m:t>
            </m:r>
          </m:e>
          <m:sub>
            <m:r>
              <m:rPr/>
              <m:t>plasma</m:t>
            </m:r>
          </m:sub>
        </m:sSub>
        <m:r>
          <m:rPr>
            <m:sty m:val="p"/>
          </m:rPr>
          <m:t>(</m:t>
        </m:r>
        <m:r>
          <m:rPr/>
          <m:t>ω</m:t>
        </m:r>
        <m:r>
          <m:rPr>
            <m:sty m:val="p"/>
          </m:rPr>
          <m:t>)</m:t>
        </m:r>
      </m:oMath>
      <w:r>
        <w:rPr>
          <w:rFonts w:hint="eastAsia"/>
        </w:rPr>
        <w:t>以表示等离子体层色散与阻尼。</w:t>
      </w:r>
    </w:p>
    <w:p w14:paraId="707852C6"/>
    <w:bookmarkEnd w:id="72"/>
    <w:bookmarkEnd w:id="75"/>
    <w:p w14:paraId="1425CD95">
      <w:pPr>
        <w:pStyle w:val="4"/>
      </w:pPr>
      <w:bookmarkStart w:id="76" w:name="特征提取框架验证高精度轨迹重构的必要性"/>
      <w:r>
        <w:rPr>
          <w:rFonts w:hint="eastAsia"/>
        </w:rPr>
        <w:t>特征提取框架验证：高精度轨迹重构的必要性</w:t>
      </w:r>
    </w:p>
    <w:p w14:paraId="5D2A021D">
      <w:r>
        <w:rPr>
          <w:rFonts w:hint="eastAsia"/>
        </w:rPr>
        <w:t>需要强调的是,本文并非把ESPRIT简单当作FFT的“高分辨率替代”,而是借助“滑动窗口—MDL—ESPRIT”的局部平稳化处理重构差频信号的时频轨迹,从而为后续</w:t>
      </w:r>
      <m:oMath>
        <m:sSub>
          <m:sSubPr/>
          <m:e>
            <m:r>
              <m:rPr/>
              <m:t>n</m:t>
            </m:r>
          </m:e>
          <m:sub>
            <m:r>
              <m:rPr/>
              <m:t>e</m:t>
            </m:r>
          </m:sub>
        </m:sSub>
      </m:oMath>
      <w:r>
        <w:rPr>
          <w:rFonts w:hint="eastAsia"/>
        </w:rPr>
        <w:t>反演提供可靠观测输入。因此,本节聚焦的不是算法名词本身,而是</w:t>
      </w:r>
      <w:r>
        <w:rPr>
          <w:rFonts w:hint="eastAsia"/>
          <w:b/>
          <w:bCs/>
        </w:rPr>
        <w:t>轨迹重构是否足够准确</w:t>
      </w:r>
      <w:r>
        <w:rPr>
          <w:rFonts w:hint="eastAsia"/>
        </w:rPr>
        <w:t>,并据此验证后续贝叶斯反演是否建立在可信数据之上。</w:t>
      </w:r>
    </w:p>
    <w:p w14:paraId="1A5A8D7F">
      <w:pPr>
        <w:pStyle w:val="5"/>
      </w:pPr>
      <w:bookmarkStart w:id="77" w:name="信号处理流程与差频信号时频特性"/>
      <w:r>
        <w:rPr>
          <w:rFonts w:hint="eastAsia"/>
        </w:rPr>
        <w:t>信号处理流程与差频信号时频特性</w:t>
      </w:r>
    </w:p>
    <w:p w14:paraId="0A46D7E3">
      <w:r>
        <w:rPr>
          <w:rFonts w:hint="eastAsia"/>
        </w:rPr>
        <w:t>为避免后续对比分析仅停留在“算法层面”，本小节先给出本文仿真中所采用的LFMCW等离子体诊断信号处理链路。整体流程为：生成LFMCW发射信号</w:t>
      </w:r>
      <m:oMath>
        <m:sSub>
          <m:sSubPr/>
          <m:e>
            <m:r>
              <m:rPr/>
              <m:t>s</m:t>
            </m:r>
          </m:e>
          <m:sub>
            <m:r>
              <m:rPr/>
              <m:t>TX</m:t>
            </m:r>
          </m:sub>
        </m:sSub>
        <m:r>
          <m:rPr>
            <m:sty m:val="p"/>
          </m:rPr>
          <m:t>(</m:t>
        </m:r>
        <m:r>
          <m:rPr/>
          <m:t>t</m:t>
        </m:r>
        <m:r>
          <m:rPr>
            <m:sty m:val="p"/>
          </m:rPr>
          <m:t>)</m:t>
        </m:r>
      </m:oMath>
      <w:r>
        <w:rPr>
          <w:rFonts w:hint="eastAsia"/>
        </w:rPr>
        <w:t>；经“三段式传播模型”（自由空间</w:t>
      </w:r>
      <m:oMath>
        <m:sSub>
          <m:sSubPr/>
          <m:e>
            <m:r>
              <m:rPr/>
              <m:t>τ</m:t>
            </m:r>
          </m:e>
          <m:sub>
            <m:r>
              <m:rPr/>
              <m:t>fs</m:t>
            </m:r>
          </m:sub>
        </m:sSub>
      </m:oMath>
      <w:r>
        <w:rPr>
          <w:rFonts w:hint="eastAsia"/>
        </w:rPr>
        <w:t>—等离子体层</w:t>
      </w:r>
      <m:oMath>
        <m:sSub>
          <m:sSubPr/>
          <m:e>
            <m:r>
              <m:rPr/>
              <m:t>H</m:t>
            </m:r>
          </m:e>
          <m:sub>
            <m:r>
              <m:rPr/>
              <m:t>plasma</m:t>
            </m:r>
          </m:sub>
        </m:sSub>
      </m:oMath>
      <w:r>
        <w:rPr>
          <w:rFonts w:hint="eastAsia"/>
        </w:rPr>
        <w:t>—自由空间</w:t>
      </w:r>
      <m:oMath>
        <m:sSub>
          <m:sSubPr/>
          <m:e>
            <m:r>
              <m:rPr/>
              <m:t>τ</m:t>
            </m:r>
          </m:e>
          <m:sub>
            <m:r>
              <m:rPr/>
              <m:t>fs</m:t>
            </m:r>
          </m:sub>
        </m:sSub>
      </m:oMath>
      <w:r>
        <w:rPr>
          <w:rFonts w:hint="eastAsia"/>
        </w:rPr>
        <w:t>）得到含噪接收信号</w:t>
      </w:r>
      <m:oMath>
        <m:sSub>
          <m:sSubPr/>
          <m:e>
            <m:r>
              <m:rPr/>
              <m:t>s</m:t>
            </m:r>
          </m:e>
          <m:sub>
            <m:r>
              <m:rPr/>
              <m:t>RX</m:t>
            </m:r>
          </m:sub>
        </m:sSub>
        <m:r>
          <m:rPr>
            <m:sty m:val="p"/>
          </m:rPr>
          <m:t>(</m:t>
        </m:r>
        <m:r>
          <m:rPr/>
          <m:t>t</m:t>
        </m:r>
        <m:r>
          <m:rPr>
            <m:sty m:val="p"/>
          </m:rPr>
          <m:t>)</m:t>
        </m:r>
      </m:oMath>
      <w:r>
        <w:rPr>
          <w:rFonts w:hint="eastAsia"/>
        </w:rPr>
        <w:t>；随后在接收机端进行去斜混频（dechirp）并通过低通滤波得到差频信号</w:t>
      </w:r>
      <m:oMath>
        <m:sSub>
          <m:sSubPr/>
          <m:e>
            <m:r>
              <m:rPr/>
              <m:t>s</m:t>
            </m:r>
          </m:e>
          <m:sub>
            <m:r>
              <m:rPr/>
              <m:t>IF</m:t>
            </m:r>
          </m:sub>
        </m:sSub>
        <m:r>
          <m:rPr>
            <m:sty m:val="p"/>
          </m:rPr>
          <m:t>(</m:t>
        </m:r>
        <m:r>
          <m:rPr/>
          <m:t>t</m:t>
        </m:r>
        <m:r>
          <m:rPr>
            <m:sty m:val="p"/>
          </m:rPr>
          <m:t>)</m:t>
        </m:r>
      </m:oMath>
      <w:r>
        <w:rPr>
          <w:rFonts w:hint="eastAsia"/>
        </w:rPr>
        <w:t>；最后对</w:t>
      </w:r>
      <m:oMath>
        <m:sSub>
          <m:sSubPr/>
          <m:e>
            <m:r>
              <m:rPr/>
              <m:t>s</m:t>
            </m:r>
          </m:e>
          <m:sub>
            <m:r>
              <m:rPr/>
              <m:t>IF</m:t>
            </m:r>
          </m:sub>
        </m:sSub>
        <m:r>
          <m:rPr>
            <m:sty m:val="p"/>
          </m:rPr>
          <m:t>(</m:t>
        </m:r>
        <m:r>
          <m:rPr/>
          <m:t>t</m:t>
        </m:r>
        <m:r>
          <m:rPr>
            <m:sty m:val="p"/>
          </m:rPr>
          <m:t>)</m:t>
        </m:r>
      </m:oMath>
      <w:r>
        <w:rPr>
          <w:rFonts w:hint="eastAsia"/>
        </w:rPr>
        <w:t>实施滑动窗口分帧，提取瞬时频率/等效时延特征供后续FFT或ESPRIT处理。</w:t>
      </w:r>
    </w:p>
    <w:p w14:paraId="770E0EEC">
      <w:r>
        <w:drawing>
          <wp:inline distT="0" distB="0" distL="114300" distR="114300">
            <wp:extent cx="5753100" cy="2301240"/>
            <wp:effectExtent l="0" t="0" r="0" b="0"/>
            <wp:docPr id="2120017852" name="Picture" descr="图4-9(a) 发射与接收信号（含噪）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17852" name="Picture" descr="图4-9(a) 发射与接收信号（含噪）对比"/>
                    <pic:cNvPicPr>
                      <a:picLocks noChangeAspect="1" noChangeArrowheads="1"/>
                    </pic:cNvPicPr>
                  </pic:nvPicPr>
                  <pic:blipFill>
                    <a:blip r:embed="rId24"/>
                    <a:stretch>
                      <a:fillRect/>
                    </a:stretch>
                  </pic:blipFill>
                  <pic:spPr>
                    <a:xfrm>
                      <a:off x="0" y="0"/>
                      <a:ext cx="5753100" cy="2301240"/>
                    </a:xfrm>
                    <a:prstGeom prst="rect">
                      <a:avLst/>
                    </a:prstGeom>
                    <a:noFill/>
                    <a:ln w="9525">
                      <a:noFill/>
                    </a:ln>
                  </pic:spPr>
                </pic:pic>
              </a:graphicData>
            </a:graphic>
          </wp:inline>
        </w:drawing>
      </w:r>
    </w:p>
    <w:p w14:paraId="074A8714">
      <w:r>
        <w:rPr>
          <w:rFonts w:hint="eastAsia"/>
        </w:rPr>
        <w:t>图4-9(a)</w:t>
      </w:r>
      <w:r>
        <w:t xml:space="preserve"> </w:t>
      </w:r>
      <w:r>
        <w:rPr>
          <w:rFonts w:hint="eastAsia"/>
        </w:rPr>
        <w:t>发射与接收信号（含噪）对比</w:t>
      </w:r>
    </w:p>
    <w:p w14:paraId="5BAF1448">
      <w:r>
        <w:drawing>
          <wp:inline distT="0" distB="0" distL="114300" distR="114300">
            <wp:extent cx="5753100" cy="4027170"/>
            <wp:effectExtent l="0" t="0" r="0" b="0"/>
            <wp:docPr id="2120017854" name="Picture" descr="图4-9(b) 差频信号的时频特性与局部分析窗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17854" name="Picture" descr="图4-9(b) 差频信号的时频特性与局部分析窗口"/>
                    <pic:cNvPicPr>
                      <a:picLocks noChangeAspect="1" noChangeArrowheads="1"/>
                    </pic:cNvPicPr>
                  </pic:nvPicPr>
                  <pic:blipFill>
                    <a:blip r:embed="rId25"/>
                    <a:stretch>
                      <a:fillRect/>
                    </a:stretch>
                  </pic:blipFill>
                  <pic:spPr>
                    <a:xfrm>
                      <a:off x="0" y="0"/>
                      <a:ext cx="5753100" cy="4027170"/>
                    </a:xfrm>
                    <a:prstGeom prst="rect">
                      <a:avLst/>
                    </a:prstGeom>
                    <a:noFill/>
                    <a:ln w="9525">
                      <a:noFill/>
                    </a:ln>
                  </pic:spPr>
                </pic:pic>
              </a:graphicData>
            </a:graphic>
          </wp:inline>
        </w:drawing>
      </w:r>
    </w:p>
    <w:p w14:paraId="2976491F">
      <w:r>
        <w:rPr>
          <w:rFonts w:hint="eastAsia"/>
        </w:rPr>
        <w:t>图4-9(b)</w:t>
      </w:r>
      <w:r>
        <w:t xml:space="preserve"> </w:t>
      </w:r>
      <w:r>
        <w:rPr>
          <w:rFonts w:hint="eastAsia"/>
        </w:rPr>
        <w:t>差频信号的时频特性与局部分析窗口</w:t>
      </w:r>
    </w:p>
    <w:p w14:paraId="550E06B6">
      <w:r>
        <w:rPr>
          <w:rFonts w:hint="eastAsia"/>
        </w:rPr>
        <w:t>图4-9(a)直观展示了等离子体信道对回波的幅度与相位影响：与发射信号相比，接收信号在频域上出现明显的幅度滚降与相位畸变（由Drude色散与碰撞阻尼共同决定），且叠加噪声后时域波形呈现随机扰动。图4-9(b)进一步表明：在强色散工况下，差频信号不再是稳态单频正弦，而呈现显著的时变调频（Chirp）特征。基于该观察，本文采用“滑动窗口—MDL—ESPRIT”的局部平稳化策略：在微秒量级的短时窗口内近似为窄带信号，从而能够可靠估计瞬时差频并映射为频率—时延轨迹。</w:t>
      </w:r>
    </w:p>
    <w:bookmarkEnd w:id="77"/>
    <w:p w14:paraId="1BCAD300">
      <w:pPr>
        <w:pStyle w:val="5"/>
      </w:pPr>
      <w:bookmarkStart w:id="78" w:name="滑动窗口短时fftstft脊线作为特征提取的对照基线"/>
      <w:r>
        <w:rPr>
          <w:rFonts w:hint="eastAsia"/>
        </w:rPr>
        <w:t>滑动窗口短时FFT（STFT脊线）：作为特征提取的对照基线</w:t>
      </w:r>
    </w:p>
    <w:p w14:paraId="14CAB964">
      <w:r>
        <w:rPr>
          <w:rFonts w:hint="eastAsia"/>
        </w:rPr>
        <w:t>为验证ESPRIT在强色散信号处理中的必要性,本节引入”滑动窗口短时FFT(STFT脊线)”作为对照基线。该方法与本文方法一样,均基于滑动窗口对差频信号进行局部分析,并由窗口中心时刻映射得到探测频率;不同之处在于,对照组采用局部频谱峰值读取完成瞬时差频估计,而本文方法采用基于子空间分解的TLS-ESPRIT完成局部频率估计。前者受频谱展宽、栅栏效应及短窗分辨率限制影响更大,后者则能在局部平稳条件下保持更高的频率估计精度。基于这一统一设置,后文重点比较两类方法在轨迹重构误差上的差异,而不再展开其实现流程细节。</w:t>
      </w:r>
    </w:p>
    <w:bookmarkEnd w:id="78"/>
    <w:p w14:paraId="136F1006">
      <w:pPr>
        <w:pStyle w:val="5"/>
      </w:pPr>
      <w:bookmarkStart w:id="79" w:name="esprit方法的精确追踪与时频重构"/>
      <w:r>
        <w:rPr>
          <w:rFonts w:hint="eastAsia"/>
        </w:rPr>
        <w:t>ESPRIT方法的精确追踪与时频重构</w:t>
      </w:r>
    </w:p>
    <w:p w14:paraId="7B0509DA">
      <w:r>
        <w:rPr>
          <w:rFonts w:hint="eastAsia"/>
        </w:rPr>
        <w:t>相较之下，本文提出的基于ESPRIT的特征提取方法利用了信号子空间的旋转不变性，突破了瑞利限的束缚。图4-10直观展示了两种方法提取的”频率-时延”轨迹对比。</w:t>
      </w:r>
    </w:p>
    <w:p w14:paraId="4D7E91C9">
      <w:r>
        <w:drawing>
          <wp:inline distT="0" distB="0" distL="114300" distR="114300">
            <wp:extent cx="5753100" cy="3834130"/>
            <wp:effectExtent l="0" t="0" r="0" b="0"/>
            <wp:docPr id="2120017856" name="Picture" descr="图4-10 FFT与ESPRIT特征提取方法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17856" name="Picture" descr="图4-10 FFT与ESPRIT特征提取方法对比"/>
                    <pic:cNvPicPr>
                      <a:picLocks noChangeAspect="1" noChangeArrowheads="1"/>
                    </pic:cNvPicPr>
                  </pic:nvPicPr>
                  <pic:blipFill>
                    <a:blip r:embed="rId26"/>
                    <a:stretch>
                      <a:fillRect/>
                    </a:stretch>
                  </pic:blipFill>
                  <pic:spPr>
                    <a:xfrm>
                      <a:off x="0" y="0"/>
                      <a:ext cx="5753100" cy="3834718"/>
                    </a:xfrm>
                    <a:prstGeom prst="rect">
                      <a:avLst/>
                    </a:prstGeom>
                    <a:noFill/>
                    <a:ln w="9525">
                      <a:noFill/>
                    </a:ln>
                  </pic:spPr>
                </pic:pic>
              </a:graphicData>
            </a:graphic>
          </wp:inline>
        </w:drawing>
      </w:r>
    </w:p>
    <w:p w14:paraId="0B7735A4">
      <w:r>
        <w:rPr>
          <w:rFonts w:hint="eastAsia"/>
        </w:rPr>
        <w:t>图4-10</w:t>
      </w:r>
      <w:r>
        <w:t xml:space="preserve"> </w:t>
      </w:r>
      <w:r>
        <w:rPr>
          <w:rFonts w:hint="eastAsia"/>
        </w:rPr>
        <w:t>FFT与ESPRIT特征提取方法对比</w:t>
      </w:r>
    </w:p>
    <w:p w14:paraId="5B1DFFC5">
      <w:r>
        <w:rPr>
          <w:rFonts w:hint="eastAsia"/>
        </w:rPr>
        <w:t>图中蓝色散点（ESPRIT）紧密贴合红色理论真值曲线，而灰色虚线（滑动窗口FFT）则在低频端（接近截止频率处）表现出显著的系统性偏差和抖动。这种偏差并非源于噪声，而是源于FFT方法无法有效处理窗内非平稳信号的内在缺陷。</w:t>
      </w:r>
    </w:p>
    <w:p w14:paraId="54407743">
      <w:r>
        <w:rPr>
          <w:rFonts w:hint="eastAsia"/>
        </w:rPr>
        <w:t>以本节标准工况（</w:t>
      </w:r>
      <m:oMath>
        <m:sSub>
          <m:sSubPr/>
          <m:e>
            <m:r>
              <m:rPr/>
              <m:t>f</m:t>
            </m:r>
          </m:e>
          <m:sub>
            <m:r>
              <m:rPr/>
              <m:t>p</m:t>
            </m:r>
          </m:sub>
        </m:sSub>
        <m:r>
          <m:rPr>
            <m:sty m:val="p"/>
          </m:rPr>
          <m:t>=</m:t>
        </m:r>
        <m:r>
          <m:rPr/>
          <m:t>33</m:t>
        </m:r>
      </m:oMath>
      <w:r>
        <w:t xml:space="preserve"> </w:t>
      </w:r>
      <w:r>
        <w:rPr>
          <w:rFonts w:hint="eastAsia"/>
        </w:rPr>
        <w:t>GHz，SNR</w:t>
      </w:r>
      <w:r>
        <w:t xml:space="preserve"> = 20 </w:t>
      </w:r>
      <w:r>
        <w:rPr>
          <w:rFonts w:hint="eastAsia"/>
        </w:rPr>
        <w:t>dB）为例，ESPRIT的RMSE为0.004</w:t>
      </w:r>
      <w:r>
        <w:t xml:space="preserve"> </w:t>
      </w:r>
      <w:r>
        <w:rPr>
          <w:rFonts w:hint="eastAsia"/>
        </w:rPr>
        <w:t>ns，而滑动窗口短时FFT的RMSE为0.110</w:t>
      </w:r>
      <w:r>
        <w:t xml:space="preserve"> </w:t>
      </w:r>
      <w:r>
        <w:rPr>
          <w:rFonts w:hint="eastAsia"/>
        </w:rPr>
        <w:t>ns，精度提升约30.1倍。图中散点颜色深浅表示幅度权重，高频端权重更高、低频端（接近</w:t>
      </w:r>
      <m:oMath>
        <m:sSub>
          <m:sSubPr/>
          <m:e>
            <m:r>
              <m:rPr/>
              <m:t>f</m:t>
            </m:r>
          </m:e>
          <m:sub>
            <m:r>
              <m:rPr/>
              <m:t>p</m:t>
            </m:r>
          </m:sub>
        </m:sSub>
      </m:oMath>
      <w:r>
        <w:rPr>
          <w:rFonts w:hint="eastAsia"/>
        </w:rPr>
        <w:t>）权重衰减，反映了阻尼导致的幅度损耗趋势。</w:t>
      </w:r>
    </w:p>
    <w:bookmarkEnd w:id="79"/>
    <w:p w14:paraId="25DE80B4">
      <w:pPr>
        <w:pStyle w:val="5"/>
      </w:pPr>
      <w:bookmarkStart w:id="80" w:name="特征提取性能的定量评估"/>
      <w:r>
        <w:rPr>
          <w:rFonts w:hint="eastAsia"/>
        </w:rPr>
        <w:t>特征提取性能的定量评估</w:t>
      </w:r>
    </w:p>
    <w:p w14:paraId="0E24FEF4">
      <w:r>
        <w:rPr>
          <w:rFonts w:hint="eastAsia"/>
        </w:rPr>
        <w:t>为全面评估两种方法在轨迹重构层面的性能差距，表4-3汇总了在标准测试条件（</w:t>
      </w:r>
      <m:oMath>
        <m:sSub>
          <m:sSubPr/>
          <m:e>
            <m:r>
              <m:rPr/>
              <m:t>f</m:t>
            </m:r>
          </m:e>
          <m:sub>
            <m:r>
              <m:rPr/>
              <m:t>p</m:t>
            </m:r>
          </m:sub>
        </m:sSub>
        <m:r>
          <m:rPr>
            <m:sty m:val="p"/>
          </m:rPr>
          <m:t>=</m:t>
        </m:r>
        <m:r>
          <m:rPr/>
          <m:t>33</m:t>
        </m:r>
      </m:oMath>
      <w:r>
        <w:t xml:space="preserve"> GHz, SNR = 20 </w:t>
      </w:r>
      <w:r>
        <w:rPr>
          <w:rFonts w:hint="eastAsia"/>
        </w:rPr>
        <w:t>dB）下最具判别力的误差指标。这里的FFT基线特指</w:t>
      </w:r>
      <w:r>
        <w:rPr>
          <w:rFonts w:hint="eastAsia"/>
          <w:b/>
          <w:bCs/>
        </w:rPr>
        <w:t>滑动窗口短时FFT（STFT脊线）</w:t>
      </w:r>
      <w:r>
        <w:rPr>
          <w:rFonts w:hint="eastAsia"/>
        </w:rPr>
        <w:t>，用于与ESPRIT进行局部时频特征提取层面的公平对照；其定义不同于4.3节和4.5.4节中作为方法论反例出现的</w:t>
      </w:r>
      <w:r>
        <w:rPr>
          <w:rFonts w:hint="eastAsia"/>
          <w:b/>
          <w:bCs/>
        </w:rPr>
        <w:t>全周期FFT</w:t>
      </w:r>
      <w:r>
        <w:t>。</w:t>
      </w:r>
    </w:p>
    <w:p w14:paraId="45DF6174">
      <w:r>
        <w:rPr>
          <w:rFonts w:hint="eastAsia"/>
          <w:b/>
          <w:bCs/>
        </w:rPr>
        <w:t>表4-3</w:t>
      </w:r>
      <w:r>
        <w:rPr>
          <w:b/>
          <w:bCs/>
        </w:rPr>
        <w:t xml:space="preserve"> </w:t>
      </w:r>
      <w:r>
        <w:rPr>
          <w:rFonts w:hint="eastAsia"/>
          <w:b/>
          <w:bCs/>
        </w:rPr>
        <w:t>强色散条件下FFT与ESPRIT特征提取性能对比</w:t>
      </w:r>
    </w:p>
    <w:tbl>
      <w:tblPr>
        <w:tblStyle w:val="30"/>
        <w:tblW w:w="0" w:type="auto"/>
        <w:tblInd w:w="0" w:type="dxa"/>
        <w:tblLayout w:type="autofit"/>
        <w:tblCellMar>
          <w:top w:w="0" w:type="dxa"/>
          <w:left w:w="108" w:type="dxa"/>
          <w:bottom w:w="0" w:type="dxa"/>
          <w:right w:w="108" w:type="dxa"/>
        </w:tblCellMar>
      </w:tblPr>
      <w:tblGrid>
        <w:gridCol w:w="2071"/>
        <w:gridCol w:w="3133"/>
        <w:gridCol w:w="2265"/>
        <w:gridCol w:w="1534"/>
      </w:tblGrid>
      <w:tr w14:paraId="465A7D6A">
        <w:tblPrEx>
          <w:tblCellMar>
            <w:top w:w="0" w:type="dxa"/>
            <w:left w:w="108" w:type="dxa"/>
            <w:bottom w:w="0" w:type="dxa"/>
            <w:right w:w="108" w:type="dxa"/>
          </w:tblCellMar>
        </w:tblPrEx>
        <w:trPr>
          <w:tblHeader/>
        </w:trPr>
        <w:tc>
          <w:p w14:paraId="2B9E0CA9">
            <w:r>
              <w:rPr>
                <w:rFonts w:hint="eastAsia"/>
              </w:rPr>
              <w:t>性能指标</w:t>
            </w:r>
          </w:p>
        </w:tc>
        <w:tc>
          <w:p w14:paraId="00DC8C4F">
            <w:r>
              <w:rPr>
                <w:rFonts w:hint="eastAsia"/>
              </w:rPr>
              <w:t>滑动窗口FFT（STFT脊线）</w:t>
            </w:r>
          </w:p>
        </w:tc>
        <w:tc>
          <w:p w14:paraId="1176A460">
            <w:r>
              <w:rPr>
                <w:rFonts w:hint="eastAsia"/>
              </w:rPr>
              <w:t>本文ESPRIT方法</w:t>
            </w:r>
          </w:p>
        </w:tc>
        <w:tc>
          <w:p w14:paraId="1EBA8F69">
            <w:r>
              <w:rPr>
                <w:rFonts w:hint="eastAsia"/>
                <w:b/>
                <w:bCs/>
              </w:rPr>
              <w:t>性能提升</w:t>
            </w:r>
          </w:p>
        </w:tc>
      </w:tr>
      <w:tr w14:paraId="51351153">
        <w:tblPrEx>
          <w:tblCellMar>
            <w:top w:w="0" w:type="dxa"/>
            <w:left w:w="108" w:type="dxa"/>
            <w:bottom w:w="0" w:type="dxa"/>
            <w:right w:w="108" w:type="dxa"/>
          </w:tblCellMar>
        </w:tblPrEx>
        <w:tc>
          <w:p w14:paraId="62C7F920">
            <w:r>
              <w:rPr>
                <w:rFonts w:hint="eastAsia"/>
                <w:b/>
                <w:bCs/>
              </w:rPr>
              <w:t>时延估计RMSE</w:t>
            </w:r>
          </w:p>
        </w:tc>
        <w:tc>
          <w:p w14:paraId="53ACB6F6">
            <w:r>
              <w:t>0.110 ns</w:t>
            </w:r>
          </w:p>
        </w:tc>
        <w:tc>
          <w:p w14:paraId="71A7AECF">
            <w:r>
              <w:t>0.004 ns</w:t>
            </w:r>
          </w:p>
        </w:tc>
        <w:tc>
          <w:p w14:paraId="218B3C04">
            <w:r>
              <w:rPr>
                <w:b/>
                <w:bCs/>
              </w:rPr>
              <w:t xml:space="preserve">30.1 </w:t>
            </w:r>
            <w:r>
              <w:rPr>
                <w:rFonts w:hint="eastAsia"/>
                <w:b/>
                <w:bCs/>
              </w:rPr>
              <w:t>倍</w:t>
            </w:r>
          </w:p>
        </w:tc>
      </w:tr>
    </w:tbl>
    <w:p w14:paraId="267788CD">
      <w:r>
        <w:rPr>
          <w:rFonts w:hint="eastAsia"/>
        </w:rPr>
        <w:t>上述对比表明，在本节所设定的强色散仿真条件下，本文方法能够稳定提取频率—时延特征轨迹</w:t>
      </w:r>
      <m:oMath>
        <m:r>
          <m:rPr>
            <m:sty m:val="p"/>
            <m:scr m:val="script"/>
          </m:rPr>
          <m:t>D</m:t>
        </m:r>
        <m:r>
          <m:rPr>
            <m:sty m:val="p"/>
          </m:rPr>
          <m:t>={(</m:t>
        </m:r>
        <m:sSub>
          <m:sSubPr/>
          <m:e>
            <m:r>
              <m:rPr/>
              <m:t>f</m:t>
            </m:r>
          </m:e>
          <m:sub>
            <m:r>
              <m:rPr/>
              <m:t>probe</m:t>
            </m:r>
            <m:r>
              <m:rPr>
                <m:sty m:val="p"/>
              </m:rPr>
              <m:t>,</m:t>
            </m:r>
            <m:r>
              <m:rPr/>
              <m:t>i</m:t>
            </m:r>
          </m:sub>
        </m:sSub>
        <m:r>
          <m:rPr>
            <m:sty m:val="p"/>
          </m:rPr>
          <m:t>,</m:t>
        </m:r>
        <m:sSub>
          <m:sSubPr/>
          <m:e>
            <m:r>
              <m:rPr/>
              <m:t>τ</m:t>
            </m:r>
          </m:e>
          <m:sub>
            <m:r>
              <m:rPr/>
              <m:t>meas</m:t>
            </m:r>
            <m:r>
              <m:rPr>
                <m:sty m:val="p"/>
              </m:rPr>
              <m:t>,</m:t>
            </m:r>
            <m:r>
              <m:rPr/>
              <m:t>i</m:t>
            </m:r>
          </m:sub>
        </m:sSub>
        <m:r>
          <m:rPr>
            <m:sty m:val="p"/>
          </m:rPr>
          <m:t>,</m:t>
        </m:r>
        <m:sSub>
          <m:sSubPr/>
          <m:e>
            <m:r>
              <m:rPr/>
              <m:t>A</m:t>
            </m:r>
          </m:e>
          <m:sub>
            <m:r>
              <m:rPr/>
              <m:t>i</m:t>
            </m:r>
          </m:sub>
        </m:sSub>
        <m:r>
          <m:rPr>
            <m:sty m:val="p"/>
          </m:rPr>
          <m:t>)}</m:t>
        </m:r>
      </m:oMath>
      <w:r>
        <w:rPr>
          <w:rFonts w:hint="eastAsia"/>
        </w:rPr>
        <w:t>，并较好描述Drude理论曲线的非线性演化特征，为后续MCMC参数反演提供可靠观测输入。这里比较特征提取方法的目的，不在于单纯强调算法优劣，而在于说明：只有首先获得可信的轨迹数据，后续基于后验分布的参数可观测性分析才具有物理意义。</w:t>
      </w:r>
    </w:p>
    <w:bookmarkEnd w:id="76"/>
    <w:bookmarkEnd w:id="80"/>
    <w:p w14:paraId="10A13B06">
      <w:pPr>
        <w:pStyle w:val="4"/>
      </w:pPr>
      <w:bookmarkStart w:id="81" w:name="mcmc后验分布分析对4.2节降维策略的统计学验证"/>
      <w:r>
        <w:rPr>
          <w:rFonts w:hint="eastAsia"/>
        </w:rPr>
        <w:t>MCMC后验分布分析：对4.2节降维策略的统计学验证</w:t>
      </w:r>
    </w:p>
    <w:p w14:paraId="32A78EEF">
      <w:r>
        <w:rPr>
          <w:rFonts w:hint="eastAsia"/>
        </w:rPr>
        <w:t>第4.2节从物理公式层面论证了碰撞频率</w:t>
      </w:r>
      <m:oMath>
        <m:sSub>
          <m:sSubPr/>
          <m:e>
            <m:r>
              <m:rPr/>
              <m:t>ν</m:t>
            </m:r>
          </m:e>
          <m:sub>
            <m:r>
              <m:rPr/>
              <m:t>e</m:t>
            </m:r>
          </m:sub>
        </m:sSub>
      </m:oMath>
      <w:r>
        <w:rPr>
          <w:rFonts w:hint="eastAsia"/>
        </w:rPr>
        <w:t>对群时延的贡献是</w:t>
      </w:r>
      <m:oMath>
        <m:r>
          <m:rPr/>
          <m:t>O</m:t>
        </m:r>
        <m:r>
          <m:rPr>
            <m:sty m:val="p"/>
          </m:rPr>
          <m:t>((</m:t>
        </m:r>
        <m:sSub>
          <m:sSubPr/>
          <m:e>
            <m:r>
              <m:rPr/>
              <m:t>ν</m:t>
            </m:r>
          </m:e>
          <m:sub>
            <m:r>
              <m:rPr/>
              <m:t>e</m:t>
            </m:r>
          </m:sub>
        </m:sSub>
        <m:r>
          <m:rPr>
            <m:sty m:val="p"/>
          </m:rPr>
          <m:t>/</m:t>
        </m:r>
        <m:r>
          <m:rPr/>
          <m:t>ω</m:t>
        </m:r>
        <m:sSup>
          <m:sSupPr/>
          <m:e>
            <m:r>
              <m:rPr>
                <m:sty m:val="p"/>
              </m:rPr>
              <m:t>)</m:t>
            </m:r>
          </m:e>
          <m:sup>
            <m:r>
              <m:rPr/>
              <m:t>2</m:t>
            </m:r>
          </m:sup>
        </m:sSup>
        <m:r>
          <m:rPr>
            <m:sty m:val="p"/>
          </m:rPr>
          <m:t>)</m:t>
        </m:r>
      </m:oMath>
      <w:r>
        <w:rPr>
          <w:rFonts w:hint="eastAsia"/>
        </w:rPr>
        <w:t>的二阶微扰，据此提出了”固定</w:t>
      </w:r>
      <m:oMath>
        <m:sSub>
          <m:sSubPr/>
          <m:e>
            <m:r>
              <m:rPr/>
              <m:t>ν</m:t>
            </m:r>
          </m:e>
          <m:sub>
            <m:r>
              <m:rPr/>
              <m:t>e</m:t>
            </m:r>
          </m:sub>
        </m:sSub>
      </m:oMath>
      <w:r>
        <w:rPr>
          <w:rFonts w:hint="eastAsia"/>
        </w:rPr>
        <w:t>、仅反演</w:t>
      </w:r>
      <m:oMath>
        <m:sSub>
          <m:sSubPr/>
          <m:e>
            <m:r>
              <m:rPr/>
              <m:t>n</m:t>
            </m:r>
          </m:e>
          <m:sub>
            <m:r>
              <m:rPr/>
              <m:t>e</m:t>
            </m:r>
          </m:sub>
        </m:sSub>
      </m:oMath>
      <w:r>
        <w:rPr>
          <w:rFonts w:hint="eastAsia"/>
        </w:rPr>
        <w:t>“的参数降维策略。然而，该论证基于泰勒级数的渐近分析，其在实际噪声环境下的有效性尚需验证。本节将基于第4.4节建立的MCMC贝叶斯反演框架，通过后验分布的形态特征，</w:t>
      </w:r>
      <w:r>
        <w:rPr>
          <w:rFonts w:hint="eastAsia"/>
          <w:b/>
          <w:bCs/>
        </w:rPr>
        <w:t>在本文所构建的LFMCW群时延诊断链路下</w:t>
      </w:r>
      <w:r>
        <w:rPr>
          <w:rFonts w:hint="eastAsia"/>
        </w:rPr>
        <w:t>，为降维策略的合理性提供统计学层面的支撑证据。</w:t>
      </w:r>
    </w:p>
    <w:p w14:paraId="3469DA42">
      <w:r>
        <w:rPr>
          <w:rFonts w:hint="eastAsia"/>
        </w:rPr>
        <w:t>需要说明的是,图4-11与图4-12对应一组标准工况下的基准后验链,用于展示迹线图、边缘后验与角点图;表4-6和表4-7则分别来自SNR扫描与参数扫描下重新独立生成的采样结果。各处统计量共享同一物理建模框架,但并不要求逐项数值完全一致;真正需要保持统一的是工况定义、统计口径与物理结论。</w:t>
      </w:r>
    </w:p>
    <w:p w14:paraId="59792735">
      <w:pPr>
        <w:pStyle w:val="5"/>
      </w:pPr>
      <w:bookmarkStart w:id="82" w:name="迹线图分析收敛行为的显著差异"/>
      <w:r>
        <w:rPr>
          <w:rFonts w:hint="eastAsia"/>
        </w:rPr>
        <w:t>迹线图分析：收敛行为的显著差异</w:t>
      </w:r>
    </w:p>
    <w:p w14:paraId="49F6DA56">
      <w:r>
        <w:rPr>
          <w:rFonts w:hint="eastAsia"/>
        </w:rPr>
        <w:t>迹线图（Trace</w:t>
      </w:r>
      <w:r>
        <w:t xml:space="preserve"> </w:t>
      </w:r>
      <w:r>
        <w:rPr>
          <w:rFonts w:hint="eastAsia"/>
        </w:rPr>
        <w:t>Plot）是诊断MCMC收敛性的基本工具。图4-11展示了</w:t>
      </w:r>
      <m:oMath>
        <m:r>
          <m:rPr>
            <m:sty m:val="p"/>
          </m:rPr>
          <m:t>(</m:t>
        </m:r>
        <m:sSub>
          <m:sSubPr/>
          <m:e>
            <m:r>
              <m:rPr/>
              <m:t>n</m:t>
            </m:r>
          </m:e>
          <m:sub>
            <m:r>
              <m:rPr/>
              <m:t>e</m:t>
            </m:r>
          </m:sub>
        </m:sSub>
        <m:r>
          <m:rPr>
            <m:sty m:val="p"/>
          </m:rPr>
          <m:t>,</m:t>
        </m:r>
        <m:sSub>
          <m:sSubPr/>
          <m:e>
            <m:r>
              <m:rPr/>
              <m:t>ν</m:t>
            </m:r>
          </m:e>
          <m:sub>
            <m:r>
              <m:rPr/>
              <m:t>e</m:t>
            </m:r>
          </m:sub>
        </m:sSub>
        <m:r>
          <m:rPr>
            <m:sty m:val="p"/>
          </m:rPr>
          <m:t>)</m:t>
        </m:r>
      </m:oMath>
      <w:r>
        <w:rPr>
          <w:rFonts w:hint="eastAsia"/>
        </w:rPr>
        <w:t>两个参数的迹线对比。</w:t>
      </w:r>
    </w:p>
    <w:p w14:paraId="6D90778C">
      <w:r>
        <w:drawing>
          <wp:inline distT="0" distB="0" distL="114300" distR="114300">
            <wp:extent cx="5753100" cy="3923030"/>
            <wp:effectExtent l="0" t="0" r="0" b="0"/>
            <wp:docPr id="2120017858" name="Picture" descr="图4-11 MCMC迹线图与后验边缘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17858" name="Picture" descr="图4-11 MCMC迹线图与后验边缘分布"/>
                    <pic:cNvPicPr>
                      <a:picLocks noChangeAspect="1" noChangeArrowheads="1"/>
                    </pic:cNvPicPr>
                  </pic:nvPicPr>
                  <pic:blipFill>
                    <a:blip r:embed="rId27"/>
                    <a:stretch>
                      <a:fillRect/>
                    </a:stretch>
                  </pic:blipFill>
                  <pic:spPr>
                    <a:xfrm>
                      <a:off x="0" y="0"/>
                      <a:ext cx="5753100" cy="3923557"/>
                    </a:xfrm>
                    <a:prstGeom prst="rect">
                      <a:avLst/>
                    </a:prstGeom>
                    <a:noFill/>
                    <a:ln w="9525">
                      <a:noFill/>
                    </a:ln>
                  </pic:spPr>
                </pic:pic>
              </a:graphicData>
            </a:graphic>
          </wp:inline>
        </w:drawing>
      </w:r>
    </w:p>
    <w:p w14:paraId="7E2498AC">
      <w:r>
        <w:rPr>
          <w:rFonts w:hint="eastAsia"/>
        </w:rPr>
        <w:t>图4-11</w:t>
      </w:r>
      <w:r>
        <w:t xml:space="preserve"> </w:t>
      </w:r>
      <w:r>
        <w:rPr>
          <w:rFonts w:hint="eastAsia"/>
        </w:rPr>
        <w:t>MCMC迹线图与后验边缘分布</w:t>
      </w:r>
    </w:p>
    <w:p w14:paraId="19B9D14F">
      <w:r>
        <w:rPr>
          <w:rFonts w:hint="eastAsia"/>
        </w:rPr>
        <w:t>图4-11(a)展示电子密度</w:t>
      </w:r>
      <m:oMath>
        <m:sSub>
          <m:sSubPr/>
          <m:e>
            <m:r>
              <m:rPr/>
              <m:t>n</m:t>
            </m:r>
          </m:e>
          <m:sub>
            <m:r>
              <m:rPr/>
              <m:t>e</m:t>
            </m:r>
          </m:sub>
        </m:sSub>
      </m:oMath>
      <w:r>
        <w:rPr>
          <w:rFonts w:hint="eastAsia"/>
        </w:rPr>
        <w:t>的迹线图。可以观察到典型的MCMC收敛行为：在预烧期（前2000次迭代），采样链从随机初始点快速向真值区域漂移；此后进入平稳状态，链围绕</w:t>
      </w:r>
      <m:oMath>
        <m:sSub>
          <m:sSubPr/>
          <m:e>
            <m:r>
              <m:rPr/>
              <m:t>n</m:t>
            </m:r>
          </m:e>
          <m:sub>
            <m:r>
              <m:rPr/>
              <m:t>e</m:t>
            </m:r>
          </m:sub>
        </m:sSub>
        <m:r>
          <m:rPr>
            <m:sty m:val="p"/>
          </m:rPr>
          <m:t>=</m:t>
        </m:r>
        <m:r>
          <m:rPr/>
          <m:t>1.3511</m:t>
        </m:r>
        <m:r>
          <m:rPr>
            <m:sty m:val="p"/>
          </m:rPr>
          <m:t>×</m:t>
        </m:r>
        <m:sSup>
          <m:sSupPr/>
          <m:e>
            <m:r>
              <m:rPr/>
              <m:t>10</m:t>
            </m:r>
          </m:e>
          <m:sup>
            <m:r>
              <m:rPr/>
              <m:t>19</m:t>
            </m:r>
          </m:sup>
        </m:sSup>
      </m:oMath>
      <w:r>
        <w:t xml:space="preserve"> m</w:t>
      </w:r>
      <m:oMath>
        <m:sSup>
          <m:sSupPr/>
          <m:e>
            <m:r>
              <m:rPr/>
              <m:t>​</m:t>
            </m:r>
          </m:e>
          <m:sup>
            <m:r>
              <m:rPr>
                <m:sty m:val="p"/>
              </m:rPr>
              <m:t>−</m:t>
            </m:r>
            <m:r>
              <m:rPr/>
              <m:t>3</m:t>
            </m:r>
          </m:sup>
        </m:sSup>
      </m:oMath>
      <w:r>
        <w:rPr>
          <w:rFonts w:hint="eastAsia"/>
        </w:rPr>
        <w:t>（真值）附近稳定振荡，振幅极小，呈现混合良好特征。该收敛行为表明，在本诊断链路下，观测数据对</w:t>
      </w:r>
      <m:oMath>
        <m:sSub>
          <m:sSubPr/>
          <m:e>
            <m:r>
              <m:rPr/>
              <m:t>n</m:t>
            </m:r>
          </m:e>
          <m:sub>
            <m:r>
              <m:rPr/>
              <m:t>e</m:t>
            </m:r>
          </m:sub>
        </m:sSub>
      </m:oMath>
      <w:r>
        <w:rPr>
          <w:rFonts w:hint="eastAsia"/>
        </w:rPr>
        <w:t>提供了有效的约束。</w:t>
      </w:r>
    </w:p>
    <w:p w14:paraId="54FE6FEF">
      <w:r>
        <w:rPr>
          <w:rFonts w:hint="eastAsia"/>
        </w:rPr>
        <w:t>相较之下，图4-11(b)给出了碰撞频率</w:t>
      </w:r>
      <m:oMath>
        <m:sSub>
          <m:sSubPr/>
          <m:e>
            <m:r>
              <m:rPr/>
              <m:t>ν</m:t>
            </m:r>
          </m:e>
          <m:sub>
            <m:r>
              <m:rPr/>
              <m:t>e</m:t>
            </m:r>
          </m:sub>
        </m:sSub>
      </m:oMath>
      <w:r>
        <w:rPr>
          <w:rFonts w:hint="eastAsia"/>
        </w:rPr>
        <w:t>的迹线图。与</w:t>
      </w:r>
      <m:oMath>
        <m:sSub>
          <m:sSubPr/>
          <m:e>
            <m:r>
              <m:rPr/>
              <m:t>n</m:t>
            </m:r>
          </m:e>
          <m:sub>
            <m:r>
              <m:rPr/>
              <m:t>e</m:t>
            </m:r>
          </m:sub>
        </m:sSub>
      </m:oMath>
      <w:r>
        <w:rPr>
          <w:rFonts w:hint="eastAsia"/>
        </w:rPr>
        <w:t>相比，</w:t>
      </w:r>
      <m:oMath>
        <m:sSub>
          <m:sSubPr/>
          <m:e>
            <m:r>
              <m:rPr/>
              <m:t>ν</m:t>
            </m:r>
          </m:e>
          <m:sub>
            <m:r>
              <m:rPr/>
              <m:t>e</m:t>
            </m:r>
          </m:sub>
        </m:sSub>
      </m:oMath>
      <w:r>
        <w:rPr>
          <w:rFonts w:hint="eastAsia"/>
        </w:rPr>
        <w:t>的采样链在预烧期后仍表现出更强的波动与更慢的混合：轨迹在较宽的参数区间内游走，难以在真值</w:t>
      </w:r>
      <m:oMath>
        <m:sSub>
          <m:sSubPr/>
          <m:e>
            <m:r>
              <m:rPr/>
              <m:t>ν</m:t>
            </m:r>
          </m:e>
          <m:sub>
            <m:r>
              <m:rPr/>
              <m:t>e</m:t>
            </m:r>
          </m:sub>
        </m:sSub>
        <m:r>
          <m:rPr>
            <m:sty m:val="p"/>
          </m:rPr>
          <m:t>=</m:t>
        </m:r>
        <m:r>
          <m:rPr/>
          <m:t>1.5</m:t>
        </m:r>
      </m:oMath>
      <w:r>
        <w:t xml:space="preserve"> </w:t>
      </w:r>
      <w:r>
        <w:rPr>
          <w:rFonts w:hint="eastAsia"/>
        </w:rPr>
        <w:t>GHz附近形成稳定的高密度聚集。这表明在仅基于群时延观测量的条件下，</w:t>
      </w:r>
      <m:oMath>
        <m:sSub>
          <m:sSubPr/>
          <m:e>
            <m:r>
              <m:rPr/>
              <m:t>ν</m:t>
            </m:r>
          </m:e>
          <m:sub>
            <m:r>
              <m:rPr/>
              <m:t>e</m:t>
            </m:r>
          </m:sub>
        </m:sSub>
      </m:oMath>
      <w:r>
        <w:rPr>
          <w:rFonts w:hint="eastAsia"/>
        </w:rPr>
        <w:t>对似然函数的影响相对较弱，后验未能建立可靠锁定；下文关于</w:t>
      </w:r>
      <m:oMath>
        <m:sSub>
          <m:sSubPr/>
          <m:e>
            <m:acc>
              <m:accPr/>
              <m:e>
                <m:r>
                  <m:rPr/>
                  <m:t>ν</m:t>
                </m:r>
              </m:e>
            </m:acc>
          </m:e>
          <m:sub>
            <m:r>
              <m:rPr/>
              <m:t>e</m:t>
            </m:r>
          </m:sub>
        </m:sSub>
        <m:r>
          <m:rPr>
            <m:sty m:val="p"/>
          </m:rPr>
          <m:t>=</m:t>
        </m:r>
        <m:r>
          <m:rPr/>
          <m:t>3.47</m:t>
        </m:r>
      </m:oMath>
      <w:r>
        <w:t xml:space="preserve"> </w:t>
      </w:r>
      <w:r>
        <w:rPr>
          <w:rFonts w:hint="eastAsia"/>
        </w:rPr>
        <w:t>GHz与</w:t>
      </w:r>
      <m:oMath>
        <m:sSub>
          <m:sSubPr/>
          <m:e>
            <m:r>
              <m:rPr>
                <m:nor/>
                <m:sty m:val="p"/>
              </m:rPr>
              <w:rPr>
                <w:b w:val="0"/>
                <w:i w:val="0"/>
              </w:rPr>
              <m:t>CV</m:t>
            </m:r>
          </m:e>
          <m:sub>
            <m:sSub>
              <m:sSubPr/>
              <m:e>
                <m:r>
                  <m:rPr/>
                  <m:t>ν</m:t>
                </m:r>
              </m:e>
              <m:sub>
                <m:r>
                  <m:rPr/>
                  <m:t>e</m:t>
                </m:r>
              </m:sub>
            </m:sSub>
          </m:sub>
        </m:sSub>
        <m:r>
          <m:rPr>
            <m:sty m:val="p"/>
          </m:rPr>
          <m:t>=</m:t>
        </m:r>
        <m:r>
          <m:rPr/>
          <m:t>23.6</m:t>
        </m:r>
        <m:r>
          <m:rPr>
            <m:sty m:val="p"/>
          </m:rPr>
          <m:t>%</m:t>
        </m:r>
      </m:oMath>
      <w:r>
        <w:rPr>
          <w:rFonts w:hint="eastAsia"/>
        </w:rPr>
        <w:t>的统计量，均专指图4-11与图4-12对应的这组基准后验链，而不与后续表4-6、表4-7中的独立扫描实验混用。</w:t>
      </w:r>
    </w:p>
    <w:p w14:paraId="0C1AC52A">
      <w:r>
        <w:rPr>
          <w:rFonts w:hint="eastAsia"/>
        </w:rPr>
        <w:t>需要强调的是，</w:t>
      </w:r>
      <m:oMath>
        <m:sSub>
          <m:sSubPr/>
          <m:e>
            <m:r>
              <m:rPr/>
              <m:t>ν</m:t>
            </m:r>
          </m:e>
          <m:sub>
            <m:r>
              <m:rPr/>
              <m:t>e</m:t>
            </m:r>
          </m:sub>
        </m:sSub>
      </m:oMath>
      <w:r>
        <w:rPr>
          <w:rFonts w:hint="eastAsia"/>
        </w:rPr>
        <w:t>采样链较慢的混合与较大的波动并非MCMC算法失效的表现，而是观测量对该参数维度约束较弱的直接反映。在仅基于群时延观测量且未引入幅度/相位辅助约束的前提下，</w:t>
      </w:r>
      <m:oMath>
        <m:sSub>
          <m:sSubPr/>
          <m:e>
            <m:r>
              <m:rPr/>
              <m:t>ν</m:t>
            </m:r>
          </m:e>
          <m:sub>
            <m:r>
              <m:rPr/>
              <m:t>e</m:t>
            </m:r>
          </m:sub>
        </m:sSub>
      </m:oMath>
      <w:r>
        <w:rPr>
          <w:rFonts w:hint="eastAsia"/>
        </w:rPr>
        <w:t>通常无法被可靠识别，其后验均值甚至可能与真值存在系统性偏离（见下文统计结果）。因此，这里保留</w:t>
      </w:r>
      <m:oMath>
        <m:sSub>
          <m:sSubPr/>
          <m:e>
            <m:r>
              <m:rPr/>
              <m:t>ν</m:t>
            </m:r>
          </m:e>
          <m:sub>
            <m:r>
              <m:rPr/>
              <m:t>e</m:t>
            </m:r>
          </m:sub>
        </m:sSub>
      </m:oMath>
      <w:r>
        <w:rPr>
          <w:rFonts w:hint="eastAsia"/>
        </w:rPr>
        <w:t>采样维度的目的，是为”应固定</w:t>
      </w:r>
      <m:oMath>
        <m:sSub>
          <m:sSubPr/>
          <m:e>
            <m:r>
              <m:rPr/>
              <m:t>ν</m:t>
            </m:r>
          </m:e>
          <m:sub>
            <m:r>
              <m:rPr/>
              <m:t>e</m:t>
            </m:r>
          </m:sub>
        </m:sSub>
      </m:oMath>
      <w:r>
        <w:rPr>
          <w:rFonts w:hint="eastAsia"/>
        </w:rPr>
        <w:t>“提供反证式统计证据。</w:t>
      </w:r>
    </w:p>
    <w:bookmarkEnd w:id="82"/>
    <w:p w14:paraId="5039E0D9">
      <w:pPr>
        <w:pStyle w:val="5"/>
      </w:pPr>
      <w:bookmarkStart w:id="83" w:name="后验边缘分布尖峰与平原的鲜明对比"/>
      <w:r>
        <w:rPr>
          <w:rFonts w:hint="eastAsia"/>
        </w:rPr>
        <w:t>后验边缘分布：尖峰与平原的鲜明对比</w:t>
      </w:r>
    </w:p>
    <w:p w14:paraId="11B0496B">
      <w:r>
        <w:rPr>
          <w:rFonts w:hint="eastAsia"/>
        </w:rPr>
        <w:t>丢弃预烧期后，对有效样本进行统计，可得到各参数的边缘后验分布。结果表明，</w:t>
      </w:r>
      <m:oMath>
        <m:sSub>
          <m:sSubPr/>
          <m:e>
            <m:r>
              <m:rPr/>
              <m:t>n</m:t>
            </m:r>
          </m:e>
          <m:sub>
            <m:r>
              <m:rPr/>
              <m:t>e</m:t>
            </m:r>
          </m:sub>
        </m:sSub>
      </m:oMath>
      <w:r>
        <w:rPr>
          <w:rFonts w:hint="eastAsia"/>
        </w:rPr>
        <w:t>的后验呈现明显的尖峰收缩特征，均值与真值保持高度一致，95%置信区间能够覆盖真值，说明观测数据对</w:t>
      </w:r>
      <m:oMath>
        <m:sSub>
          <m:sSubPr/>
          <m:e>
            <m:r>
              <m:rPr/>
              <m:t>n</m:t>
            </m:r>
          </m:e>
          <m:sub>
            <m:r>
              <m:rPr/>
              <m:t>e</m:t>
            </m:r>
          </m:sub>
        </m:sSub>
      </m:oMath>
      <w:r>
        <w:rPr>
          <w:rFonts w:hint="eastAsia"/>
        </w:rPr>
        <w:t>提供了稳定约束。相比之下，</w:t>
      </w:r>
      <m:oMath>
        <m:sSub>
          <m:sSubPr/>
          <m:e>
            <m:r>
              <m:rPr/>
              <m:t>ν</m:t>
            </m:r>
          </m:e>
          <m:sub>
            <m:r>
              <m:rPr/>
              <m:t>e</m:t>
            </m:r>
          </m:sub>
        </m:sSub>
      </m:oMath>
      <w:r>
        <w:rPr>
          <w:rFonts w:hint="eastAsia"/>
        </w:rPr>
        <w:t>的后验分布则明显更宽，虽然相较先验存在一定收缩，但仍表现出较大的不确定性，并可能出现均值偏移。这说明群时延数据对</w:t>
      </w:r>
      <m:oMath>
        <m:sSub>
          <m:sSubPr/>
          <m:e>
            <m:r>
              <m:rPr/>
              <m:t>ν</m:t>
            </m:r>
          </m:e>
          <m:sub>
            <m:r>
              <m:rPr/>
              <m:t>e</m:t>
            </m:r>
          </m:sub>
        </m:sSub>
      </m:oMath>
      <w:r>
        <w:rPr>
          <w:rFonts w:hint="eastAsia"/>
        </w:rPr>
        <w:t>的约束明显弱于对</w:t>
      </w:r>
      <m:oMath>
        <m:sSub>
          <m:sSubPr/>
          <m:e>
            <m:r>
              <m:rPr/>
              <m:t>n</m:t>
            </m:r>
          </m:e>
          <m:sub>
            <m:r>
              <m:rPr/>
              <m:t>e</m:t>
            </m:r>
          </m:sub>
        </m:sSub>
      </m:oMath>
      <w:r>
        <w:rPr>
          <w:rFonts w:hint="eastAsia"/>
        </w:rPr>
        <w:t>的约束，因而不足以支撑</w:t>
      </w:r>
      <m:oMath>
        <m:sSub>
          <m:sSubPr/>
          <m:e>
            <m:r>
              <m:rPr/>
              <m:t>ν</m:t>
            </m:r>
          </m:e>
          <m:sub>
            <m:r>
              <m:rPr/>
              <m:t>e</m:t>
            </m:r>
          </m:sub>
        </m:sSub>
      </m:oMath>
      <w:r>
        <w:rPr>
          <w:rFonts w:hint="eastAsia"/>
        </w:rPr>
        <w:t>进入工程反演链路。</w:t>
      </w:r>
    </w:p>
    <w:p w14:paraId="3C1E33D8">
      <w:r>
        <w:rPr>
          <w:rFonts w:hint="eastAsia"/>
        </w:rPr>
        <w:t>上述”尖峰—宽展”的后验形态，与第4.2节关于参数灵敏度差异的物理分析是一致的：群时延数据能够稳定约束</w:t>
      </w:r>
      <m:oMath>
        <m:sSub>
          <m:sSubPr/>
          <m:e>
            <m:r>
              <m:rPr/>
              <m:t>n</m:t>
            </m:r>
          </m:e>
          <m:sub>
            <m:r>
              <m:rPr/>
              <m:t>e</m:t>
            </m:r>
          </m:sub>
        </m:sSub>
      </m:oMath>
      <w:r>
        <w:rPr>
          <w:rFonts w:hint="eastAsia"/>
        </w:rPr>
        <w:t>，却不足以对</w:t>
      </w:r>
      <m:oMath>
        <m:sSub>
          <m:sSubPr/>
          <m:e>
            <m:r>
              <m:rPr/>
              <m:t>ν</m:t>
            </m:r>
          </m:e>
          <m:sub>
            <m:r>
              <m:rPr/>
              <m:t>e</m:t>
            </m:r>
          </m:sub>
        </m:sSub>
      </m:oMath>
      <w:r>
        <w:rPr>
          <w:rFonts w:hint="eastAsia"/>
        </w:rPr>
        <w:t>形成可信锁定。因此，</w:t>
      </w:r>
      <m:oMath>
        <m:sSub>
          <m:sSubPr/>
          <m:e>
            <m:r>
              <m:rPr/>
              <m:t>ν</m:t>
            </m:r>
          </m:e>
          <m:sub>
            <m:r>
              <m:rPr/>
              <m:t>e</m:t>
            </m:r>
          </m:sub>
        </m:sSub>
      </m:oMath>
      <w:r>
        <w:rPr>
          <w:rFonts w:hint="eastAsia"/>
        </w:rPr>
        <w:t>不宜作为工程反演目标。</w:t>
      </w:r>
    </w:p>
    <w:p w14:paraId="1A6E03C0">
      <w:r>
        <w:rPr>
          <w:rFonts w:hint="eastAsia"/>
        </w:rPr>
        <w:t>需要强调的是,虽然碰撞频率</w:t>
      </w:r>
      <m:oMath>
        <m:sSub>
          <m:sSubPr/>
          <m:e>
            <m:r>
              <m:rPr/>
              <m:t>ν</m:t>
            </m:r>
          </m:e>
          <m:sub>
            <m:r>
              <m:rPr/>
              <m:t>e</m:t>
            </m:r>
          </m:sub>
        </m:sSub>
      </m:oMath>
      <w:r>
        <w:rPr>
          <w:rFonts w:hint="eastAsia"/>
        </w:rPr>
        <w:t>会通过阻尼机制影响信号幅度,但本文并未把幅度作为独立反演通道,而仅将窗口幅度用于构造加权似然中的置信度权重。这是因为在实际系统中,幅度测量更容易受到链路增益漂移、天线响应和功率波动等因素影响,其绝对标定难度显著高于时延测量。因而在本文所讨论的群时延诊断链路中,</w:t>
      </w:r>
      <m:oMath>
        <m:sSub>
          <m:sSubPr/>
          <m:e>
            <m:r>
              <m:rPr/>
              <m:t>ν</m:t>
            </m:r>
          </m:e>
          <m:sub>
            <m:r>
              <m:rPr/>
              <m:t>e</m:t>
            </m:r>
          </m:sub>
        </m:sSub>
      </m:oMath>
      <w:r>
        <w:rPr>
          <w:rFonts w:hint="eastAsia"/>
        </w:rPr>
        <w:t>始终只作为经验常数处理,而不改变”仅反演</w:t>
      </w:r>
      <m:oMath>
        <m:sSub>
          <m:sSubPr/>
          <m:e>
            <m:r>
              <m:rPr/>
              <m:t>n</m:t>
            </m:r>
          </m:e>
          <m:sub>
            <m:r>
              <m:rPr/>
              <m:t>e</m:t>
            </m:r>
          </m:sub>
        </m:sSub>
      </m:oMath>
      <w:r>
        <w:rPr>
          <w:rFonts w:hint="eastAsia"/>
        </w:rPr>
        <w:t>“的工程结论。</w:t>
      </w:r>
    </w:p>
    <w:bookmarkEnd w:id="83"/>
    <w:p w14:paraId="73164BA2">
      <w:pPr>
        <w:pStyle w:val="5"/>
      </w:pPr>
      <w:bookmarkStart w:id="84" w:name="角点图联合后验分布的几何结构"/>
      <w:r>
        <w:rPr>
          <w:rFonts w:hint="eastAsia"/>
        </w:rPr>
        <w:t>角点图：联合后验分布的几何结构</w:t>
      </w:r>
    </w:p>
    <w:p w14:paraId="03B996F7">
      <w:r>
        <w:rPr>
          <w:rFonts w:hint="eastAsia"/>
        </w:rPr>
        <w:t>图4-12以角点图形式展示了</w:t>
      </w:r>
      <m:oMath>
        <m:r>
          <m:rPr>
            <m:sty m:val="p"/>
          </m:rPr>
          <m:t>(</m:t>
        </m:r>
        <m:sSub>
          <m:sSubPr/>
          <m:e>
            <m:r>
              <m:rPr/>
              <m:t>n</m:t>
            </m:r>
          </m:e>
          <m:sub>
            <m:r>
              <m:rPr/>
              <m:t>e</m:t>
            </m:r>
          </m:sub>
        </m:sSub>
        <m:r>
          <m:rPr>
            <m:sty m:val="p"/>
          </m:rPr>
          <m:t>,</m:t>
        </m:r>
        <m:sSub>
          <m:sSubPr/>
          <m:e>
            <m:r>
              <m:rPr/>
              <m:t>ν</m:t>
            </m:r>
          </m:e>
          <m:sub>
            <m:r>
              <m:rPr/>
              <m:t>e</m:t>
            </m:r>
          </m:sub>
        </m:sSub>
        <m:r>
          <m:rPr>
            <m:sty m:val="p"/>
          </m:rPr>
          <m:t>)</m:t>
        </m:r>
      </m:oMath>
      <w:r>
        <w:rPr>
          <w:rFonts w:hint="eastAsia"/>
        </w:rPr>
        <w:t>的二维联合后验结构，这是贝叶斯参数估计中最具信息量的可视化工具。</w:t>
      </w:r>
    </w:p>
    <w:p w14:paraId="2AE32F00">
      <w:r>
        <w:drawing>
          <wp:inline distT="0" distB="0" distL="114300" distR="114300">
            <wp:extent cx="5753100" cy="5367655"/>
            <wp:effectExtent l="0" t="0" r="0" b="0"/>
            <wp:docPr id="2120017860" name="Picture" descr="图4-12 参数联合后验分布角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17860" name="Picture" descr="图4-12 参数联合后验分布角点图"/>
                    <pic:cNvPicPr>
                      <a:picLocks noChangeAspect="1" noChangeArrowheads="1"/>
                    </pic:cNvPicPr>
                  </pic:nvPicPr>
                  <pic:blipFill>
                    <a:blip r:embed="rId28"/>
                    <a:stretch>
                      <a:fillRect/>
                    </a:stretch>
                  </pic:blipFill>
                  <pic:spPr>
                    <a:xfrm>
                      <a:off x="0" y="0"/>
                      <a:ext cx="5753100" cy="5367760"/>
                    </a:xfrm>
                    <a:prstGeom prst="rect">
                      <a:avLst/>
                    </a:prstGeom>
                    <a:noFill/>
                    <a:ln w="9525">
                      <a:noFill/>
                    </a:ln>
                  </pic:spPr>
                </pic:pic>
              </a:graphicData>
            </a:graphic>
          </wp:inline>
        </w:drawing>
      </w:r>
    </w:p>
    <w:p w14:paraId="022B354A">
      <w:r>
        <w:rPr>
          <w:rFonts w:hint="eastAsia"/>
        </w:rPr>
        <w:t>图4-12</w:t>
      </w:r>
      <w:r>
        <w:t xml:space="preserve"> </w:t>
      </w:r>
      <w:r>
        <w:rPr>
          <w:rFonts w:hint="eastAsia"/>
        </w:rPr>
        <w:t>参数联合后验分布角点图</w:t>
      </w:r>
    </w:p>
    <w:p w14:paraId="0CFA59FB">
      <w:pPr>
        <w:rPr>
          <w:b w:val="0"/>
          <w:bCs w:val="0"/>
        </w:rPr>
      </w:pPr>
      <w:r>
        <w:rPr>
          <w:rFonts w:hint="eastAsia"/>
        </w:rPr>
        <w:t>角点图的核心区域（左下子图）展示了联合后验分布的散点图。可以观察到特征性的</w:t>
      </w:r>
      <w:r>
        <w:rPr>
          <w:rFonts w:hint="eastAsia"/>
          <w:b/>
          <w:bCs/>
        </w:rPr>
        <w:t>纵向长条</w:t>
      </w:r>
      <w:r>
        <w:rPr>
          <w:rFonts w:hint="eastAsia"/>
        </w:rPr>
        <w:t>结构：散点在</w:t>
      </w:r>
      <m:oMath>
        <m:sSub>
          <m:sSubPr/>
          <m:e>
            <m:r>
              <m:rPr/>
              <m:t>n</m:t>
            </m:r>
          </m:e>
          <m:sub>
            <m:r>
              <m:rPr/>
              <m:t>e</m:t>
            </m:r>
          </m:sub>
        </m:sSub>
      </m:oMath>
      <w:r>
        <w:rPr>
          <w:rFonts w:hint="eastAsia"/>
        </w:rPr>
        <w:t>维度高度聚集于一个狭窄的垂直带内（宽度约</w:t>
      </w:r>
      <m:oMath>
        <m:r>
          <m:rPr>
            <m:sty m:val="p"/>
          </m:rPr>
          <m:t>±</m:t>
        </m:r>
        <m:r>
          <m:rPr/>
          <m:t>3</m:t>
        </m:r>
        <m:r>
          <m:rPr>
            <m:sty m:val="p"/>
          </m:rPr>
          <m:t>%</m:t>
        </m:r>
      </m:oMath>
      <w:r>
        <w:rPr>
          <w:rFonts w:hint="eastAsia"/>
        </w:rPr>
        <w:t>），而在</w:t>
      </w:r>
      <m:oMath>
        <m:sSub>
          <m:sSubPr/>
          <m:e>
            <m:r>
              <m:rPr/>
              <m:t>ν</m:t>
            </m:r>
          </m:e>
          <m:sub>
            <m:r>
              <m:rPr/>
              <m:t>e</m:t>
            </m:r>
          </m:sub>
        </m:sSub>
      </m:oMath>
      <w:r>
        <w:rPr>
          <w:rFonts w:hint="eastAsia"/>
        </w:rPr>
        <w:t>维度则弥散覆盖整个先验范围</w:t>
      </w:r>
      <m:oMath>
        <m:r>
          <m:rPr>
            <m:sty m:val="p"/>
          </m:rPr>
          <m:t>[</m:t>
        </m:r>
        <m:r>
          <m:rPr/>
          <m:t>0.1</m:t>
        </m:r>
        <m:r>
          <m:rPr>
            <m:sty m:val="p"/>
          </m:rPr>
          <m:t>,</m:t>
        </m:r>
        <m:r>
          <m:rPr/>
          <m:t>5</m:t>
        </m:r>
        <m:r>
          <m:rPr>
            <m:sty m:val="p"/>
          </m:rPr>
          <m:t>]</m:t>
        </m:r>
      </m:oMath>
      <w:r>
        <w:t xml:space="preserve"> </w:t>
      </w:r>
      <w:r>
        <w:rPr>
          <w:rFonts w:hint="eastAsia"/>
        </w:rPr>
        <w:t>GHz。该几何结构可直接解读为——</w:t>
      </w:r>
      <w:r>
        <w:rPr>
          <w:rFonts w:hint="eastAsia"/>
          <w:b w:val="0"/>
          <w:bCs w:val="0"/>
        </w:rPr>
        <w:t>在本诊断链路下，无论</w:t>
      </w:r>
      <m:oMath>
        <m:sSub>
          <m:sSubPr>
            <m:ctrlPr>
              <w:rPr>
                <w:rFonts w:ascii="Cambria Math" w:hAnsi="Cambria Math"/>
                <w:b w:val="0"/>
                <w:bCs w:val="0"/>
              </w:rPr>
            </m:ctrlPr>
          </m:sSubPr>
          <m:e>
            <m:r>
              <m:rPr/>
              <w:rPr>
                <w:rFonts w:ascii="Times New Roman" w:hAnsi="Times New Roman"/>
              </w:rPr>
              <m:t>ν</m:t>
            </m:r>
            <m:ctrlPr>
              <w:rPr>
                <w:rFonts w:ascii="Cambria Math" w:hAnsi="Cambria Math"/>
                <w:b w:val="0"/>
                <w:bCs w:val="0"/>
              </w:rPr>
            </m:ctrlPr>
          </m:e>
          <m:sub>
            <m:r>
              <m:rPr/>
              <w:rPr>
                <w:rFonts w:ascii="Times New Roman" w:hAnsi="Times New Roman"/>
              </w:rPr>
              <m:t>e</m:t>
            </m:r>
            <m:ctrlPr>
              <w:rPr>
                <w:rFonts w:ascii="Cambria Math" w:hAnsi="Cambria Math"/>
                <w:b w:val="0"/>
                <w:bCs w:val="0"/>
              </w:rPr>
            </m:ctrlPr>
          </m:sub>
        </m:sSub>
      </m:oMath>
      <w:r>
        <w:rPr>
          <w:rFonts w:hint="eastAsia"/>
          <w:b w:val="0"/>
          <w:bCs w:val="0"/>
        </w:rPr>
        <w:t>取何值，</w:t>
      </w:r>
      <m:oMath>
        <m:sSub>
          <m:sSubPr>
            <m:ctrlPr>
              <w:rPr>
                <w:rFonts w:ascii="Cambria Math" w:hAnsi="Cambria Math"/>
                <w:b w:val="0"/>
                <w:bCs w:val="0"/>
              </w:rPr>
            </m:ctrlPr>
          </m:sSubPr>
          <m:e>
            <m:r>
              <m:rPr/>
              <w:rPr>
                <w:rFonts w:ascii="Times New Roman" w:hAnsi="Times New Roman"/>
              </w:rPr>
              <m:t>n</m:t>
            </m:r>
            <m:ctrlPr>
              <w:rPr>
                <w:rFonts w:ascii="Cambria Math" w:hAnsi="Cambria Math"/>
                <w:b w:val="0"/>
                <w:bCs w:val="0"/>
              </w:rPr>
            </m:ctrlPr>
          </m:e>
          <m:sub>
            <m:r>
              <m:rPr/>
              <w:rPr>
                <w:rFonts w:ascii="Times New Roman" w:hAnsi="Times New Roman"/>
              </w:rPr>
              <m:t>e</m:t>
            </m:r>
            <m:ctrlPr>
              <w:rPr>
                <w:rFonts w:ascii="Cambria Math" w:hAnsi="Cambria Math"/>
                <w:b w:val="0"/>
                <w:bCs w:val="0"/>
              </w:rPr>
            </m:ctrlPr>
          </m:sub>
        </m:sSub>
      </m:oMath>
      <w:r>
        <w:rPr>
          <w:rFonts w:hint="eastAsia"/>
          <w:b w:val="0"/>
          <w:bCs w:val="0"/>
        </w:rPr>
        <w:t>都被观测数据约束在很窄的范围内</w:t>
      </w:r>
      <w:r>
        <w:rPr>
          <w:b w:val="0"/>
          <w:bCs w:val="0"/>
        </w:rPr>
        <w:t>。</w:t>
      </w:r>
    </w:p>
    <w:p w14:paraId="01B3C4AE">
      <w:r>
        <w:rPr>
          <w:rFonts w:hint="eastAsia"/>
        </w:rPr>
        <w:t>上述结构可视为”参数弱耦合”的直观证据：在仅基于群时延观测量的条件下，主参数</w:t>
      </w:r>
      <m:oMath>
        <m:sSub>
          <m:sSubPr/>
          <m:e>
            <m:r>
              <m:rPr/>
              <m:t>n</m:t>
            </m:r>
          </m:e>
          <m:sub>
            <m:r>
              <m:rPr/>
              <m:t>e</m:t>
            </m:r>
          </m:sub>
        </m:sSub>
      </m:oMath>
      <w:r>
        <w:rPr>
          <w:rFonts w:hint="eastAsia"/>
        </w:rPr>
        <w:t>的反演精度对次级参数</w:t>
      </w:r>
      <m:oMath>
        <m:sSub>
          <m:sSubPr/>
          <m:e>
            <m:r>
              <m:rPr/>
              <m:t>ν</m:t>
            </m:r>
          </m:e>
          <m:sub>
            <m:r>
              <m:rPr/>
              <m:t>e</m:t>
            </m:r>
          </m:sub>
        </m:sSub>
      </m:oMath>
      <w:r>
        <w:rPr>
          <w:rFonts w:hint="eastAsia"/>
        </w:rPr>
        <w:t>的依赖程度较低。为定量刻画耦合程度，计算后验样本的皮尔逊相关系数：</w:t>
      </w:r>
      <m:oMath>
        <m:sSub>
          <m:sSubPr/>
          <m:e>
            <m:r>
              <m:rPr/>
              <m:t>ρ</m:t>
            </m:r>
          </m:e>
          <m:sub>
            <m:sSub>
              <m:sSubPr/>
              <m:e>
                <m:r>
                  <m:rPr/>
                  <m:t>n</m:t>
                </m:r>
              </m:e>
              <m:sub>
                <m:r>
                  <m:rPr/>
                  <m:t>e</m:t>
                </m:r>
              </m:sub>
            </m:sSub>
            <m:r>
              <m:rPr>
                <m:sty m:val="p"/>
              </m:rPr>
              <m:t>,</m:t>
            </m:r>
            <m:sSub>
              <m:sSubPr/>
              <m:e>
                <m:r>
                  <m:rPr/>
                  <m:t>ν</m:t>
                </m:r>
              </m:e>
              <m:sub>
                <m:r>
                  <m:rPr/>
                  <m:t>e</m:t>
                </m:r>
              </m:sub>
            </m:sSub>
          </m:sub>
        </m:sSub>
        <m:r>
          <m:rPr>
            <m:sty m:val="p"/>
          </m:rPr>
          <m:t>=</m:t>
        </m:r>
        <m:r>
          <m:rPr/>
          <m:t>0.126</m:t>
        </m:r>
      </m:oMath>
      <w:r>
        <w:rPr>
          <w:rFonts w:hint="eastAsia"/>
        </w:rPr>
        <w:t>，表明两参数仅呈现弱相关关系。</w:t>
      </w:r>
    </w:p>
    <w:p w14:paraId="04F1339B">
      <w:r>
        <w:rPr>
          <w:rFonts w:hint="eastAsia"/>
        </w:rPr>
        <w:t>此外，角点图中真值点（红色十字）位于</w:t>
      </w:r>
      <m:oMath>
        <m:sSub>
          <m:sSubPr/>
          <m:e>
            <m:r>
              <m:rPr/>
              <m:t>n</m:t>
            </m:r>
          </m:e>
          <m:sub>
            <m:r>
              <m:rPr/>
              <m:t>e</m:t>
            </m:r>
          </m:sub>
        </m:sSub>
      </m:oMath>
      <w:r>
        <w:rPr>
          <w:rFonts w:hint="eastAsia"/>
        </w:rPr>
        <w:t>后验分布的高密度区域内，表明95%置信区间成功覆盖真值——这是统计学上判定反演结果有效性的基本标准。</w:t>
      </w:r>
    </w:p>
    <w:bookmarkEnd w:id="84"/>
    <w:p w14:paraId="27910ED7">
      <w:pPr>
        <w:pStyle w:val="5"/>
      </w:pPr>
      <w:bookmarkStart w:id="85" w:name="X9ad93bfd2b49f0a06206eb1ada8cf10fbf0ef0a"/>
      <w:r>
        <w:rPr>
          <w:rFonts w:hint="eastAsia"/>
        </w:rPr>
        <w:t>拟合优度验证：测量点与后验预测的一致性（Posterior</w:t>
      </w:r>
      <w:r>
        <w:t xml:space="preserve"> Predictive </w:t>
      </w:r>
      <w:r>
        <w:rPr>
          <w:rFonts w:hint="eastAsia"/>
        </w:rPr>
        <w:t>Check）</w:t>
      </w:r>
    </w:p>
    <w:p w14:paraId="03A8C230">
      <w:r>
        <w:rPr>
          <w:rFonts w:hint="eastAsia"/>
        </w:rPr>
        <w:t>前述分析主要在参数域给出了后验分布形态与可辨识性差异。为进一步从数据域验证反演结果的自洽性，本节补充给出“测量点—理论曲线—后验预测”的拟合优度验证：一方面比较ESPRIT提取的“频率–时延”测量点与Drude理论真值曲线的一致性；另一方面展示由MCMC后验样本生成的预测曲线族及其不确定性带。</w:t>
      </w:r>
    </w:p>
    <w:p w14:paraId="6C5D5927">
      <w:r>
        <w:drawing>
          <wp:inline distT="0" distB="0" distL="114300" distR="114300">
            <wp:extent cx="5753100" cy="3835400"/>
            <wp:effectExtent l="0" t="0" r="0" b="0"/>
            <wp:docPr id="2120017862" name="Picture" descr="图4-13(a) 测量点与Drude理论曲线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17862" name="Picture" descr="图4-13(a) 测量点与Drude理论曲线对比"/>
                    <pic:cNvPicPr>
                      <a:picLocks noChangeAspect="1" noChangeArrowheads="1"/>
                    </pic:cNvPicPr>
                  </pic:nvPicPr>
                  <pic:blipFill>
                    <a:blip r:embed="rId29"/>
                    <a:stretch>
                      <a:fillRect/>
                    </a:stretch>
                  </pic:blipFill>
                  <pic:spPr>
                    <a:xfrm>
                      <a:off x="0" y="0"/>
                      <a:ext cx="5753100" cy="3835400"/>
                    </a:xfrm>
                    <a:prstGeom prst="rect">
                      <a:avLst/>
                    </a:prstGeom>
                    <a:noFill/>
                    <a:ln w="9525">
                      <a:noFill/>
                    </a:ln>
                  </pic:spPr>
                </pic:pic>
              </a:graphicData>
            </a:graphic>
          </wp:inline>
        </w:drawing>
      </w:r>
    </w:p>
    <w:p w14:paraId="17929F84">
      <w:r>
        <w:rPr>
          <w:rFonts w:hint="eastAsia"/>
        </w:rPr>
        <w:t>图4-13(a)</w:t>
      </w:r>
      <w:r>
        <w:t xml:space="preserve"> </w:t>
      </w:r>
      <w:r>
        <w:rPr>
          <w:rFonts w:hint="eastAsia"/>
        </w:rPr>
        <w:t>测量点与Drude理论曲线对比</w:t>
      </w:r>
    </w:p>
    <w:p w14:paraId="242B0988">
      <w:r>
        <w:drawing>
          <wp:inline distT="0" distB="0" distL="114300" distR="114300">
            <wp:extent cx="5753100" cy="2876550"/>
            <wp:effectExtent l="0" t="0" r="0" b="0"/>
            <wp:docPr id="2120017864" name="Picture" descr="图4-13(b) MCMC拟合结果：后验均值曲线与95%置信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17864" name="Picture" descr="图4-13(b) MCMC拟合结果：后验均值曲线与95%置信带"/>
                    <pic:cNvPicPr>
                      <a:picLocks noChangeAspect="1" noChangeArrowheads="1"/>
                    </pic:cNvPicPr>
                  </pic:nvPicPr>
                  <pic:blipFill>
                    <a:blip r:embed="rId30"/>
                    <a:stretch>
                      <a:fillRect/>
                    </a:stretch>
                  </pic:blipFill>
                  <pic:spPr>
                    <a:xfrm>
                      <a:off x="0" y="0"/>
                      <a:ext cx="5753100" cy="2876550"/>
                    </a:xfrm>
                    <a:prstGeom prst="rect">
                      <a:avLst/>
                    </a:prstGeom>
                    <a:noFill/>
                    <a:ln w="9525">
                      <a:noFill/>
                    </a:ln>
                  </pic:spPr>
                </pic:pic>
              </a:graphicData>
            </a:graphic>
          </wp:inline>
        </w:drawing>
      </w:r>
    </w:p>
    <w:p w14:paraId="6B76DBE0">
      <w:r>
        <w:rPr>
          <w:rFonts w:hint="eastAsia"/>
        </w:rPr>
        <w:t>图4-13(b)</w:t>
      </w:r>
      <w:r>
        <w:t xml:space="preserve"> </w:t>
      </w:r>
      <w:r>
        <w:rPr>
          <w:rFonts w:hint="eastAsia"/>
        </w:rPr>
        <w:t>MCMC拟合结果：后验均值曲线与95%置信带</w:t>
      </w:r>
    </w:p>
    <w:p w14:paraId="26AF15D1">
      <w:r>
        <w:rPr>
          <w:rFonts w:hint="eastAsia"/>
        </w:rPr>
        <w:t>如图4-13(a)所示，ESPRIT提取的测量点沿频率轴分布并整体紧贴Drude模型理论曲线，表明“滑动窗口—ESPRIT”特征提取能够有效恢复强色散条件下的群时延演化趋势。在此基础上，图4-13(b)进一步给出了MCMC后验预测：红色后验均值曲线与测量点拟合良好，且由后验样本生成的95%置信带能够覆盖主要测量点分布范围。这一结果从数据域层面补充证明了：在本诊断链路与噪声水平下，基于Drude模型的贝叶斯反演不仅能给出稳定的</w:t>
      </w:r>
      <m:oMath>
        <m:sSub>
          <m:sSubPr/>
          <m:e>
            <m:r>
              <m:rPr/>
              <m:t>n</m:t>
            </m:r>
          </m:e>
          <m:sub>
            <m:r>
              <m:rPr/>
              <m:t>e</m:t>
            </m:r>
          </m:sub>
        </m:sSub>
      </m:oMath>
      <w:r>
        <w:rPr>
          <w:rFonts w:hint="eastAsia"/>
        </w:rPr>
        <w:t>点估计，还能提供与观测一致的预测不确定性刻画。</w:t>
      </w:r>
    </w:p>
    <w:bookmarkEnd w:id="85"/>
    <w:p w14:paraId="78027BE1">
      <w:pPr>
        <w:pStyle w:val="5"/>
      </w:pPr>
      <w:bookmarkStart w:id="86" w:name="参数空间内的鲁棒性扫描"/>
      <w:r>
        <w:rPr>
          <w:rFonts w:hint="eastAsia"/>
        </w:rPr>
        <w:t>参数空间内的鲁棒性扫描</w:t>
      </w:r>
    </w:p>
    <w:p w14:paraId="05C26DE1">
      <w:r>
        <w:rPr>
          <w:rFonts w:hint="eastAsia"/>
        </w:rPr>
        <w:t>为考察上述结论在不同等离子体参数配置下是否仍然成立,本节进行了参数扫描实验。在</w:t>
      </w:r>
      <m:oMath>
        <m:sSub>
          <m:sSubPr/>
          <m:e>
            <m:r>
              <m:rPr/>
              <m:t>f</m:t>
            </m:r>
          </m:e>
          <m:sub>
            <m:r>
              <m:rPr/>
              <m:t>p</m:t>
            </m:r>
          </m:sub>
        </m:sSub>
        <m:r>
          <m:rPr>
            <m:sty m:val="p"/>
          </m:rPr>
          <m:t>∈[</m:t>
        </m:r>
        <m:r>
          <m:rPr/>
          <m:t>25</m:t>
        </m:r>
        <m:r>
          <m:rPr>
            <m:sty m:val="p"/>
          </m:rPr>
          <m:t>,</m:t>
        </m:r>
        <m:r>
          <m:rPr/>
          <m:t>32</m:t>
        </m:r>
        <m:r>
          <m:rPr>
            <m:sty m:val="p"/>
          </m:rPr>
          <m:t>]</m:t>
        </m:r>
      </m:oMath>
      <w:r>
        <w:t xml:space="preserve"> </w:t>
      </w:r>
      <w:r>
        <w:rPr>
          <w:rFonts w:hint="eastAsia"/>
        </w:rPr>
        <w:t>GHz范围内选取8个截止频率值,</w:t>
      </w:r>
      <m:oMath>
        <m:sSub>
          <m:sSubPr/>
          <m:e>
            <m:r>
              <m:rPr/>
              <m:t>ν</m:t>
            </m:r>
          </m:e>
          <m:sub>
            <m:r>
              <m:rPr/>
              <m:t>e</m:t>
            </m:r>
          </m:sub>
        </m:sSub>
        <m:r>
          <m:rPr>
            <m:sty m:val="p"/>
          </m:rPr>
          <m:t>∈[</m:t>
        </m:r>
        <m:r>
          <m:rPr/>
          <m:t>0.5</m:t>
        </m:r>
        <m:r>
          <m:rPr>
            <m:sty m:val="p"/>
          </m:rPr>
          <m:t>,</m:t>
        </m:r>
        <m:r>
          <m:rPr/>
          <m:t>3.0</m:t>
        </m:r>
        <m:r>
          <m:rPr>
            <m:sty m:val="p"/>
          </m:rPr>
          <m:t>]</m:t>
        </m:r>
      </m:oMath>
      <w:r>
        <w:t xml:space="preserve"> </w:t>
      </w:r>
      <w:r>
        <w:rPr>
          <w:rFonts w:hint="eastAsia"/>
        </w:rPr>
        <w:t>GHz范围内选取6个碰撞频率值,共计48组参数组合,统计后验CV值。该扫描仍服务于第四章的核心问题,即检验“固定</w:t>
      </w:r>
      <m:oMath>
        <m:sSub>
          <m:sSubPr/>
          <m:e>
            <m:r>
              <m:rPr/>
              <m:t>ν</m:t>
            </m:r>
          </m:e>
          <m:sub>
            <m:r>
              <m:rPr/>
              <m:t>e</m:t>
            </m:r>
          </m:sub>
        </m:sSub>
      </m:oMath>
      <w:r>
        <w:rPr>
          <w:rFonts w:hint="eastAsia"/>
        </w:rPr>
        <w:t>、反演</w:t>
      </w:r>
      <m:oMath>
        <m:sSub>
          <m:sSubPr/>
          <m:e>
            <m:r>
              <m:rPr/>
              <m:t>n</m:t>
            </m:r>
          </m:e>
          <m:sub>
            <m:r>
              <m:rPr/>
              <m:t>e</m:t>
            </m:r>
          </m:sub>
        </m:sSub>
      </m:oMath>
      <w:r>
        <w:rPr>
          <w:rFonts w:hint="eastAsia"/>
        </w:rPr>
        <w:t>”这一策略在参数空间内是否保持稳定,而非额外扩展新的方法论命题。</w:t>
      </w:r>
    </w:p>
    <w:p w14:paraId="6CB6F909">
      <w:r>
        <w:rPr>
          <w:rFonts w:hint="eastAsia"/>
        </w:rPr>
        <w:t>实验结果表明，在所测试的参数范围内，</w:t>
      </w:r>
      <m:oMath>
        <m:sSub>
          <m:sSubPr/>
          <m:e>
            <m:r>
              <m:rPr/>
              <m:t>n</m:t>
            </m:r>
          </m:e>
          <m:sub>
            <m:r>
              <m:rPr/>
              <m:t>e</m:t>
            </m:r>
          </m:sub>
        </m:sSub>
      </m:oMath>
      <w:r>
        <w:rPr>
          <w:rFonts w:hint="eastAsia"/>
        </w:rPr>
        <w:t>的后验CV整体保持在较低水平，典型值约为</w:t>
      </w:r>
      <m:oMath>
        <m:r>
          <m:rPr/>
          <m:t>1</m:t>
        </m:r>
        <m:r>
          <m:rPr>
            <m:sty m:val="p"/>
          </m:rPr>
          <m:t>%∼</m:t>
        </m:r>
        <m:r>
          <m:rPr/>
          <m:t>6</m:t>
        </m:r>
        <m:r>
          <m:rPr>
            <m:sty m:val="p"/>
          </m:rPr>
          <m:t>%</m:t>
        </m:r>
      </m:oMath>
      <w:r>
        <w:rPr>
          <w:rFonts w:hint="eastAsia"/>
        </w:rPr>
        <w:t>，说明</w:t>
      </w:r>
      <m:oMath>
        <m:sSub>
          <m:sSubPr/>
          <m:e>
            <m:r>
              <m:rPr/>
              <m:t>n</m:t>
            </m:r>
          </m:e>
          <m:sub>
            <m:r>
              <m:rPr/>
              <m:t>e</m:t>
            </m:r>
          </m:sub>
        </m:sSub>
      </m:oMath>
      <w:r>
        <w:rPr>
          <w:rFonts w:hint="eastAsia"/>
        </w:rPr>
        <w:t>在多数工况下均表现为强可辨识参数。相比之下，</w:t>
      </w:r>
      <m:oMath>
        <m:sSub>
          <m:sSubPr/>
          <m:e>
            <m:r>
              <m:rPr/>
              <m:t>ν</m:t>
            </m:r>
          </m:e>
          <m:sub>
            <m:r>
              <m:rPr/>
              <m:t>e</m:t>
            </m:r>
          </m:sub>
        </m:sSub>
      </m:oMath>
      <w:r>
        <w:rPr>
          <w:rFonts w:hint="eastAsia"/>
        </w:rPr>
        <w:t>的后验CV随工况变化较大：在强色散代表工况下可降至约20%量级，但后验均值仍可能偏离真值；在部分较弱色散或极端组合下则进一步升至40%至60%量级，反映出</w:t>
      </w:r>
      <m:oMath>
        <m:sSub>
          <m:sSubPr/>
          <m:e>
            <m:r>
              <m:rPr/>
              <m:t>ν</m:t>
            </m:r>
          </m:e>
          <m:sub>
            <m:r>
              <m:rPr/>
              <m:t>e</m:t>
            </m:r>
          </m:sub>
        </m:sSub>
      </m:oMath>
      <w:r>
        <w:rPr>
          <w:rFonts w:hint="eastAsia"/>
        </w:rPr>
        <w:t>在不同工况下始终缺乏稳定、可复现的识别能力。</w:t>
      </w:r>
    </w:p>
    <w:p w14:paraId="67681186">
      <w:r>
        <w:rPr>
          <w:rFonts w:hint="eastAsia"/>
        </w:rPr>
        <w:t>上述扫描结果支持第4.2.3节提出的参数降维设想：</w:t>
      </w:r>
      <w:r>
        <w:rPr>
          <w:rFonts w:hint="eastAsia"/>
          <w:b/>
          <w:bCs/>
        </w:rPr>
        <w:t>在本文所构建的LFMCW群时延诊断链路中，电子密度</w:t>
      </w:r>
      <m:oMath>
        <m:sSub>
          <m:sSubPr/>
          <m:e>
            <m:r>
              <m:rPr/>
              <m:t>n</m:t>
            </m:r>
          </m:e>
          <m:sub>
            <m:r>
              <m:rPr/>
              <m:t>e</m:t>
            </m:r>
          </m:sub>
        </m:sSub>
      </m:oMath>
      <w:r>
        <w:rPr>
          <w:rFonts w:hint="eastAsia"/>
          <w:b/>
          <w:bCs/>
        </w:rPr>
        <w:t>通常可被稳定反演（后验分布尖峰、CV较低）；而碰撞频率</w:t>
      </w:r>
      <m:oMath>
        <m:sSub>
          <m:sSubPr/>
          <m:e>
            <m:r>
              <m:rPr/>
              <m:t>ν</m:t>
            </m:r>
          </m:e>
          <m:sub>
            <m:r>
              <m:rPr/>
              <m:t>e</m:t>
            </m:r>
          </m:sub>
        </m:sSub>
      </m:oMath>
      <w:r>
        <w:rPr>
          <w:rFonts w:hint="eastAsia"/>
          <w:b/>
          <w:bCs/>
        </w:rPr>
        <w:t>即便在个别工况下表现出一定后验收缩，也难以持续获得与真值一致的稳定点估计，因此不宜进入工程反演环节，应固定为经验常数</w:t>
      </w:r>
      <w:r>
        <w:t>。</w:t>
      </w:r>
    </w:p>
    <w:p w14:paraId="41670037">
      <w:r>
        <w:rPr>
          <w:rFonts w:hint="eastAsia"/>
        </w:rPr>
        <w:t>为给出参数扫描的代表性数值，表4-7列出若干组</w:t>
      </w:r>
      <m:oMath>
        <m:r>
          <m:rPr>
            <m:sty m:val="p"/>
          </m:rPr>
          <m:t>(</m:t>
        </m:r>
        <m:sSub>
          <m:sSubPr/>
          <m:e>
            <m:r>
              <m:rPr/>
              <m:t>f</m:t>
            </m:r>
          </m:e>
          <m:sub>
            <m:r>
              <m:rPr/>
              <m:t>p</m:t>
            </m:r>
          </m:sub>
        </m:sSub>
        <m:r>
          <m:rPr>
            <m:sty m:val="p"/>
          </m:rPr>
          <m:t>,</m:t>
        </m:r>
        <m:sSub>
          <m:sSubPr/>
          <m:e>
            <m:r>
              <m:rPr/>
              <m:t>ν</m:t>
            </m:r>
          </m:e>
          <m:sub>
            <m:r>
              <m:rPr/>
              <m:t>e</m:t>
            </m:r>
          </m:sub>
        </m:sSub>
        <m:r>
          <m:rPr>
            <m:sty m:val="p"/>
          </m:rPr>
          <m:t>)</m:t>
        </m:r>
      </m:oMath>
      <w:r>
        <w:rPr>
          <w:rFonts w:hint="eastAsia"/>
        </w:rPr>
        <w:t>组合下的后验统计结果（SNR</w:t>
      </w:r>
      <w:r>
        <w:t xml:space="preserve"> = 20 </w:t>
      </w:r>
      <w:r>
        <w:rPr>
          <w:rFonts w:hint="eastAsia"/>
        </w:rPr>
        <w:t>dB）。</w:t>
      </w:r>
    </w:p>
    <w:p w14:paraId="6FD32D88">
      <w:r>
        <w:rPr>
          <w:rFonts w:hint="eastAsia"/>
          <w:b/>
          <w:bCs/>
        </w:rPr>
        <w:t>表4-7</w:t>
      </w:r>
      <w:r>
        <w:rPr>
          <w:b/>
          <w:bCs/>
        </w:rPr>
        <w:t xml:space="preserve"> </w:t>
      </w:r>
      <w:r>
        <w:rPr>
          <w:rFonts w:hint="eastAsia"/>
          <w:b/>
          <w:bCs/>
        </w:rPr>
        <w:t>参数扫描代表性组合的后验统计（SNR</w:t>
      </w:r>
      <w:r>
        <w:rPr>
          <w:b/>
          <w:bCs/>
        </w:rPr>
        <w:t xml:space="preserve"> = 20 </w:t>
      </w:r>
      <w:r>
        <w:rPr>
          <w:rFonts w:hint="eastAsia"/>
          <w:b/>
          <w:bCs/>
        </w:rPr>
        <w:t>dB）</w:t>
      </w:r>
    </w:p>
    <w:tbl>
      <w:tblPr>
        <w:tblStyle w:val="30"/>
        <w:tblW w:w="5000" w:type="pct"/>
        <w:tblInd w:w="0" w:type="dxa"/>
        <w:tblLayout w:type="fixed"/>
        <w:tblCellMar>
          <w:top w:w="0" w:type="dxa"/>
          <w:left w:w="108" w:type="dxa"/>
          <w:bottom w:w="0" w:type="dxa"/>
          <w:right w:w="108" w:type="dxa"/>
        </w:tblCellMar>
      </w:tblPr>
      <w:tblGrid>
        <w:gridCol w:w="1501"/>
        <w:gridCol w:w="1501"/>
        <w:gridCol w:w="1501"/>
        <w:gridCol w:w="1501"/>
        <w:gridCol w:w="1501"/>
        <w:gridCol w:w="1501"/>
      </w:tblGrid>
      <w:tr w14:paraId="62165A6B">
        <w:tblPrEx>
          <w:tblCellMar>
            <w:top w:w="0" w:type="dxa"/>
            <w:left w:w="108" w:type="dxa"/>
            <w:bottom w:w="0" w:type="dxa"/>
            <w:right w:w="108" w:type="dxa"/>
          </w:tblCellMar>
        </w:tblPrEx>
        <w:trPr>
          <w:tblHeader/>
        </w:trPr>
        <w:tc>
          <w:p w14:paraId="5B2B377A">
            <w:pPr>
              <w:jc w:val="right"/>
            </w:pPr>
            <w:r>
              <w:rPr>
                <w:rFonts w:hint="eastAsia"/>
              </w:rPr>
              <w:t>截止频率</w:t>
            </w:r>
            <w:r>
              <w:t xml:space="preserve"> </w:t>
            </w:r>
            <m:oMath>
              <m:sSub>
                <m:sSubPr/>
                <m:e>
                  <m:r>
                    <m:rPr/>
                    <m:t>f</m:t>
                  </m:r>
                </m:e>
                <m:sub>
                  <m:r>
                    <m:rPr/>
                    <m:t>p</m:t>
                  </m:r>
                </m:sub>
              </m:sSub>
            </m:oMath>
            <w:r>
              <w:rPr>
                <w:rFonts w:hint="eastAsia"/>
              </w:rPr>
              <w:t>（GHz）</w:t>
            </w:r>
          </w:p>
        </w:tc>
        <w:tc>
          <w:p w14:paraId="567263B0">
            <w:pPr>
              <w:jc w:val="right"/>
            </w:pPr>
            <w:r>
              <w:rPr>
                <w:rFonts w:hint="eastAsia"/>
              </w:rPr>
              <w:t>真值</w:t>
            </w:r>
            <w:r>
              <w:t xml:space="preserve"> </w:t>
            </w:r>
            <m:oMath>
              <m:sSub>
                <m:sSubPr/>
                <m:e>
                  <m:r>
                    <m:rPr/>
                    <m:t>ν</m:t>
                  </m:r>
                </m:e>
                <m:sub>
                  <m:r>
                    <m:rPr/>
                    <m:t>e</m:t>
                  </m:r>
                </m:sub>
              </m:sSub>
            </m:oMath>
            <w:r>
              <w:rPr>
                <w:rFonts w:hint="eastAsia"/>
              </w:rPr>
              <w:t>（GHz）</w:t>
            </w:r>
          </w:p>
        </w:tc>
        <w:tc>
          <w:p w14:paraId="59E6D44D">
            <w:pPr>
              <w:jc w:val="right"/>
            </w:pPr>
            <m:oMath>
              <m:sSub>
                <m:sSubPr/>
                <m:e>
                  <m:acc>
                    <m:accPr/>
                    <m:e>
                      <m:r>
                        <m:rPr/>
                        <m:t>n</m:t>
                      </m:r>
                    </m:e>
                  </m:acc>
                </m:e>
                <m:sub>
                  <m:r>
                    <m:rPr/>
                    <m:t>e</m:t>
                  </m:r>
                </m:sub>
              </m:sSub>
            </m:oMath>
            <w:r>
              <w:rPr>
                <w:rFonts w:hint="eastAsia"/>
              </w:rPr>
              <w:t>相对误差（%）</w:t>
            </w:r>
          </w:p>
        </w:tc>
        <w:tc>
          <w:p w14:paraId="5101D5DD">
            <w:pPr>
              <w:jc w:val="right"/>
            </w:pPr>
            <m:oMath>
              <m:sSub>
                <m:sSubPr/>
                <m:e>
                  <m:r>
                    <m:rPr>
                      <m:nor/>
                      <m:sty m:val="p"/>
                    </m:rPr>
                    <w:rPr>
                      <w:b w:val="0"/>
                      <w:i w:val="0"/>
                    </w:rPr>
                    <m:t>CV</m:t>
                  </m:r>
                </m:e>
                <m:sub>
                  <m:sSub>
                    <m:sSubPr/>
                    <m:e>
                      <m:r>
                        <m:rPr/>
                        <m:t>n</m:t>
                      </m:r>
                    </m:e>
                    <m:sub>
                      <m:r>
                        <m:rPr/>
                        <m:t>e</m:t>
                      </m:r>
                    </m:sub>
                  </m:sSub>
                </m:sub>
              </m:sSub>
            </m:oMath>
            <w:r>
              <w:rPr>
                <w:rFonts w:hint="eastAsia"/>
              </w:rPr>
              <w:t>（%）</w:t>
            </w:r>
          </w:p>
        </w:tc>
        <w:tc>
          <w:p w14:paraId="28B8F9DB">
            <w:pPr>
              <w:jc w:val="right"/>
            </w:pPr>
            <m:oMath>
              <m:sSub>
                <m:sSubPr/>
                <m:e>
                  <m:acc>
                    <m:accPr/>
                    <m:e>
                      <m:r>
                        <m:rPr/>
                        <m:t>ν</m:t>
                      </m:r>
                    </m:e>
                  </m:acc>
                </m:e>
                <m:sub>
                  <m:r>
                    <m:rPr/>
                    <m:t>e</m:t>
                  </m:r>
                </m:sub>
              </m:sSub>
            </m:oMath>
            <w:r>
              <w:rPr>
                <w:rFonts w:hint="eastAsia"/>
              </w:rPr>
              <w:t>（GHz）</w:t>
            </w:r>
          </w:p>
        </w:tc>
        <w:tc>
          <w:p w14:paraId="6648BB1B">
            <w:pPr>
              <w:jc w:val="right"/>
            </w:pPr>
            <m:oMath>
              <m:sSub>
                <m:sSubPr/>
                <m:e>
                  <m:r>
                    <m:rPr>
                      <m:nor/>
                      <m:sty m:val="p"/>
                    </m:rPr>
                    <w:rPr>
                      <w:b w:val="0"/>
                      <w:i w:val="0"/>
                    </w:rPr>
                    <m:t>CV</m:t>
                  </m:r>
                </m:e>
                <m:sub>
                  <m:sSub>
                    <m:sSubPr/>
                    <m:e>
                      <m:r>
                        <m:rPr/>
                        <m:t>ν</m:t>
                      </m:r>
                    </m:e>
                    <m:sub>
                      <m:r>
                        <m:rPr/>
                        <m:t>e</m:t>
                      </m:r>
                    </m:sub>
                  </m:sSub>
                </m:sub>
              </m:sSub>
            </m:oMath>
            <w:r>
              <w:rPr>
                <w:rFonts w:hint="eastAsia"/>
              </w:rPr>
              <w:t>（%）</w:t>
            </w:r>
          </w:p>
        </w:tc>
      </w:tr>
      <w:tr w14:paraId="564A47FC">
        <w:tblPrEx>
          <w:tblCellMar>
            <w:top w:w="0" w:type="dxa"/>
            <w:left w:w="108" w:type="dxa"/>
            <w:bottom w:w="0" w:type="dxa"/>
            <w:right w:w="108" w:type="dxa"/>
          </w:tblCellMar>
        </w:tblPrEx>
        <w:tc>
          <w:p w14:paraId="0D159347">
            <w:pPr>
              <w:jc w:val="right"/>
            </w:pPr>
            <w:r>
              <w:t>25</w:t>
            </w:r>
          </w:p>
        </w:tc>
        <w:tc>
          <w:p w14:paraId="2029AB6A">
            <w:pPr>
              <w:jc w:val="right"/>
            </w:pPr>
            <w:r>
              <w:t>0.5</w:t>
            </w:r>
          </w:p>
        </w:tc>
        <w:tc>
          <w:p w14:paraId="78257023">
            <w:pPr>
              <w:jc w:val="right"/>
            </w:pPr>
            <w:r>
              <w:t>0.61</w:t>
            </w:r>
          </w:p>
        </w:tc>
        <w:tc>
          <w:p w14:paraId="2601F7C6">
            <w:pPr>
              <w:jc w:val="right"/>
            </w:pPr>
            <w:r>
              <w:t>6.21</w:t>
            </w:r>
          </w:p>
        </w:tc>
        <w:tc>
          <w:p w14:paraId="42DEA98E">
            <w:pPr>
              <w:jc w:val="right"/>
            </w:pPr>
            <w:r>
              <w:t>3.37</w:t>
            </w:r>
          </w:p>
        </w:tc>
        <w:tc>
          <w:p w14:paraId="5872141A">
            <w:pPr>
              <w:jc w:val="right"/>
            </w:pPr>
            <w:r>
              <w:t>41.17</w:t>
            </w:r>
          </w:p>
        </w:tc>
      </w:tr>
      <w:tr w14:paraId="51590B77">
        <w:tblPrEx>
          <w:tblCellMar>
            <w:top w:w="0" w:type="dxa"/>
            <w:left w:w="108" w:type="dxa"/>
            <w:bottom w:w="0" w:type="dxa"/>
            <w:right w:w="108" w:type="dxa"/>
          </w:tblCellMar>
        </w:tblPrEx>
        <w:tc>
          <w:p w14:paraId="03C358B5">
            <w:pPr>
              <w:jc w:val="right"/>
            </w:pPr>
            <w:r>
              <w:t>26</w:t>
            </w:r>
          </w:p>
        </w:tc>
        <w:tc>
          <w:p w14:paraId="1D635472">
            <w:pPr>
              <w:jc w:val="right"/>
            </w:pPr>
            <w:r>
              <w:t>1.0</w:t>
            </w:r>
          </w:p>
        </w:tc>
        <w:tc>
          <w:p w14:paraId="25115A0E">
            <w:pPr>
              <w:jc w:val="right"/>
            </w:pPr>
            <w:r>
              <w:t>0.43</w:t>
            </w:r>
          </w:p>
        </w:tc>
        <w:tc>
          <w:p w14:paraId="067255F8">
            <w:pPr>
              <w:jc w:val="right"/>
            </w:pPr>
            <w:r>
              <w:t>5.12</w:t>
            </w:r>
          </w:p>
        </w:tc>
        <w:tc>
          <w:p w14:paraId="2D72C62C">
            <w:pPr>
              <w:jc w:val="right"/>
            </w:pPr>
            <w:r>
              <w:t>2.91</w:t>
            </w:r>
          </w:p>
        </w:tc>
        <w:tc>
          <w:p w14:paraId="4E612196">
            <w:pPr>
              <w:jc w:val="right"/>
            </w:pPr>
            <w:r>
              <w:t>48.61</w:t>
            </w:r>
          </w:p>
        </w:tc>
      </w:tr>
      <w:tr w14:paraId="79EF2A7E">
        <w:tblPrEx>
          <w:tblCellMar>
            <w:top w:w="0" w:type="dxa"/>
            <w:left w:w="108" w:type="dxa"/>
            <w:bottom w:w="0" w:type="dxa"/>
            <w:right w:w="108" w:type="dxa"/>
          </w:tblCellMar>
        </w:tblPrEx>
        <w:tc>
          <w:p w14:paraId="172CCF18">
            <w:pPr>
              <w:jc w:val="right"/>
            </w:pPr>
            <w:r>
              <w:t>26</w:t>
            </w:r>
          </w:p>
        </w:tc>
        <w:tc>
          <w:p w14:paraId="4F070BCD">
            <w:pPr>
              <w:jc w:val="right"/>
            </w:pPr>
            <w:r>
              <w:t>1.5</w:t>
            </w:r>
          </w:p>
        </w:tc>
        <w:tc>
          <w:p w14:paraId="59178037">
            <w:pPr>
              <w:jc w:val="right"/>
            </w:pPr>
            <w:r>
              <w:t>0.12</w:t>
            </w:r>
          </w:p>
        </w:tc>
        <w:tc>
          <w:p w14:paraId="2A5B490E">
            <w:pPr>
              <w:jc w:val="right"/>
            </w:pPr>
            <w:r>
              <w:t>4.28</w:t>
            </w:r>
          </w:p>
        </w:tc>
        <w:tc>
          <w:p w14:paraId="37796729">
            <w:pPr>
              <w:jc w:val="right"/>
            </w:pPr>
            <w:r>
              <w:t>2.41</w:t>
            </w:r>
          </w:p>
        </w:tc>
        <w:tc>
          <w:p w14:paraId="02FC1EDC">
            <w:pPr>
              <w:jc w:val="right"/>
            </w:pPr>
            <w:r>
              <w:t>61.39</w:t>
            </w:r>
          </w:p>
        </w:tc>
      </w:tr>
      <w:tr w14:paraId="2B123195">
        <w:tblPrEx>
          <w:tblCellMar>
            <w:top w:w="0" w:type="dxa"/>
            <w:left w:w="108" w:type="dxa"/>
            <w:bottom w:w="0" w:type="dxa"/>
            <w:right w:w="108" w:type="dxa"/>
          </w:tblCellMar>
        </w:tblPrEx>
        <w:tc>
          <w:p w14:paraId="698CEB09">
            <w:pPr>
              <w:jc w:val="right"/>
            </w:pPr>
            <w:r>
              <w:t>27</w:t>
            </w:r>
          </w:p>
        </w:tc>
        <w:tc>
          <w:p w14:paraId="244292D7">
            <w:pPr>
              <w:jc w:val="right"/>
            </w:pPr>
            <w:r>
              <w:t>1.5</w:t>
            </w:r>
          </w:p>
        </w:tc>
        <w:tc>
          <w:p w14:paraId="0E4FF992">
            <w:pPr>
              <w:jc w:val="right"/>
            </w:pPr>
            <w:r>
              <w:t>0.17</w:t>
            </w:r>
          </w:p>
        </w:tc>
        <w:tc>
          <w:p w14:paraId="198A2CA7">
            <w:pPr>
              <w:jc w:val="right"/>
            </w:pPr>
            <w:r>
              <w:t>4.20</w:t>
            </w:r>
          </w:p>
        </w:tc>
        <w:tc>
          <w:p w14:paraId="0D115F99">
            <w:pPr>
              <w:jc w:val="right"/>
            </w:pPr>
            <w:r>
              <w:t>2.49</w:t>
            </w:r>
          </w:p>
        </w:tc>
        <w:tc>
          <w:p w14:paraId="28143F10">
            <w:pPr>
              <w:jc w:val="right"/>
            </w:pPr>
            <w:r>
              <w:t>54.75</w:t>
            </w:r>
          </w:p>
        </w:tc>
      </w:tr>
      <w:tr w14:paraId="2E12CF22">
        <w:tblPrEx>
          <w:tblCellMar>
            <w:top w:w="0" w:type="dxa"/>
            <w:left w:w="108" w:type="dxa"/>
            <w:bottom w:w="0" w:type="dxa"/>
            <w:right w:w="108" w:type="dxa"/>
          </w:tblCellMar>
        </w:tblPrEx>
        <w:tc>
          <w:p w14:paraId="1114BE70">
            <w:pPr>
              <w:jc w:val="right"/>
            </w:pPr>
            <w:r>
              <w:t>28</w:t>
            </w:r>
          </w:p>
        </w:tc>
        <w:tc>
          <w:p w14:paraId="1ED9459C">
            <w:pPr>
              <w:jc w:val="right"/>
            </w:pPr>
            <w:r>
              <w:t>2.0</w:t>
            </w:r>
          </w:p>
        </w:tc>
        <w:tc>
          <w:p w14:paraId="27632FDC">
            <w:pPr>
              <w:jc w:val="right"/>
            </w:pPr>
            <w:r>
              <w:t>0.02</w:t>
            </w:r>
          </w:p>
        </w:tc>
        <w:tc>
          <w:p w14:paraId="76889593">
            <w:pPr>
              <w:jc w:val="right"/>
            </w:pPr>
            <w:r>
              <w:t>3.30</w:t>
            </w:r>
          </w:p>
        </w:tc>
        <w:tc>
          <w:p w14:paraId="51C285B2">
            <w:pPr>
              <w:jc w:val="right"/>
            </w:pPr>
            <w:r>
              <w:t>2.21</w:t>
            </w:r>
          </w:p>
        </w:tc>
        <w:tc>
          <w:p w14:paraId="194B6CB0">
            <w:pPr>
              <w:jc w:val="right"/>
            </w:pPr>
            <w:r>
              <w:t>61.01</w:t>
            </w:r>
          </w:p>
        </w:tc>
      </w:tr>
      <w:tr w14:paraId="6E9EBDB4">
        <w:tblPrEx>
          <w:tblCellMar>
            <w:top w:w="0" w:type="dxa"/>
            <w:left w:w="108" w:type="dxa"/>
            <w:bottom w:w="0" w:type="dxa"/>
            <w:right w:w="108" w:type="dxa"/>
          </w:tblCellMar>
        </w:tblPrEx>
        <w:tc>
          <w:p w14:paraId="25E64E70">
            <w:pPr>
              <w:jc w:val="right"/>
            </w:pPr>
            <w:r>
              <w:t>29</w:t>
            </w:r>
          </w:p>
        </w:tc>
        <w:tc>
          <w:p w14:paraId="02B912AF">
            <w:pPr>
              <w:jc w:val="right"/>
            </w:pPr>
            <w:r>
              <w:t>2.5</w:t>
            </w:r>
          </w:p>
        </w:tc>
        <w:tc>
          <w:p w14:paraId="56944ED8">
            <w:pPr>
              <w:jc w:val="right"/>
            </w:pPr>
            <w:r>
              <w:t>0.03</w:t>
            </w:r>
          </w:p>
        </w:tc>
        <w:tc>
          <w:p w14:paraId="595BE00E">
            <w:pPr>
              <w:jc w:val="right"/>
            </w:pPr>
            <w:r>
              <w:t>2.61</w:t>
            </w:r>
          </w:p>
        </w:tc>
        <w:tc>
          <w:p w14:paraId="742BA127">
            <w:pPr>
              <w:jc w:val="right"/>
            </w:pPr>
            <w:r>
              <w:t>2.72</w:t>
            </w:r>
          </w:p>
        </w:tc>
        <w:tc>
          <w:p w14:paraId="068EBD33">
            <w:pPr>
              <w:jc w:val="right"/>
            </w:pPr>
            <w:r>
              <w:t>45.91</w:t>
            </w:r>
          </w:p>
        </w:tc>
      </w:tr>
      <w:tr w14:paraId="20E16F27">
        <w:tblPrEx>
          <w:tblCellMar>
            <w:top w:w="0" w:type="dxa"/>
            <w:left w:w="108" w:type="dxa"/>
            <w:bottom w:w="0" w:type="dxa"/>
            <w:right w:w="108" w:type="dxa"/>
          </w:tblCellMar>
        </w:tblPrEx>
        <w:tc>
          <w:p w14:paraId="137969B8">
            <w:pPr>
              <w:jc w:val="right"/>
            </w:pPr>
            <w:r>
              <w:t>30</w:t>
            </w:r>
          </w:p>
        </w:tc>
        <w:tc>
          <w:p w14:paraId="40286EE7">
            <w:pPr>
              <w:jc w:val="right"/>
            </w:pPr>
            <w:r>
              <w:t>3.0</w:t>
            </w:r>
          </w:p>
        </w:tc>
        <w:tc>
          <w:p w14:paraId="71AF053D">
            <w:pPr>
              <w:jc w:val="right"/>
            </w:pPr>
            <w:r>
              <w:t>0.03</w:t>
            </w:r>
          </w:p>
        </w:tc>
        <w:tc>
          <w:p w14:paraId="540358BB">
            <w:pPr>
              <w:jc w:val="right"/>
            </w:pPr>
            <w:r>
              <w:t>1.91</w:t>
            </w:r>
          </w:p>
        </w:tc>
        <w:tc>
          <w:p w14:paraId="22B5A90A">
            <w:pPr>
              <w:jc w:val="right"/>
            </w:pPr>
            <w:r>
              <w:t>2.74</w:t>
            </w:r>
          </w:p>
        </w:tc>
        <w:tc>
          <w:p w14:paraId="6CC7E7CE">
            <w:pPr>
              <w:jc w:val="right"/>
            </w:pPr>
            <w:r>
              <w:t>45.83</w:t>
            </w:r>
          </w:p>
        </w:tc>
      </w:tr>
    </w:tbl>
    <w:p w14:paraId="392CB086"/>
    <w:bookmarkEnd w:id="81"/>
    <w:bookmarkEnd w:id="86"/>
    <w:p w14:paraId="03FC94B2">
      <w:pPr>
        <w:pStyle w:val="4"/>
      </w:pPr>
      <w:bookmarkStart w:id="87" w:name="与传统方法的综合性能对比"/>
      <w:r>
        <w:rPr>
          <w:rFonts w:hint="eastAsia"/>
        </w:rPr>
        <w:t>与传统方法的综合性能对比</w:t>
      </w:r>
    </w:p>
    <w:p w14:paraId="63CB3910">
      <w:r>
        <w:rPr>
          <w:rFonts w:hint="eastAsia"/>
        </w:rPr>
        <w:t>为说明第四章所建立的方法链在强色散诊断中的必要性，本节将本文提出的”ESPRIT—MCMC”框架与文献中常用的”传统全周期FFT单峰方法”进行对比。需要说明的是，本节所称”传统FFT方法”特指对整段差频信号进行一次性全周期FFT并读取单峰的传统处理方案，不同于4.5.2节中作为局部特征提取对照组的滑动窗口短时FFT方法。对比的目的并非展开方法学罗列，而是直接回答：若仍沿用传统全周期FFT单峰近似，电子密度诊断将在多大程度上失效。</w:t>
      </w:r>
    </w:p>
    <w:p w14:paraId="2932F53A">
      <w:pPr>
        <w:pStyle w:val="5"/>
      </w:pPr>
      <w:bookmarkStart w:id="88" w:name="方法论层面的核心差异"/>
      <w:r>
        <w:rPr>
          <w:rFonts w:hint="eastAsia"/>
        </w:rPr>
        <w:t>方法论层面的核心差异</w:t>
      </w:r>
    </w:p>
    <w:p w14:paraId="587E3768">
      <w:r>
        <w:rPr>
          <w:rFonts w:hint="eastAsia"/>
        </w:rPr>
        <w:t>设全周期FFT提取的单峰差频偏移为</w:t>
      </w:r>
      <m:oMath>
        <m:r>
          <m:rPr>
            <m:sty m:val="p"/>
          </m:rPr>
          <m:t>Δ</m:t>
        </m:r>
        <m:r>
          <m:rPr/>
          <m:t>f</m:t>
        </m:r>
        <m:r>
          <m:rPr>
            <m:sty m:val="p"/>
          </m:rPr>
          <m:t>=</m:t>
        </m:r>
        <m:sSubSup>
          <m:sSubSupPr/>
          <m:e>
            <m:r>
              <m:rPr/>
              <m:t>f</m:t>
            </m:r>
          </m:e>
          <m:sub>
            <m:r>
              <m:rPr/>
              <m:t>beat</m:t>
            </m:r>
            <m:r>
              <m:rPr>
                <m:sty m:val="p"/>
              </m:rPr>
              <m:t>,</m:t>
            </m:r>
            <m:r>
              <m:rPr/>
              <m:t>plasma</m:t>
            </m:r>
          </m:sub>
          <m:sup>
            <m:r>
              <m:rPr/>
              <m:t>corr</m:t>
            </m:r>
          </m:sup>
        </m:sSubSup>
        <m:r>
          <m:rPr>
            <m:sty m:val="p"/>
          </m:rPr>
          <m:t>−</m:t>
        </m:r>
        <m:sSubSup>
          <m:sSubSupPr/>
          <m:e>
            <m:r>
              <m:rPr/>
              <m:t>f</m:t>
            </m:r>
          </m:e>
          <m:sub>
            <m:r>
              <m:rPr/>
              <m:t>beat</m:t>
            </m:r>
            <m:r>
              <m:rPr>
                <m:sty m:val="p"/>
              </m:rPr>
              <m:t>,</m:t>
            </m:r>
            <m:r>
              <m:rPr/>
              <m:t>air</m:t>
            </m:r>
          </m:sub>
          <m:sup>
            <m:r>
              <m:rPr/>
              <m:t>corr</m:t>
            </m:r>
          </m:sup>
        </m:sSubSup>
      </m:oMath>
      <w:r>
        <w:rPr>
          <w:rFonts w:hint="eastAsia"/>
        </w:rPr>
        <w:t>，对应平均附加时延</w:t>
      </w:r>
      <m:oMath>
        <m:r>
          <m:rPr>
            <m:sty m:val="p"/>
          </m:rPr>
          <m:t>Δ</m:t>
        </m:r>
        <m:r>
          <m:rPr/>
          <m:t>τ</m:t>
        </m:r>
        <m:r>
          <m:rPr>
            <m:sty m:val="p"/>
          </m:rPr>
          <m:t>=Δ</m:t>
        </m:r>
        <m:r>
          <m:rPr/>
          <m:t>f</m:t>
        </m:r>
        <m:r>
          <m:rPr>
            <m:sty m:val="p"/>
          </m:rPr>
          <m:t>/</m:t>
        </m:r>
        <m:r>
          <m:rPr/>
          <m:t>K</m:t>
        </m:r>
      </m:oMath>
      <w:r>
        <w:rPr>
          <w:rFonts w:hint="eastAsia"/>
        </w:rPr>
        <w:t>。在弱色散线性近似下，由式(3-14)在</w:t>
      </w:r>
      <m:oMath>
        <m:r>
          <m:rPr/>
          <m:t>f</m:t>
        </m:r>
        <m:r>
          <m:rPr>
            <m:sty m:val="p"/>
          </m:rPr>
          <m:t>≫</m:t>
        </m:r>
        <m:sSub>
          <m:sSubPr/>
          <m:e>
            <m:r>
              <m:rPr/>
              <m:t>f</m:t>
            </m:r>
          </m:e>
          <m:sub>
            <m:r>
              <m:rPr/>
              <m:t>p</m:t>
            </m:r>
          </m:sub>
        </m:sSub>
      </m:oMath>
      <w:r>
        <w:rPr>
          <w:rFonts w:hint="eastAsia"/>
        </w:rPr>
        <w:t>区域的高频展开可得传统方法所采用的电子密度点估计公式</w:t>
      </w:r>
    </w:p>
    <w:p w14:paraId="0DDE1A70">
      <w:r>
        <w:t xml:space="preserve"> </w:t>
      </w:r>
    </w:p>
    <w:p w14:paraId="21033923">
      <w:pPr>
        <w:pStyle w:val="44"/>
        <w:spacing w:before="0" w:after="0" w:line="400" w:lineRule="atLeast"/>
      </w:pPr>
      <w:r>
        <w:tab/>
      </w:r>
      <m:oMath>
        <m:sSubSup>
          <m:sSubSupPr/>
          <m:e>
            <m:acc>
              <m:accPr/>
              <m:e>
                <m:r>
                  <m:rPr/>
                  <m:t>n</m:t>
                </m:r>
              </m:e>
            </m:acc>
          </m:e>
          <m:sub>
            <m:r>
              <m:rPr/>
              <m:t>e</m:t>
            </m:r>
          </m:sub>
          <m:sup>
            <m:r>
              <m:rPr/>
              <m:t>FFT</m:t>
            </m:r>
          </m:sup>
        </m:sSubSup>
        <m:r>
          <m:rPr>
            <m:sty m:val="p"/>
          </m:rPr>
          <m:t>≈</m:t>
        </m:r>
        <m:f>
          <m:fPr/>
          <m:num>
            <m:sSub>
              <m:sSubPr/>
              <m:e>
                <m:r>
                  <m:rPr/>
                  <m:t>ε</m:t>
                </m:r>
              </m:e>
              <m:sub>
                <m:r>
                  <m:rPr/>
                  <m:t>0</m:t>
                </m:r>
              </m:sub>
            </m:sSub>
            <m:sSub>
              <m:sSubPr/>
              <m:e>
                <m:r>
                  <m:rPr/>
                  <m:t>m</m:t>
                </m:r>
              </m:e>
              <m:sub>
                <m:r>
                  <m:rPr/>
                  <m:t>e</m:t>
                </m:r>
              </m:sub>
            </m:sSub>
          </m:num>
          <m:den>
            <m:sSup>
              <m:sSupPr/>
              <m:e>
                <m:r>
                  <m:rPr/>
                  <m:t>e</m:t>
                </m:r>
              </m:e>
              <m:sup>
                <m:r>
                  <m:rPr/>
                  <m:t>2</m:t>
                </m:r>
              </m:sup>
            </m:sSup>
          </m:den>
        </m:f>
        <m:r>
          <m:rPr>
            <m:sty m:val="p"/>
          </m:rPr>
          <m:t>(</m:t>
        </m:r>
        <m:r>
          <m:rPr/>
          <m:t>2π</m:t>
        </m:r>
        <m:acc>
          <m:accPr>
            <m:chr m:val="‾"/>
          </m:accPr>
          <m:e>
            <m:r>
              <m:rPr/>
              <m:t>f</m:t>
            </m:r>
          </m:e>
        </m:acc>
        <m:sSup>
          <m:sSupPr/>
          <m:e>
            <m:r>
              <m:rPr>
                <m:sty m:val="p"/>
              </m:rPr>
              <m:t>)</m:t>
            </m:r>
          </m:e>
          <m:sup>
            <m:r>
              <m:rPr/>
              <m:t>2</m:t>
            </m:r>
          </m:sup>
        </m:sSup>
        <m:f>
          <m:fPr/>
          <m:num>
            <m:r>
              <m:rPr/>
              <m:t>2c </m:t>
            </m:r>
            <m:r>
              <m:rPr>
                <m:sty m:val="p"/>
              </m:rPr>
              <m:t>Δ</m:t>
            </m:r>
            <m:r>
              <m:rPr/>
              <m:t>τ</m:t>
            </m:r>
          </m:num>
          <m:den>
            <m:r>
              <m:rPr/>
              <m:t>d</m:t>
            </m:r>
          </m:den>
        </m:f>
        <m:r>
          <m:rPr>
            <m:sty m:val="p"/>
          </m:rPr>
          <m:t>=</m:t>
        </m:r>
        <m:f>
          <m:fPr/>
          <m:num>
            <m:r>
              <m:rPr/>
              <m:t>8</m:t>
            </m:r>
            <m:sSup>
              <m:sSupPr/>
              <m:e>
                <m:r>
                  <m:rPr/>
                  <m:t>π</m:t>
                </m:r>
              </m:e>
              <m:sup>
                <m:r>
                  <m:rPr/>
                  <m:t>2</m:t>
                </m:r>
              </m:sup>
            </m:sSup>
            <m:sSub>
              <m:sSubPr/>
              <m:e>
                <m:r>
                  <m:rPr/>
                  <m:t>ε</m:t>
                </m:r>
              </m:e>
              <m:sub>
                <m:r>
                  <m:rPr/>
                  <m:t>0</m:t>
                </m:r>
              </m:sub>
            </m:sSub>
            <m:sSub>
              <m:sSubPr/>
              <m:e>
                <m:r>
                  <m:rPr/>
                  <m:t>m</m:t>
                </m:r>
              </m:e>
              <m:sub>
                <m:r>
                  <m:rPr/>
                  <m:t>e</m:t>
                </m:r>
              </m:sub>
            </m:sSub>
            <m:r>
              <m:rPr/>
              <m:t>c</m:t>
            </m:r>
            <m:sSup>
              <m:sSupPr/>
              <m:e>
                <m:acc>
                  <m:accPr>
                    <m:chr m:val="‾"/>
                  </m:accPr>
                  <m:e>
                    <m:r>
                      <m:rPr/>
                      <m:t>f</m:t>
                    </m:r>
                  </m:e>
                </m:acc>
              </m:e>
              <m:sup>
                <m:r>
                  <m:rPr/>
                  <m:t>2</m:t>
                </m:r>
              </m:sup>
            </m:sSup>
          </m:num>
          <m:den>
            <m:sSup>
              <m:sSupPr/>
              <m:e>
                <m:r>
                  <m:rPr/>
                  <m:t>e</m:t>
                </m:r>
              </m:e>
              <m:sup>
                <m:r>
                  <m:rPr/>
                  <m:t>2</m:t>
                </m:r>
              </m:sup>
            </m:sSup>
            <m:r>
              <m:rPr/>
              <m:t>d</m:t>
            </m:r>
          </m:den>
        </m:f>
        <m:f>
          <m:fPr/>
          <m:num>
            <m:r>
              <m:rPr>
                <m:sty m:val="p"/>
              </m:rPr>
              <m:t>Δ</m:t>
            </m:r>
            <m:r>
              <m:rPr/>
              <m:t>f</m:t>
            </m:r>
          </m:num>
          <m:den>
            <m:r>
              <m:rPr/>
              <m:t>K</m:t>
            </m:r>
          </m:den>
        </m:f>
      </m:oMath>
      <w:r>
        <w:tab/>
      </w:r>
      <w:r>
        <w:t>(4</w:t>
      </w:r>
      <w:r>
        <w:noBreakHyphen/>
      </w:r>
      <w:r>
        <w:t>57)</w:t>
      </w:r>
    </w:p>
    <w:p w14:paraId="00348DF7">
      <w:r>
        <w:t xml:space="preserve"> </w:t>
      </w:r>
    </w:p>
    <w:p w14:paraId="5579D6B6">
      <w:r>
        <w:rPr>
          <w:rFonts w:hint="eastAsia"/>
        </w:rPr>
        <w:t>其中</w:t>
      </w:r>
      <m:oMath>
        <m:acc>
          <m:accPr>
            <m:chr m:val="‾"/>
          </m:accPr>
          <m:e>
            <m:r>
              <m:rPr/>
              <m:t>f</m:t>
            </m:r>
          </m:e>
        </m:acc>
        <m:r>
          <m:rPr>
            <m:sty m:val="p"/>
          </m:rPr>
          <m:t>=(</m:t>
        </m:r>
        <m:sSub>
          <m:sSubPr/>
          <m:e>
            <m:r>
              <m:rPr/>
              <m:t>f</m:t>
            </m:r>
          </m:e>
          <m:sub>
            <m:r>
              <m:rPr/>
              <m:t>start</m:t>
            </m:r>
          </m:sub>
        </m:sSub>
        <m:r>
          <m:rPr>
            <m:sty m:val="p"/>
          </m:rPr>
          <m:t>+</m:t>
        </m:r>
        <m:sSub>
          <m:sSubPr/>
          <m:e>
            <m:r>
              <m:rPr/>
              <m:t>f</m:t>
            </m:r>
          </m:e>
          <m:sub>
            <m:r>
              <m:rPr/>
              <m:t>end</m:t>
            </m:r>
          </m:sub>
        </m:sSub>
        <m:r>
          <m:rPr>
            <m:sty m:val="p"/>
          </m:rPr>
          <m:t>)/</m:t>
        </m:r>
        <m:r>
          <m:rPr/>
          <m:t>2</m:t>
        </m:r>
      </m:oMath>
      <w:r>
        <w:rPr>
          <w:rFonts w:hint="eastAsia"/>
        </w:rPr>
        <w:t>为扫频中心频率。该公式本质上将全周期FFT得到的单一差频峰值解释为“全局平均时延”，因此只在弱色散、时延变化缓慢的条件下近似成立。</w:t>
      </w:r>
    </w:p>
    <w:p w14:paraId="71C868AB">
      <w:r>
        <w:rPr>
          <w:rFonts w:hint="eastAsia"/>
        </w:rPr>
        <w:t>表4-4从信号处理架构、物理假设、反演策略三个维度，系统梳理了传统FFT方法与本文所提ESPRIT-MCMC方法的本质区别。</w:t>
      </w:r>
    </w:p>
    <w:p w14:paraId="00A624CD">
      <w:r>
        <w:rPr>
          <w:rFonts w:hint="eastAsia"/>
          <w:b/>
          <w:bCs/>
        </w:rPr>
        <w:t>表4-4</w:t>
      </w:r>
      <w:r>
        <w:rPr>
          <w:b/>
          <w:bCs/>
        </w:rPr>
        <w:t xml:space="preserve"> </w:t>
      </w:r>
      <w:r>
        <w:rPr>
          <w:rFonts w:hint="eastAsia"/>
          <w:b/>
          <w:bCs/>
        </w:rPr>
        <w:t>传统FFT方法与ESPRIT-MCMC方法的核心差异对比</w:t>
      </w:r>
    </w:p>
    <w:tbl>
      <w:tblPr>
        <w:tblStyle w:val="30"/>
        <w:tblW w:w="5000" w:type="pct"/>
        <w:tblInd w:w="0" w:type="dxa"/>
        <w:tblLayout w:type="fixed"/>
        <w:tblCellMar>
          <w:top w:w="0" w:type="dxa"/>
          <w:left w:w="108" w:type="dxa"/>
          <w:bottom w:w="0" w:type="dxa"/>
          <w:right w:w="108" w:type="dxa"/>
        </w:tblCellMar>
      </w:tblPr>
      <w:tblGrid>
        <w:gridCol w:w="2026"/>
        <w:gridCol w:w="2701"/>
        <w:gridCol w:w="4276"/>
      </w:tblGrid>
      <w:tr w14:paraId="03ED9B0B">
        <w:tblPrEx>
          <w:tblCellMar>
            <w:top w:w="0" w:type="dxa"/>
            <w:left w:w="108" w:type="dxa"/>
            <w:bottom w:w="0" w:type="dxa"/>
            <w:right w:w="108" w:type="dxa"/>
          </w:tblCellMar>
        </w:tblPrEx>
        <w:trPr>
          <w:tblHeader/>
        </w:trPr>
        <w:tc>
          <w:p w14:paraId="406840DE">
            <w:r>
              <w:rPr>
                <w:rFonts w:hint="eastAsia"/>
              </w:rPr>
              <w:t>对比维度</w:t>
            </w:r>
          </w:p>
        </w:tc>
        <w:tc>
          <w:p w14:paraId="51F70AA2">
            <w:r>
              <w:rPr>
                <w:rFonts w:hint="eastAsia"/>
              </w:rPr>
              <w:t>传统FFT方法</w:t>
            </w:r>
          </w:p>
        </w:tc>
        <w:tc>
          <w:p w14:paraId="46830757">
            <w:r>
              <w:rPr>
                <w:rFonts w:hint="eastAsia"/>
              </w:rPr>
              <w:t>本文ESPRIT-MCMC方法</w:t>
            </w:r>
          </w:p>
        </w:tc>
      </w:tr>
      <w:tr w14:paraId="31B628CB">
        <w:tblPrEx>
          <w:tblCellMar>
            <w:top w:w="0" w:type="dxa"/>
            <w:left w:w="108" w:type="dxa"/>
            <w:bottom w:w="0" w:type="dxa"/>
            <w:right w:w="108" w:type="dxa"/>
          </w:tblCellMar>
        </w:tblPrEx>
        <w:tc>
          <w:p w14:paraId="7BE07422">
            <w:r>
              <w:rPr>
                <w:rFonts w:hint="eastAsia"/>
                <w:b/>
                <w:bCs/>
              </w:rPr>
              <w:t>信号模型假设</w:t>
            </w:r>
          </w:p>
        </w:tc>
        <w:tc>
          <w:p w14:paraId="5ACD29DF">
            <w:r>
              <w:rPr>
                <w:rFonts w:hint="eastAsia"/>
              </w:rPr>
              <w:t>差频信号为单频正弦（稳态假设）</w:t>
            </w:r>
          </w:p>
        </w:tc>
        <w:tc>
          <w:p w14:paraId="62327E88">
            <w:r>
              <w:rPr>
                <w:rFonts w:hint="eastAsia"/>
              </w:rPr>
              <w:t>差频信号为时变调频信号（非平稳假设）</w:t>
            </w:r>
          </w:p>
        </w:tc>
      </w:tr>
      <w:tr w14:paraId="0B529972">
        <w:tblPrEx>
          <w:tblCellMar>
            <w:top w:w="0" w:type="dxa"/>
            <w:left w:w="108" w:type="dxa"/>
            <w:bottom w:w="0" w:type="dxa"/>
            <w:right w:w="108" w:type="dxa"/>
          </w:tblCellMar>
        </w:tblPrEx>
        <w:tc>
          <w:p w14:paraId="4263A475">
            <w:r>
              <w:rPr>
                <w:rFonts w:hint="eastAsia"/>
                <w:b/>
                <w:bCs/>
              </w:rPr>
              <w:t>特征提取策略</w:t>
            </w:r>
          </w:p>
        </w:tc>
        <w:tc>
          <w:p w14:paraId="61323C26">
            <w:r>
              <w:rPr>
                <w:rFonts w:hint="eastAsia"/>
              </w:rPr>
              <w:t>全周期FFT峰值法</w:t>
            </w:r>
            <w:r>
              <w:t xml:space="preserve"> + </w:t>
            </w:r>
            <w:r>
              <w:rPr>
                <w:rFonts w:hint="eastAsia"/>
              </w:rPr>
              <w:t>三角形插值校正</w:t>
            </w:r>
          </w:p>
        </w:tc>
        <w:tc>
          <w:p w14:paraId="55C5254B">
            <w:r>
              <w:rPr>
                <w:rFonts w:hint="eastAsia"/>
              </w:rPr>
              <w:t>滑动窗口（12</w:t>
            </w:r>
            <w:r>
              <w:t xml:space="preserve"> </w:t>
            </w:r>
            <w:r>
              <w:rPr>
                <w:rFonts w:hint="eastAsia"/>
              </w:rPr>
              <w:t>μs）+</w:t>
            </w:r>
            <w:r>
              <w:t xml:space="preserve"> </w:t>
            </w:r>
            <w:r>
              <w:rPr>
                <w:rFonts w:hint="eastAsia"/>
              </w:rPr>
              <w:t>MDL定阶</w:t>
            </w:r>
            <w:r>
              <w:t xml:space="preserve"> + TLS-ESPRIT</w:t>
            </w:r>
          </w:p>
        </w:tc>
      </w:tr>
      <w:tr w14:paraId="388B79DC">
        <w:tblPrEx>
          <w:tblCellMar>
            <w:top w:w="0" w:type="dxa"/>
            <w:left w:w="108" w:type="dxa"/>
            <w:bottom w:w="0" w:type="dxa"/>
            <w:right w:w="108" w:type="dxa"/>
          </w:tblCellMar>
        </w:tblPrEx>
        <w:tc>
          <w:p w14:paraId="5C65E35A">
            <w:r>
              <w:rPr>
                <w:rFonts w:hint="eastAsia"/>
                <w:b/>
                <w:bCs/>
              </w:rPr>
              <w:t>频率估计原理</w:t>
            </w:r>
          </w:p>
        </w:tc>
        <w:tc>
          <w:p w14:paraId="292925B7">
            <w:r>
              <w:rPr>
                <w:rFonts w:hint="eastAsia"/>
              </w:rPr>
              <w:t>频谱峰值检测与局部插值校正</w:t>
            </w:r>
          </w:p>
        </w:tc>
        <w:tc>
          <w:p w14:paraId="457909F2">
            <w:r>
              <w:rPr>
                <w:rFonts w:hint="eastAsia"/>
              </w:rPr>
              <w:t>信号子空间旋转不变性</w:t>
            </w:r>
          </w:p>
        </w:tc>
      </w:tr>
      <w:tr w14:paraId="72798F0F">
        <w:tblPrEx>
          <w:tblCellMar>
            <w:top w:w="0" w:type="dxa"/>
            <w:left w:w="108" w:type="dxa"/>
            <w:bottom w:w="0" w:type="dxa"/>
            <w:right w:w="108" w:type="dxa"/>
          </w:tblCellMar>
        </w:tblPrEx>
        <w:tc>
          <w:p w14:paraId="56E1EBC7">
            <w:r>
              <w:rPr>
                <w:rFonts w:hint="eastAsia"/>
                <w:b/>
                <w:bCs/>
              </w:rPr>
              <w:t>时延-频率映射</w:t>
            </w:r>
          </w:p>
        </w:tc>
        <w:tc>
          <w:p w14:paraId="042C7342">
            <w:r>
              <w:rPr>
                <w:rFonts w:hint="eastAsia"/>
              </w:rPr>
              <w:t>单点映射（全局平均时延）</w:t>
            </w:r>
          </w:p>
        </w:tc>
        <w:tc>
          <w:p w14:paraId="7C48A5BF">
            <w:r>
              <w:rPr>
                <w:rFonts w:hint="eastAsia"/>
              </w:rPr>
              <w:t>多点映射（瞬时时延轨迹）</w:t>
            </w:r>
          </w:p>
        </w:tc>
      </w:tr>
      <w:tr w14:paraId="7C8E02C5">
        <w:tblPrEx>
          <w:tblCellMar>
            <w:top w:w="0" w:type="dxa"/>
            <w:left w:w="108" w:type="dxa"/>
            <w:bottom w:w="0" w:type="dxa"/>
            <w:right w:w="108" w:type="dxa"/>
          </w:tblCellMar>
        </w:tblPrEx>
        <w:tc>
          <w:p w14:paraId="3530B9C6">
            <w:r>
              <w:rPr>
                <w:rFonts w:hint="eastAsia"/>
                <w:b/>
                <w:bCs/>
              </w:rPr>
              <w:t>电子密度反演</w:t>
            </w:r>
          </w:p>
        </w:tc>
        <w:tc>
          <w:p w14:paraId="4970DF0E">
            <w:r>
              <w:rPr>
                <w:rFonts w:hint="eastAsia"/>
              </w:rPr>
              <w:t>线性近似公式（式4-57）</w:t>
            </w:r>
          </w:p>
        </w:tc>
        <w:tc>
          <w:p w14:paraId="46BAEF3B">
            <w:r>
              <w:rPr>
                <w:rFonts w:hint="eastAsia"/>
              </w:rPr>
              <w:t>基于Drude模型的MCMC贝叶斯推断</w:t>
            </w:r>
          </w:p>
        </w:tc>
      </w:tr>
      <w:tr w14:paraId="3C55AC99">
        <w:tblPrEx>
          <w:tblCellMar>
            <w:top w:w="0" w:type="dxa"/>
            <w:left w:w="108" w:type="dxa"/>
            <w:bottom w:w="0" w:type="dxa"/>
            <w:right w:w="108" w:type="dxa"/>
          </w:tblCellMar>
        </w:tblPrEx>
        <w:tc>
          <w:p w14:paraId="778A7760">
            <w:r>
              <w:rPr>
                <w:rFonts w:hint="eastAsia"/>
                <w:b/>
                <w:bCs/>
              </w:rPr>
              <w:t>物理模型完备性</w:t>
            </w:r>
          </w:p>
        </w:tc>
        <w:tc>
          <w:p w14:paraId="0BA239D6">
            <w:r>
              <w:rPr>
                <w:rFonts w:hint="eastAsia"/>
              </w:rPr>
              <w:t>忽略色散非线性，无碰撞频率建模</w:t>
            </w:r>
          </w:p>
        </w:tc>
        <w:tc>
          <w:p w14:paraId="0408C545">
            <w:r>
              <w:rPr>
                <w:rFonts w:hint="eastAsia"/>
              </w:rPr>
              <w:t>完整Drude复介电常数，含碰撞阻尼</w:t>
            </w:r>
          </w:p>
        </w:tc>
      </w:tr>
      <w:tr w14:paraId="454A8E43">
        <w:tblPrEx>
          <w:tblCellMar>
            <w:top w:w="0" w:type="dxa"/>
            <w:left w:w="108" w:type="dxa"/>
            <w:bottom w:w="0" w:type="dxa"/>
            <w:right w:w="108" w:type="dxa"/>
          </w:tblCellMar>
        </w:tblPrEx>
        <w:tc>
          <w:p w14:paraId="4A3CE7C4">
            <w:r>
              <w:rPr>
                <w:rFonts w:hint="eastAsia"/>
                <w:b/>
                <w:bCs/>
              </w:rPr>
              <w:t>不确定性量化</w:t>
            </w:r>
          </w:p>
        </w:tc>
        <w:tc>
          <w:p w14:paraId="601770F4">
            <w:r>
              <w:rPr>
                <w:rFonts w:hint="eastAsia"/>
              </w:rPr>
              <w:t>无（仅点估计）</w:t>
            </w:r>
          </w:p>
        </w:tc>
        <w:tc>
          <w:p w14:paraId="7D3E5975">
            <w:r>
              <w:rPr>
                <w:rFonts w:hint="eastAsia"/>
              </w:rPr>
              <w:t>完备（后验分布、置信区间、CV判据）</w:t>
            </w:r>
          </w:p>
        </w:tc>
      </w:tr>
      <w:tr w14:paraId="72FB8C78">
        <w:tblPrEx>
          <w:tblCellMar>
            <w:top w:w="0" w:type="dxa"/>
            <w:left w:w="108" w:type="dxa"/>
            <w:bottom w:w="0" w:type="dxa"/>
            <w:right w:w="108" w:type="dxa"/>
          </w:tblCellMar>
        </w:tblPrEx>
        <w:tc>
          <w:p w14:paraId="53C02709">
            <w:r>
              <w:rPr>
                <w:rFonts w:hint="eastAsia"/>
                <w:b/>
                <w:bCs/>
              </w:rPr>
              <w:t>噪声鲁棒性设计</w:t>
            </w:r>
          </w:p>
        </w:tc>
        <w:tc>
          <w:p w14:paraId="3FF138F0">
            <w:r>
              <w:rPr>
                <w:rFonts w:hint="eastAsia"/>
              </w:rPr>
              <w:t>无显式噪声建模</w:t>
            </w:r>
          </w:p>
        </w:tc>
        <w:tc>
          <w:p w14:paraId="0AEDED10">
            <w:r>
              <w:rPr>
                <w:rFonts w:hint="eastAsia"/>
              </w:rPr>
              <w:t>射频端AWGN建模</w:t>
            </w:r>
            <w:r>
              <w:t xml:space="preserve"> + </w:t>
            </w:r>
            <w:r>
              <w:rPr>
                <w:rFonts w:hint="eastAsia"/>
              </w:rPr>
              <w:t>幅度加权似然函数</w:t>
            </w:r>
          </w:p>
        </w:tc>
      </w:tr>
      <w:tr w14:paraId="115EB1D2">
        <w:tblPrEx>
          <w:tblCellMar>
            <w:top w:w="0" w:type="dxa"/>
            <w:left w:w="108" w:type="dxa"/>
            <w:bottom w:w="0" w:type="dxa"/>
            <w:right w:w="108" w:type="dxa"/>
          </w:tblCellMar>
        </w:tblPrEx>
        <w:tc>
          <w:p w14:paraId="2F94CF25">
            <w:r>
              <w:rPr>
                <w:rFonts w:hint="eastAsia"/>
                <w:b/>
                <w:bCs/>
              </w:rPr>
              <w:t>适用色散强度</w:t>
            </w:r>
          </w:p>
        </w:tc>
        <w:tc>
          <w:p w14:paraId="28C1D3F4">
            <w:r>
              <w:rPr>
                <w:rFonts w:hint="eastAsia"/>
              </w:rPr>
              <w:t>弱色散区：</w:t>
            </w:r>
            <m:oMath>
              <m:r>
                <m:rPr>
                  <m:sty m:val="p"/>
                </m:rPr>
                <m:t>(</m:t>
              </m:r>
              <m:sSub>
                <m:sSubPr/>
                <m:e>
                  <m:r>
                    <m:rPr/>
                    <m:t>f</m:t>
                  </m:r>
                </m:e>
                <m:sub>
                  <m:r>
                    <m:rPr/>
                    <m:t>p</m:t>
                  </m:r>
                </m:sub>
              </m:sSub>
              <m:r>
                <m:rPr>
                  <m:sty m:val="p"/>
                </m:rPr>
                <m:t>/</m:t>
              </m:r>
              <m:r>
                <m:rPr/>
                <m:t>f</m:t>
              </m:r>
              <m:sSup>
                <m:sSupPr/>
                <m:e>
                  <m:r>
                    <m:rPr>
                      <m:sty m:val="p"/>
                    </m:rPr>
                    <m:t>)</m:t>
                  </m:r>
                </m:e>
                <m:sup>
                  <m:r>
                    <m:rPr/>
                    <m:t>2</m:t>
                  </m:r>
                </m:sup>
              </m:sSup>
              <m:r>
                <m:rPr>
                  <m:sty m:val="p"/>
                </m:rPr>
                <m:t>&lt;</m:t>
              </m:r>
              <m:r>
                <m:rPr/>
                <m:t>0.5</m:t>
              </m:r>
            </m:oMath>
          </w:p>
        </w:tc>
        <w:tc>
          <w:p w14:paraId="2084646A">
            <w:r>
              <w:rPr>
                <w:rFonts w:hint="eastAsia"/>
              </w:rPr>
              <w:t>全色散范围：</w:t>
            </w:r>
            <m:oMath>
              <m:r>
                <m:rPr>
                  <m:sty m:val="p"/>
                </m:rPr>
                <m:t>(</m:t>
              </m:r>
              <m:sSub>
                <m:sSubPr/>
                <m:e>
                  <m:r>
                    <m:rPr/>
                    <m:t>f</m:t>
                  </m:r>
                </m:e>
                <m:sub>
                  <m:r>
                    <m:rPr/>
                    <m:t>p</m:t>
                  </m:r>
                </m:sub>
              </m:sSub>
              <m:r>
                <m:rPr>
                  <m:sty m:val="p"/>
                </m:rPr>
                <m:t>/</m:t>
              </m:r>
              <m:r>
                <m:rPr/>
                <m:t>f</m:t>
              </m:r>
              <m:sSup>
                <m:sSupPr/>
                <m:e>
                  <m:r>
                    <m:rPr>
                      <m:sty m:val="p"/>
                    </m:rPr>
                    <m:t>)</m:t>
                  </m:r>
                </m:e>
                <m:sup>
                  <m:r>
                    <m:rPr/>
                    <m:t>2</m:t>
                  </m:r>
                </m:sup>
              </m:sSup>
              <m:r>
                <m:rPr>
                  <m:sty m:val="p"/>
                </m:rPr>
                <m:t>∈[</m:t>
              </m:r>
              <m:r>
                <m:rPr/>
                <m:t>0</m:t>
              </m:r>
              <m:r>
                <m:rPr>
                  <m:sty m:val="p"/>
                </m:rPr>
                <m:t>,</m:t>
              </m:r>
              <m:r>
                <m:rPr/>
                <m:t>0.95</m:t>
              </m:r>
              <m:r>
                <m:rPr>
                  <m:sty m:val="p"/>
                </m:rPr>
                <m:t>]</m:t>
              </m:r>
            </m:oMath>
          </w:p>
        </w:tc>
      </w:tr>
      <w:tr w14:paraId="624A5EF0">
        <w:tblPrEx>
          <w:tblCellMar>
            <w:top w:w="0" w:type="dxa"/>
            <w:left w:w="108" w:type="dxa"/>
            <w:bottom w:w="0" w:type="dxa"/>
            <w:right w:w="108" w:type="dxa"/>
          </w:tblCellMar>
        </w:tblPrEx>
        <w:tc>
          <w:p w14:paraId="3F3CFEA4">
            <w:r>
              <w:rPr>
                <w:rFonts w:hint="eastAsia"/>
                <w:b/>
                <w:bCs/>
              </w:rPr>
              <w:t>计算复杂度</w:t>
            </w:r>
          </w:p>
        </w:tc>
        <w:tc>
          <w:p w14:paraId="047DA213">
            <m:oMath>
              <m:r>
                <m:rPr/>
                <m:t>O</m:t>
              </m:r>
              <m:r>
                <m:rPr>
                  <m:sty m:val="p"/>
                </m:rPr>
                <m:t>(</m:t>
              </m:r>
              <m:r>
                <m:rPr/>
                <m:t>N</m:t>
              </m:r>
              <m:r>
                <m:rPr>
                  <m:sty m:val="p"/>
                </m:rPr>
                <m:t>log</m:t>
              </m:r>
              <m:r>
                <m:rPr/>
                <m:t>N</m:t>
              </m:r>
              <m:r>
                <m:rPr>
                  <m:sty m:val="p"/>
                </m:rPr>
                <m:t>)</m:t>
              </m:r>
            </m:oMath>
            <w:r>
              <w:rPr>
                <w:rFonts w:hint="eastAsia"/>
              </w:rPr>
              <w:t>（单次FFT）</w:t>
            </w:r>
          </w:p>
        </w:tc>
        <w:tc>
          <w:p w14:paraId="29CB9F29">
            <m:oMath>
              <m:r>
                <m:rPr/>
                <m:t>O</m:t>
              </m:r>
              <m:r>
                <m:rPr>
                  <m:sty m:val="p"/>
                </m:rPr>
                <m:t>(</m:t>
              </m:r>
              <m:sSub>
                <m:sSubPr/>
                <m:e>
                  <m:r>
                    <m:rPr/>
                    <m:t>N</m:t>
                  </m:r>
                </m:e>
                <m:sub>
                  <m:r>
                    <m:rPr/>
                    <m:t>w</m:t>
                  </m:r>
                </m:sub>
              </m:sSub>
              <m:r>
                <m:rPr>
                  <m:sty m:val="p"/>
                </m:rPr>
                <m:t>⋅</m:t>
              </m:r>
              <m:sSup>
                <m:sSupPr/>
                <m:e>
                  <m:r>
                    <m:rPr/>
                    <m:t>L</m:t>
                  </m:r>
                </m:e>
                <m:sup>
                  <m:r>
                    <m:rPr/>
                    <m:t>3</m:t>
                  </m:r>
                </m:sup>
              </m:sSup>
              <m:r>
                <m:rPr>
                  <m:sty m:val="p"/>
                </m:rPr>
                <m:t>+</m:t>
              </m:r>
              <m:sSub>
                <m:sSubPr/>
                <m:e>
                  <m:r>
                    <m:rPr/>
                    <m:t>N</m:t>
                  </m:r>
                </m:e>
                <m:sub>
                  <m:r>
                    <m:rPr/>
                    <m:t>MCMC</m:t>
                  </m:r>
                </m:sub>
              </m:sSub>
              <m:r>
                <m:rPr>
                  <m:sty m:val="p"/>
                </m:rPr>
                <m:t>)</m:t>
              </m:r>
            </m:oMath>
            <w:r>
              <w:rPr>
                <w:rFonts w:hint="eastAsia"/>
              </w:rPr>
              <w:t>（滑窗+MCMC）</w:t>
            </w:r>
          </w:p>
        </w:tc>
      </w:tr>
    </w:tbl>
    <w:p w14:paraId="71DCF2E9">
      <w:r>
        <w:rPr>
          <w:rFonts w:hint="eastAsia"/>
        </w:rPr>
        <w:t>表4-4表明，传统方法以物理模型的简化换取了计算上的简洁性，但在强色散条件下，这种近似会带来显著误差。</w:t>
      </w:r>
    </w:p>
    <w:bookmarkEnd w:id="88"/>
    <w:p w14:paraId="646B4033">
      <w:pPr>
        <w:pStyle w:val="5"/>
      </w:pPr>
      <w:bookmarkStart w:id="89" w:name="反演精度的定量对比"/>
      <w:r>
        <w:rPr>
          <w:rFonts w:hint="eastAsia"/>
        </w:rPr>
        <w:t>反演精度的定量对比</w:t>
      </w:r>
    </w:p>
    <w:p w14:paraId="4BDE59F4">
      <w:r>
        <w:rPr>
          <w:rFonts w:hint="eastAsia"/>
        </w:rPr>
        <w:t>为展示”误差随截止频率进入强色散区后急剧放大”的细节，表4-5汇总了不同截止频率下两种方法的电子密度反演结果（SNR</w:t>
      </w:r>
      <w:r>
        <w:t xml:space="preserve"> = 20 </w:t>
      </w:r>
      <w:r>
        <w:rPr>
          <w:rFonts w:hint="eastAsia"/>
        </w:rPr>
        <w:t>dB）。其中，传统方法的差频频率差定义为</w:t>
      </w:r>
      <w:r>
        <w:t xml:space="preserve"> </w:t>
      </w:r>
      <m:oMath>
        <m:r>
          <m:rPr>
            <m:sty m:val="p"/>
          </m:rPr>
          <m:t>Δ</m:t>
        </m:r>
        <m:r>
          <m:rPr/>
          <m:t>f</m:t>
        </m:r>
        <m:r>
          <m:rPr>
            <m:sty m:val="p"/>
          </m:rPr>
          <m:t>=</m:t>
        </m:r>
        <m:sSubSup>
          <m:sSubSupPr/>
          <m:e>
            <m:r>
              <m:rPr/>
              <m:t>f</m:t>
            </m:r>
          </m:e>
          <m:sub>
            <m:r>
              <m:rPr/>
              <m:t>beat</m:t>
            </m:r>
            <m:r>
              <m:rPr>
                <m:sty m:val="p"/>
              </m:rPr>
              <m:t>,</m:t>
            </m:r>
            <m:r>
              <m:rPr/>
              <m:t>plasma</m:t>
            </m:r>
          </m:sub>
          <m:sup>
            <m:r>
              <m:rPr/>
              <m:t>corr</m:t>
            </m:r>
          </m:sup>
        </m:sSubSup>
        <m:r>
          <m:rPr>
            <m:sty m:val="p"/>
          </m:rPr>
          <m:t>−</m:t>
        </m:r>
        <m:sSubSup>
          <m:sSubSupPr/>
          <m:e>
            <m:r>
              <m:rPr/>
              <m:t>f</m:t>
            </m:r>
          </m:e>
          <m:sub>
            <m:r>
              <m:rPr/>
              <m:t>beat</m:t>
            </m:r>
            <m:r>
              <m:rPr>
                <m:sty m:val="p"/>
              </m:rPr>
              <m:t>,</m:t>
            </m:r>
            <m:r>
              <m:rPr/>
              <m:t>air</m:t>
            </m:r>
          </m:sub>
          <m:sup>
            <m:r>
              <m:rPr/>
              <m:t>corr</m:t>
            </m:r>
          </m:sup>
        </m:sSubSup>
      </m:oMath>
      <w:r>
        <w:rPr>
          <w:rFonts w:hint="eastAsia"/>
        </w:rPr>
        <w:t>（单位：MHz），对应</w:t>
      </w:r>
      <w:r>
        <w:t xml:space="preserve"> </w:t>
      </w:r>
      <m:oMath>
        <m:r>
          <m:rPr>
            <m:sty m:val="p"/>
          </m:rPr>
          <m:t>Δ</m:t>
        </m:r>
        <m:r>
          <m:rPr/>
          <m:t>τ</m:t>
        </m:r>
        <m:r>
          <m:rPr>
            <m:sty m:val="p"/>
          </m:rPr>
          <m:t>=Δ</m:t>
        </m:r>
        <m:r>
          <m:rPr/>
          <m:t>f</m:t>
        </m:r>
        <m:r>
          <m:rPr>
            <m:sty m:val="p"/>
          </m:rPr>
          <m:t>/</m:t>
        </m:r>
        <m:r>
          <m:rPr/>
          <m:t>K</m:t>
        </m:r>
      </m:oMath>
      <w:r>
        <w:t>。</w:t>
      </w:r>
    </w:p>
    <w:p w14:paraId="41DA6BA6">
      <w:r>
        <w:rPr>
          <w:rFonts w:hint="eastAsia"/>
          <w:b/>
          <w:bCs/>
        </w:rPr>
        <w:t>表4-5</w:t>
      </w:r>
      <w:r>
        <w:rPr>
          <w:b/>
          <w:bCs/>
        </w:rPr>
        <w:t xml:space="preserve"> </w:t>
      </w:r>
      <w:r>
        <w:rPr>
          <w:rFonts w:hint="eastAsia"/>
          <w:b/>
          <w:bCs/>
        </w:rPr>
        <w:t>不同截止频率下电子密度反演结果对比（SNR</w:t>
      </w:r>
      <w:r>
        <w:rPr>
          <w:b/>
          <w:bCs/>
        </w:rPr>
        <w:t xml:space="preserve"> = 20 </w:t>
      </w:r>
      <w:r>
        <w:rPr>
          <w:rFonts w:hint="eastAsia"/>
          <w:b/>
          <w:bCs/>
        </w:rPr>
        <w:t>dB）</w:t>
      </w:r>
    </w:p>
    <w:tbl>
      <w:tblPr>
        <w:tblStyle w:val="30"/>
        <w:tblW w:w="5000" w:type="pct"/>
        <w:tblInd w:w="0" w:type="dxa"/>
        <w:tblLayout w:type="fixed"/>
        <w:tblCellMar>
          <w:top w:w="0" w:type="dxa"/>
          <w:left w:w="108" w:type="dxa"/>
          <w:bottom w:w="0" w:type="dxa"/>
          <w:right w:w="108" w:type="dxa"/>
        </w:tblCellMar>
      </w:tblPr>
      <w:tblGrid>
        <w:gridCol w:w="818"/>
        <w:gridCol w:w="818"/>
        <w:gridCol w:w="818"/>
        <w:gridCol w:w="818"/>
        <w:gridCol w:w="818"/>
        <w:gridCol w:w="818"/>
        <w:gridCol w:w="818"/>
        <w:gridCol w:w="818"/>
        <w:gridCol w:w="818"/>
        <w:gridCol w:w="818"/>
        <w:gridCol w:w="818"/>
      </w:tblGrid>
      <w:tr w14:paraId="3118D56F">
        <w:tblPrEx>
          <w:tblCellMar>
            <w:top w:w="0" w:type="dxa"/>
            <w:left w:w="108" w:type="dxa"/>
            <w:bottom w:w="0" w:type="dxa"/>
            <w:right w:w="108" w:type="dxa"/>
          </w:tblCellMar>
        </w:tblPrEx>
        <w:trPr>
          <w:tblHeader/>
        </w:trPr>
        <w:tc>
          <w:p w14:paraId="6D0575AA">
            <w:pPr>
              <w:jc w:val="right"/>
            </w:pPr>
            <w:r>
              <w:rPr>
                <w:rFonts w:hint="eastAsia"/>
              </w:rPr>
              <w:t>截止频率</w:t>
            </w:r>
            <w:r>
              <w:t xml:space="preserve"> </w:t>
            </w:r>
            <m:oMath>
              <m:sSub>
                <m:sSubPr/>
                <m:e>
                  <m:r>
                    <m:rPr/>
                    <m:t>f</m:t>
                  </m:r>
                </m:e>
                <m:sub>
                  <m:r>
                    <m:rPr/>
                    <m:t>p</m:t>
                  </m:r>
                </m:sub>
              </m:sSub>
            </m:oMath>
            <w:r>
              <w:t xml:space="preserve"> (GHz)</w:t>
            </w:r>
          </w:p>
        </w:tc>
        <w:tc>
          <w:p w14:paraId="537515F5">
            <w:pPr>
              <w:jc w:val="right"/>
            </w:pPr>
            <m:oMath>
              <m:sSubSup>
                <m:sSubSupPr/>
                <m:e>
                  <m:r>
                    <m:rPr/>
                    <m:t>f</m:t>
                  </m:r>
                </m:e>
                <m:sub>
                  <m:r>
                    <m:rPr/>
                    <m:t>beat</m:t>
                  </m:r>
                  <m:r>
                    <m:rPr>
                      <m:sty m:val="p"/>
                    </m:rPr>
                    <m:t>,</m:t>
                  </m:r>
                  <m:r>
                    <m:rPr/>
                    <m:t>air</m:t>
                  </m:r>
                </m:sub>
                <m:sup>
                  <m:r>
                    <m:rPr/>
                    <m:t>corr</m:t>
                  </m:r>
                </m:sup>
              </m:sSubSup>
            </m:oMath>
            <w:r>
              <w:t xml:space="preserve"> (MHz)</w:t>
            </w:r>
          </w:p>
        </w:tc>
        <w:tc>
          <w:p w14:paraId="0AF7180B">
            <w:pPr>
              <w:jc w:val="right"/>
            </w:pPr>
            <m:oMath>
              <m:sSubSup>
                <m:sSubSupPr/>
                <m:e>
                  <m:r>
                    <m:rPr/>
                    <m:t>f</m:t>
                  </m:r>
                </m:e>
                <m:sub>
                  <m:r>
                    <m:rPr/>
                    <m:t>beat</m:t>
                  </m:r>
                  <m:r>
                    <m:rPr>
                      <m:sty m:val="p"/>
                    </m:rPr>
                    <m:t>,</m:t>
                  </m:r>
                  <m:r>
                    <m:rPr/>
                    <m:t>plasma</m:t>
                  </m:r>
                </m:sub>
                <m:sup>
                  <m:r>
                    <m:rPr/>
                    <m:t>corr</m:t>
                  </m:r>
                </m:sup>
              </m:sSubSup>
            </m:oMath>
            <w:r>
              <w:t xml:space="preserve"> (MHz)</w:t>
            </w:r>
          </w:p>
        </w:tc>
        <w:tc>
          <w:p w14:paraId="486F750E">
            <w:pPr>
              <w:jc w:val="right"/>
            </w:pPr>
            <m:oMath>
              <m:r>
                <m:rPr>
                  <m:sty m:val="p"/>
                </m:rPr>
                <m:t>Δ</m:t>
              </m:r>
              <m:r>
                <m:rPr/>
                <m:t>f</m:t>
              </m:r>
            </m:oMath>
            <w:r>
              <w:t xml:space="preserve"> (MHz)</w:t>
            </w:r>
          </w:p>
        </w:tc>
        <w:tc>
          <w:p w14:paraId="2B145CF0">
            <w:pPr>
              <w:jc w:val="right"/>
            </w:pPr>
            <w:r>
              <w:rPr>
                <w:rFonts w:hint="eastAsia"/>
              </w:rPr>
              <w:t>真值</w:t>
            </w:r>
            <w:r>
              <w:t xml:space="preserve"> </w:t>
            </w:r>
            <m:oMath>
              <m:sSub>
                <m:sSubPr/>
                <m:e>
                  <m:r>
                    <m:rPr/>
                    <m:t>n</m:t>
                  </m:r>
                </m:e>
                <m:sub>
                  <m:r>
                    <m:rPr/>
                    <m:t>e</m:t>
                  </m:r>
                </m:sub>
              </m:sSub>
            </m:oMath>
            <w:r>
              <w:t xml:space="preserve"> (m</w:t>
            </w:r>
            <m:oMath>
              <m:sSup>
                <m:sSupPr/>
                <m:e>
                  <m:r>
                    <m:rPr/>
                    <m:t>​</m:t>
                  </m:r>
                </m:e>
                <m:sup>
                  <m:r>
                    <m:rPr>
                      <m:sty m:val="p"/>
                    </m:rPr>
                    <m:t>−</m:t>
                  </m:r>
                  <m:r>
                    <m:rPr/>
                    <m:t>3</m:t>
                  </m:r>
                </m:sup>
              </m:sSup>
            </m:oMath>
            <w:r>
              <w:t>)</w:t>
            </w:r>
          </w:p>
        </w:tc>
        <w:tc>
          <w:p w14:paraId="649C64C0">
            <w:pPr>
              <w:jc w:val="right"/>
            </w:pPr>
            <w:r>
              <w:rPr>
                <w:rFonts w:hint="eastAsia"/>
              </w:rPr>
              <w:t>传统FFT估计</w:t>
            </w:r>
            <w:r>
              <w:t xml:space="preserve"> </w:t>
            </w:r>
            <m:oMath>
              <m:sSub>
                <m:sSubPr/>
                <m:e>
                  <m:r>
                    <m:rPr/>
                    <m:t>n</m:t>
                  </m:r>
                </m:e>
                <m:sub>
                  <m:r>
                    <m:rPr/>
                    <m:t>e</m:t>
                  </m:r>
                </m:sub>
              </m:sSub>
            </m:oMath>
            <w:r>
              <w:t xml:space="preserve"> (m</w:t>
            </w:r>
            <m:oMath>
              <m:sSup>
                <m:sSupPr/>
                <m:e>
                  <m:r>
                    <m:rPr/>
                    <m:t>​</m:t>
                  </m:r>
                </m:e>
                <m:sup>
                  <m:r>
                    <m:rPr>
                      <m:sty m:val="p"/>
                    </m:rPr>
                    <m:t>−</m:t>
                  </m:r>
                  <m:r>
                    <m:rPr/>
                    <m:t>3</m:t>
                  </m:r>
                </m:sup>
              </m:sSup>
            </m:oMath>
            <w:r>
              <w:t>)</w:t>
            </w:r>
          </w:p>
        </w:tc>
        <w:tc>
          <w:p w14:paraId="0D3360F7">
            <w:pPr>
              <w:jc w:val="right"/>
            </w:pPr>
            <w:r>
              <w:rPr>
                <w:rFonts w:hint="eastAsia"/>
              </w:rPr>
              <w:t>传统误差（%）</w:t>
            </w:r>
          </w:p>
        </w:tc>
        <w:tc>
          <w:p w14:paraId="40DAC03B">
            <w:pPr>
              <w:jc w:val="right"/>
            </w:pPr>
            <w:r>
              <w:rPr>
                <w:rFonts w:hint="eastAsia"/>
              </w:rPr>
              <w:t>MCMC后验均值</w:t>
            </w:r>
            <w:r>
              <w:t xml:space="preserve"> </w:t>
            </w:r>
            <m:oMath>
              <m:sSub>
                <m:sSubPr/>
                <m:e>
                  <m:acc>
                    <m:accPr/>
                    <m:e>
                      <m:r>
                        <m:rPr/>
                        <m:t>n</m:t>
                      </m:r>
                    </m:e>
                  </m:acc>
                </m:e>
                <m:sub>
                  <m:r>
                    <m:rPr/>
                    <m:t>e</m:t>
                  </m:r>
                </m:sub>
              </m:sSub>
            </m:oMath>
            <w:r>
              <w:t xml:space="preserve"> (m</w:t>
            </w:r>
            <m:oMath>
              <m:sSup>
                <m:sSupPr/>
                <m:e>
                  <m:r>
                    <m:rPr/>
                    <m:t>​</m:t>
                  </m:r>
                </m:e>
                <m:sup>
                  <m:r>
                    <m:rPr>
                      <m:sty m:val="p"/>
                    </m:rPr>
                    <m:t>−</m:t>
                  </m:r>
                  <m:r>
                    <m:rPr/>
                    <m:t>3</m:t>
                  </m:r>
                </m:sup>
              </m:sSup>
            </m:oMath>
            <w:r>
              <w:t>)</w:t>
            </w:r>
          </w:p>
        </w:tc>
        <w:tc>
          <w:p w14:paraId="46C2DD4A">
            <w:pPr>
              <w:jc w:val="right"/>
            </w:pPr>
            <w:r>
              <w:rPr>
                <w:rFonts w:hint="eastAsia"/>
              </w:rPr>
              <w:t>MCMC误差（%）</w:t>
            </w:r>
          </w:p>
        </w:tc>
        <w:tc>
          <w:p w14:paraId="09A4688D">
            <w:pPr>
              <w:jc w:val="right"/>
            </w:pPr>
            <m:oMath>
              <m:sSub>
                <m:sSubPr/>
                <m:e>
                  <m:r>
                    <m:rPr>
                      <m:nor/>
                      <m:sty m:val="p"/>
                    </m:rPr>
                    <w:rPr>
                      <w:b w:val="0"/>
                      <w:i w:val="0"/>
                    </w:rPr>
                    <m:t>CV</m:t>
                  </m:r>
                </m:e>
                <m:sub>
                  <m:sSub>
                    <m:sSubPr/>
                    <m:e>
                      <m:r>
                        <m:rPr/>
                        <m:t>n</m:t>
                      </m:r>
                    </m:e>
                    <m:sub>
                      <m:r>
                        <m:rPr/>
                        <m:t>e</m:t>
                      </m:r>
                    </m:sub>
                  </m:sSub>
                </m:sub>
              </m:sSub>
            </m:oMath>
            <w:r>
              <w:rPr>
                <w:rFonts w:hint="eastAsia"/>
              </w:rPr>
              <w:t>（%）</w:t>
            </w:r>
          </w:p>
        </w:tc>
        <w:tc>
          <w:p w14:paraId="6B9F5B26">
            <w:pPr>
              <w:jc w:val="right"/>
            </w:pPr>
            <m:oMath>
              <m:sSub>
                <m:sSubPr/>
                <m:e>
                  <m:r>
                    <m:rPr>
                      <m:nor/>
                      <m:sty m:val="p"/>
                    </m:rPr>
                    <w:rPr>
                      <w:b w:val="0"/>
                      <w:i w:val="0"/>
                    </w:rPr>
                    <m:t>CV</m:t>
                  </m:r>
                </m:e>
                <m:sub>
                  <m:sSub>
                    <m:sSubPr/>
                    <m:e>
                      <m:r>
                        <m:rPr/>
                        <m:t>ν</m:t>
                      </m:r>
                    </m:e>
                    <m:sub>
                      <m:r>
                        <m:rPr/>
                        <m:t>e</m:t>
                      </m:r>
                    </m:sub>
                  </m:sSub>
                </m:sub>
              </m:sSub>
            </m:oMath>
            <w:r>
              <w:rPr>
                <w:rFonts w:hint="eastAsia"/>
              </w:rPr>
              <w:t>（%）</w:t>
            </w:r>
          </w:p>
        </w:tc>
      </w:tr>
      <w:tr w14:paraId="3FFE8EE6">
        <w:tblPrEx>
          <w:tblCellMar>
            <w:top w:w="0" w:type="dxa"/>
            <w:left w:w="108" w:type="dxa"/>
            <w:bottom w:w="0" w:type="dxa"/>
            <w:right w:w="108" w:type="dxa"/>
          </w:tblCellMar>
        </w:tblPrEx>
        <w:tc>
          <w:p w14:paraId="5C4ED9C1">
            <w:pPr>
              <w:jc w:val="right"/>
            </w:pPr>
            <w:r>
              <w:t>20</w:t>
            </w:r>
          </w:p>
        </w:tc>
        <w:tc>
          <w:p w14:paraId="29399810">
            <w:pPr>
              <w:jc w:val="right"/>
            </w:pPr>
            <w:r>
              <w:t>0.2570</w:t>
            </w:r>
          </w:p>
        </w:tc>
        <w:tc>
          <w:p w14:paraId="27C8BFA7">
            <w:pPr>
              <w:jc w:val="right"/>
            </w:pPr>
            <w:r>
              <w:t>0.2619</w:t>
            </w:r>
          </w:p>
        </w:tc>
        <w:tc>
          <w:p w14:paraId="26ABC3DD">
            <w:pPr>
              <w:jc w:val="right"/>
            </w:pPr>
            <w:r>
              <w:t>0.0049</w:t>
            </w:r>
          </w:p>
        </w:tc>
        <w:tc>
          <w:p w14:paraId="32437390">
            <w:pPr>
              <w:jc w:val="right"/>
            </w:pPr>
            <w:r>
              <w:t>4.9626e+18</w:t>
            </w:r>
          </w:p>
        </w:tc>
        <w:tc>
          <w:p w14:paraId="0169973C">
            <w:pPr>
              <w:jc w:val="right"/>
            </w:pPr>
            <w:r>
              <w:t>4.8888e+18</w:t>
            </w:r>
          </w:p>
        </w:tc>
        <w:tc>
          <w:p w14:paraId="23DCA7E0">
            <w:pPr>
              <w:jc w:val="right"/>
            </w:pPr>
            <w:r>
              <w:t>1.49</w:t>
            </w:r>
          </w:p>
        </w:tc>
        <w:tc>
          <w:p w14:paraId="7DB51A65">
            <w:pPr>
              <w:jc w:val="right"/>
            </w:pPr>
            <w:r>
              <w:t>4.8515e+18</w:t>
            </w:r>
          </w:p>
        </w:tc>
        <w:tc>
          <w:p w14:paraId="35674DED">
            <w:pPr>
              <w:jc w:val="right"/>
            </w:pPr>
            <w:r>
              <w:t>2.24</w:t>
            </w:r>
          </w:p>
        </w:tc>
        <w:tc>
          <w:p w14:paraId="0DBBA2E5">
            <w:pPr>
              <w:jc w:val="right"/>
            </w:pPr>
            <w:r>
              <w:t>15.75</w:t>
            </w:r>
          </w:p>
        </w:tc>
        <w:tc>
          <w:p w14:paraId="7E6EF78F">
            <w:pPr>
              <w:jc w:val="right"/>
            </w:pPr>
            <w:r>
              <w:t>58.97</w:t>
            </w:r>
          </w:p>
        </w:tc>
      </w:tr>
      <w:tr w14:paraId="517B2AF8">
        <w:tblPrEx>
          <w:tblCellMar>
            <w:top w:w="0" w:type="dxa"/>
            <w:left w:w="108" w:type="dxa"/>
            <w:bottom w:w="0" w:type="dxa"/>
            <w:right w:w="108" w:type="dxa"/>
          </w:tblCellMar>
        </w:tblPrEx>
        <w:tc>
          <w:p w14:paraId="30AAC2EB">
            <w:pPr>
              <w:jc w:val="right"/>
            </w:pPr>
            <w:r>
              <w:t>21</w:t>
            </w:r>
          </w:p>
        </w:tc>
        <w:tc>
          <w:p w14:paraId="4EE4ED37">
            <w:pPr>
              <w:jc w:val="right"/>
            </w:pPr>
            <w:r>
              <w:t>0.2570</w:t>
            </w:r>
          </w:p>
        </w:tc>
        <w:tc>
          <w:p w14:paraId="1A481143">
            <w:pPr>
              <w:jc w:val="right"/>
            </w:pPr>
            <w:r>
              <w:t>0.2626</w:t>
            </w:r>
          </w:p>
        </w:tc>
        <w:tc>
          <w:p w14:paraId="387572D7">
            <w:pPr>
              <w:jc w:val="right"/>
            </w:pPr>
            <w:r>
              <w:t>0.0056</w:t>
            </w:r>
          </w:p>
        </w:tc>
        <w:tc>
          <w:p w14:paraId="2FE4B7BE">
            <w:pPr>
              <w:jc w:val="right"/>
            </w:pPr>
            <w:r>
              <w:t>5.4712e+18</w:t>
            </w:r>
          </w:p>
        </w:tc>
        <w:tc>
          <w:p w14:paraId="0D244F9A">
            <w:pPr>
              <w:jc w:val="right"/>
            </w:pPr>
            <w:r>
              <w:t>5.5754e+18</w:t>
            </w:r>
          </w:p>
        </w:tc>
        <w:tc>
          <w:p w14:paraId="19E667D1">
            <w:pPr>
              <w:jc w:val="right"/>
            </w:pPr>
            <w:r>
              <w:t>1.90</w:t>
            </w:r>
          </w:p>
        </w:tc>
        <w:tc>
          <w:p w14:paraId="3044C01B">
            <w:pPr>
              <w:jc w:val="right"/>
            </w:pPr>
            <w:r>
              <w:t>5.3923e+18</w:t>
            </w:r>
          </w:p>
        </w:tc>
        <w:tc>
          <w:p w14:paraId="4AB2CAE5">
            <w:pPr>
              <w:jc w:val="right"/>
            </w:pPr>
            <w:r>
              <w:t>1.44</w:t>
            </w:r>
          </w:p>
        </w:tc>
        <w:tc>
          <w:p w14:paraId="1AFBDF05">
            <w:pPr>
              <w:jc w:val="right"/>
            </w:pPr>
            <w:r>
              <w:t>12.93</w:t>
            </w:r>
          </w:p>
        </w:tc>
        <w:tc>
          <w:p w14:paraId="33076191">
            <w:pPr>
              <w:jc w:val="right"/>
            </w:pPr>
            <w:r>
              <w:t>59.37</w:t>
            </w:r>
          </w:p>
        </w:tc>
      </w:tr>
      <w:tr w14:paraId="6CF1B89C">
        <w:tblPrEx>
          <w:tblCellMar>
            <w:top w:w="0" w:type="dxa"/>
            <w:left w:w="108" w:type="dxa"/>
            <w:bottom w:w="0" w:type="dxa"/>
            <w:right w:w="108" w:type="dxa"/>
          </w:tblCellMar>
        </w:tblPrEx>
        <w:tc>
          <w:p w14:paraId="6C325D51">
            <w:pPr>
              <w:jc w:val="right"/>
            </w:pPr>
            <w:r>
              <w:t>22</w:t>
            </w:r>
          </w:p>
        </w:tc>
        <w:tc>
          <w:p w14:paraId="6C6C31AF">
            <w:pPr>
              <w:jc w:val="right"/>
            </w:pPr>
            <w:r>
              <w:t>0.2570</w:t>
            </w:r>
          </w:p>
        </w:tc>
        <w:tc>
          <w:p w14:paraId="01EA7B92">
            <w:pPr>
              <w:jc w:val="right"/>
            </w:pPr>
            <w:r>
              <w:t>0.2634</w:t>
            </w:r>
          </w:p>
        </w:tc>
        <w:tc>
          <w:p w14:paraId="00130117">
            <w:pPr>
              <w:jc w:val="right"/>
            </w:pPr>
            <w:r>
              <w:t>0.0064</w:t>
            </w:r>
          </w:p>
        </w:tc>
        <w:tc>
          <w:p w14:paraId="6C1277AA">
            <w:pPr>
              <w:jc w:val="right"/>
            </w:pPr>
            <w:r>
              <w:t>6.0047e+18</w:t>
            </w:r>
          </w:p>
        </w:tc>
        <w:tc>
          <w:p w14:paraId="4F2F7E60">
            <w:pPr>
              <w:jc w:val="right"/>
            </w:pPr>
            <w:r>
              <w:t>6.3460e+18</w:t>
            </w:r>
          </w:p>
        </w:tc>
        <w:tc>
          <w:p w14:paraId="39226D83">
            <w:pPr>
              <w:jc w:val="right"/>
            </w:pPr>
            <w:r>
              <w:t>5.68</w:t>
            </w:r>
          </w:p>
        </w:tc>
        <w:tc>
          <w:p w14:paraId="35C16313">
            <w:pPr>
              <w:jc w:val="right"/>
            </w:pPr>
            <w:r>
              <w:t>5.9336e+18</w:t>
            </w:r>
          </w:p>
        </w:tc>
        <w:tc>
          <w:p w14:paraId="0D65675C">
            <w:pPr>
              <w:jc w:val="right"/>
            </w:pPr>
            <w:r>
              <w:t>1.18</w:t>
            </w:r>
          </w:p>
        </w:tc>
        <w:tc>
          <w:p w14:paraId="12F4F775">
            <w:pPr>
              <w:jc w:val="right"/>
            </w:pPr>
            <w:r>
              <w:t>11.15</w:t>
            </w:r>
          </w:p>
        </w:tc>
        <w:tc>
          <w:p w14:paraId="1089F075">
            <w:pPr>
              <w:jc w:val="right"/>
            </w:pPr>
            <w:r>
              <w:t>64.02</w:t>
            </w:r>
          </w:p>
        </w:tc>
      </w:tr>
      <w:tr w14:paraId="0CC7B698">
        <w:tblPrEx>
          <w:tblCellMar>
            <w:top w:w="0" w:type="dxa"/>
            <w:left w:w="108" w:type="dxa"/>
            <w:bottom w:w="0" w:type="dxa"/>
            <w:right w:w="108" w:type="dxa"/>
          </w:tblCellMar>
        </w:tblPrEx>
        <w:tc>
          <w:p w14:paraId="64BC9CB4">
            <w:pPr>
              <w:jc w:val="right"/>
            </w:pPr>
            <w:r>
              <w:t>23</w:t>
            </w:r>
          </w:p>
        </w:tc>
        <w:tc>
          <w:p w14:paraId="1E0B2BFA">
            <w:pPr>
              <w:jc w:val="right"/>
            </w:pPr>
            <w:r>
              <w:t>0.2570</w:t>
            </w:r>
          </w:p>
        </w:tc>
        <w:tc>
          <w:p w14:paraId="2FB76CF5">
            <w:pPr>
              <w:jc w:val="right"/>
            </w:pPr>
            <w:r>
              <w:t>0.2643</w:t>
            </w:r>
          </w:p>
        </w:tc>
        <w:tc>
          <w:p w14:paraId="1B92673B">
            <w:pPr>
              <w:jc w:val="right"/>
            </w:pPr>
            <w:r>
              <w:t>0.0073</w:t>
            </w:r>
          </w:p>
        </w:tc>
        <w:tc>
          <w:p w14:paraId="56318142">
            <w:pPr>
              <w:jc w:val="right"/>
            </w:pPr>
            <w:r>
              <w:t>6.5630e+18</w:t>
            </w:r>
          </w:p>
        </w:tc>
        <w:tc>
          <w:p w14:paraId="1D7AF928">
            <w:pPr>
              <w:jc w:val="right"/>
            </w:pPr>
            <w:r>
              <w:t>7.2130e+18</w:t>
            </w:r>
          </w:p>
        </w:tc>
        <w:tc>
          <w:p w14:paraId="22AE67E7">
            <w:pPr>
              <w:jc w:val="right"/>
            </w:pPr>
            <w:r>
              <w:t>9.90</w:t>
            </w:r>
          </w:p>
        </w:tc>
        <w:tc>
          <w:p w14:paraId="79D28023">
            <w:pPr>
              <w:jc w:val="right"/>
            </w:pPr>
            <w:r>
              <w:t>6.4892e+18</w:t>
            </w:r>
          </w:p>
        </w:tc>
        <w:tc>
          <w:p w14:paraId="47ADBA32">
            <w:pPr>
              <w:jc w:val="right"/>
            </w:pPr>
            <w:r>
              <w:t>1.12</w:t>
            </w:r>
          </w:p>
        </w:tc>
        <w:tc>
          <w:p w14:paraId="3C07387C">
            <w:pPr>
              <w:jc w:val="right"/>
            </w:pPr>
            <w:r>
              <w:t>9.07</w:t>
            </w:r>
          </w:p>
        </w:tc>
        <w:tc>
          <w:p w14:paraId="1342AB4F">
            <w:pPr>
              <w:jc w:val="right"/>
            </w:pPr>
            <w:r>
              <w:t>64.07</w:t>
            </w:r>
          </w:p>
        </w:tc>
      </w:tr>
      <w:tr w14:paraId="0422636C">
        <w:tblPrEx>
          <w:tblCellMar>
            <w:top w:w="0" w:type="dxa"/>
            <w:left w:w="108" w:type="dxa"/>
            <w:bottom w:w="0" w:type="dxa"/>
            <w:right w:w="108" w:type="dxa"/>
          </w:tblCellMar>
        </w:tblPrEx>
        <w:tc>
          <w:p w14:paraId="5E4369F1">
            <w:pPr>
              <w:jc w:val="right"/>
            </w:pPr>
            <w:r>
              <w:t>24</w:t>
            </w:r>
          </w:p>
        </w:tc>
        <w:tc>
          <w:p w14:paraId="52AE4DED">
            <w:pPr>
              <w:jc w:val="right"/>
            </w:pPr>
            <w:r>
              <w:t>0.2570</w:t>
            </w:r>
          </w:p>
        </w:tc>
        <w:tc>
          <w:p w14:paraId="5BC50A39">
            <w:pPr>
              <w:jc w:val="right"/>
            </w:pPr>
            <w:r>
              <w:t>0.2653</w:t>
            </w:r>
          </w:p>
        </w:tc>
        <w:tc>
          <w:p w14:paraId="69441403">
            <w:pPr>
              <w:jc w:val="right"/>
            </w:pPr>
            <w:r>
              <w:t>0.0082</w:t>
            </w:r>
          </w:p>
        </w:tc>
        <w:tc>
          <w:p w14:paraId="7BC6240D">
            <w:pPr>
              <w:jc w:val="right"/>
            </w:pPr>
            <w:r>
              <w:t>7.1461e+18</w:t>
            </w:r>
          </w:p>
        </w:tc>
        <w:tc>
          <w:p w14:paraId="3FD99981">
            <w:pPr>
              <w:jc w:val="right"/>
            </w:pPr>
            <w:r>
              <w:t>8.1905e+18</w:t>
            </w:r>
          </w:p>
        </w:tc>
        <w:tc>
          <w:p w14:paraId="5F3E99F9">
            <w:pPr>
              <w:jc w:val="right"/>
            </w:pPr>
            <w:r>
              <w:t>14.61</w:t>
            </w:r>
          </w:p>
        </w:tc>
        <w:tc>
          <w:p w14:paraId="6EF57A40">
            <w:pPr>
              <w:jc w:val="right"/>
            </w:pPr>
            <w:r>
              <w:t>7.1090e+18</w:t>
            </w:r>
          </w:p>
        </w:tc>
        <w:tc>
          <w:p w14:paraId="2BF7BB40">
            <w:pPr>
              <w:jc w:val="right"/>
            </w:pPr>
            <w:r>
              <w:t>0.52</w:t>
            </w:r>
          </w:p>
        </w:tc>
        <w:tc>
          <w:p w14:paraId="19A0C6B8">
            <w:pPr>
              <w:jc w:val="right"/>
            </w:pPr>
            <w:r>
              <w:t>7.70</w:t>
            </w:r>
          </w:p>
        </w:tc>
        <w:tc>
          <w:p w14:paraId="13B87A09">
            <w:pPr>
              <w:jc w:val="right"/>
            </w:pPr>
            <w:r>
              <w:t>49.77</w:t>
            </w:r>
          </w:p>
        </w:tc>
      </w:tr>
      <w:tr w14:paraId="595F8FA8">
        <w:tblPrEx>
          <w:tblCellMar>
            <w:top w:w="0" w:type="dxa"/>
            <w:left w:w="108" w:type="dxa"/>
            <w:bottom w:w="0" w:type="dxa"/>
            <w:right w:w="108" w:type="dxa"/>
          </w:tblCellMar>
        </w:tblPrEx>
        <w:tc>
          <w:p w14:paraId="7164C7B8">
            <w:pPr>
              <w:jc w:val="right"/>
            </w:pPr>
            <w:r>
              <w:t>25</w:t>
            </w:r>
          </w:p>
        </w:tc>
        <w:tc>
          <w:p w14:paraId="799EA2C7">
            <w:pPr>
              <w:jc w:val="right"/>
            </w:pPr>
            <w:r>
              <w:t>0.2570</w:t>
            </w:r>
          </w:p>
        </w:tc>
        <w:tc>
          <w:p w14:paraId="4C15F5FE">
            <w:pPr>
              <w:jc w:val="right"/>
            </w:pPr>
            <w:r>
              <w:t>0.2664</w:t>
            </w:r>
          </w:p>
        </w:tc>
        <w:tc>
          <w:p w14:paraId="73669B03">
            <w:pPr>
              <w:jc w:val="right"/>
            </w:pPr>
            <w:r>
              <w:t>0.0094</w:t>
            </w:r>
          </w:p>
        </w:tc>
        <w:tc>
          <w:p w14:paraId="317981F2">
            <w:pPr>
              <w:jc w:val="right"/>
            </w:pPr>
            <w:r>
              <w:t>7.7540e+18</w:t>
            </w:r>
          </w:p>
        </w:tc>
        <w:tc>
          <w:p w14:paraId="6184A17C">
            <w:pPr>
              <w:jc w:val="right"/>
            </w:pPr>
            <w:r>
              <w:t>9.2943e+18</w:t>
            </w:r>
          </w:p>
        </w:tc>
        <w:tc>
          <w:p w14:paraId="56A19D80">
            <w:pPr>
              <w:jc w:val="right"/>
            </w:pPr>
            <w:r>
              <w:t>19.86</w:t>
            </w:r>
          </w:p>
        </w:tc>
        <w:tc>
          <w:p w14:paraId="79233D18">
            <w:pPr>
              <w:jc w:val="right"/>
            </w:pPr>
            <w:r>
              <w:t>7.7115e+18</w:t>
            </w:r>
          </w:p>
        </w:tc>
        <w:tc>
          <w:p w14:paraId="13E91B51">
            <w:pPr>
              <w:jc w:val="right"/>
            </w:pPr>
            <w:r>
              <w:t>0.55</w:t>
            </w:r>
          </w:p>
        </w:tc>
        <w:tc>
          <w:p w14:paraId="02BDFC54">
            <w:pPr>
              <w:jc w:val="right"/>
            </w:pPr>
            <w:r>
              <w:t>6.19</w:t>
            </w:r>
          </w:p>
        </w:tc>
        <w:tc>
          <w:p w14:paraId="54ECF9A7">
            <w:pPr>
              <w:jc w:val="right"/>
            </w:pPr>
            <w:r>
              <w:t>47.14</w:t>
            </w:r>
          </w:p>
        </w:tc>
      </w:tr>
      <w:tr w14:paraId="4054D3B6">
        <w:tblPrEx>
          <w:tblCellMar>
            <w:top w:w="0" w:type="dxa"/>
            <w:left w:w="108" w:type="dxa"/>
            <w:bottom w:w="0" w:type="dxa"/>
            <w:right w:w="108" w:type="dxa"/>
          </w:tblCellMar>
        </w:tblPrEx>
        <w:tc>
          <w:p w14:paraId="33F95C2E">
            <w:pPr>
              <w:jc w:val="right"/>
            </w:pPr>
            <w:r>
              <w:t>30</w:t>
            </w:r>
          </w:p>
        </w:tc>
        <w:tc>
          <w:p w14:paraId="32520DF2">
            <w:pPr>
              <w:jc w:val="right"/>
            </w:pPr>
            <w:r>
              <w:t>0.2570</w:t>
            </w:r>
          </w:p>
        </w:tc>
        <w:tc>
          <w:p w14:paraId="7180F336">
            <w:pPr>
              <w:jc w:val="right"/>
            </w:pPr>
            <w:r>
              <w:t>0.2820</w:t>
            </w:r>
          </w:p>
        </w:tc>
        <w:tc>
          <w:p w14:paraId="2F611E85">
            <w:pPr>
              <w:jc w:val="right"/>
            </w:pPr>
            <w:r>
              <w:t>0.0249</w:t>
            </w:r>
          </w:p>
        </w:tc>
        <w:tc>
          <w:p w14:paraId="5655994A">
            <w:pPr>
              <w:jc w:val="right"/>
            </w:pPr>
            <w:r>
              <w:t>1.1166e+19</w:t>
            </w:r>
          </w:p>
        </w:tc>
        <w:tc>
          <w:p w14:paraId="5974E987">
            <w:pPr>
              <w:jc w:val="right"/>
            </w:pPr>
            <w:r>
              <w:t>2.4790e+19</w:t>
            </w:r>
          </w:p>
        </w:tc>
        <w:tc>
          <w:p w14:paraId="58CBBC39">
            <w:pPr>
              <w:jc w:val="right"/>
            </w:pPr>
            <w:r>
              <w:t>122.02</w:t>
            </w:r>
          </w:p>
        </w:tc>
        <w:tc>
          <w:p w14:paraId="5020BD41">
            <w:pPr>
              <w:jc w:val="right"/>
            </w:pPr>
            <w:r>
              <w:t>1.1170e+19</w:t>
            </w:r>
          </w:p>
        </w:tc>
        <w:tc>
          <w:p w14:paraId="645827A0">
            <w:pPr>
              <w:jc w:val="right"/>
            </w:pPr>
            <w:r>
              <w:t>0.03</w:t>
            </w:r>
          </w:p>
        </w:tc>
        <w:tc>
          <w:p w14:paraId="6B09A9A3">
            <w:pPr>
              <w:jc w:val="right"/>
            </w:pPr>
            <w:r>
              <w:t>1.91</w:t>
            </w:r>
          </w:p>
        </w:tc>
        <w:tc>
          <w:p w14:paraId="07950465">
            <w:pPr>
              <w:jc w:val="right"/>
            </w:pPr>
            <w:r>
              <w:t>45.83</w:t>
            </w:r>
          </w:p>
        </w:tc>
      </w:tr>
      <w:tr w14:paraId="4FA47EB3">
        <w:tblPrEx>
          <w:tblCellMar>
            <w:top w:w="0" w:type="dxa"/>
            <w:left w:w="108" w:type="dxa"/>
            <w:bottom w:w="0" w:type="dxa"/>
            <w:right w:w="108" w:type="dxa"/>
          </w:tblCellMar>
        </w:tblPrEx>
        <w:tc>
          <w:p w14:paraId="2E777DFE">
            <w:pPr>
              <w:jc w:val="right"/>
            </w:pPr>
            <w:r>
              <w:t>31</w:t>
            </w:r>
          </w:p>
        </w:tc>
        <w:tc>
          <w:p w14:paraId="3A952BBE">
            <w:pPr>
              <w:jc w:val="right"/>
            </w:pPr>
            <w:r>
              <w:t>0.2570</w:t>
            </w:r>
          </w:p>
        </w:tc>
        <w:tc>
          <w:p w14:paraId="39DF5AFD">
            <w:pPr>
              <w:jc w:val="right"/>
            </w:pPr>
            <w:r>
              <w:t>0.2857</w:t>
            </w:r>
          </w:p>
        </w:tc>
        <w:tc>
          <w:p w14:paraId="06BF5BC3">
            <w:pPr>
              <w:jc w:val="right"/>
            </w:pPr>
            <w:r>
              <w:t>0.0286</w:t>
            </w:r>
          </w:p>
        </w:tc>
        <w:tc>
          <w:p w14:paraId="08014C3B">
            <w:pPr>
              <w:jc w:val="right"/>
            </w:pPr>
            <w:r>
              <w:t>1.1923e+19</w:t>
            </w:r>
          </w:p>
        </w:tc>
        <w:tc>
          <w:p w14:paraId="283FE105">
            <w:pPr>
              <w:jc w:val="right"/>
            </w:pPr>
            <w:r>
              <w:t>2.8466e+19</w:t>
            </w:r>
          </w:p>
        </w:tc>
        <w:tc>
          <w:p w14:paraId="5166130B">
            <w:pPr>
              <w:jc w:val="right"/>
            </w:pPr>
            <w:r>
              <w:t>138.76</w:t>
            </w:r>
          </w:p>
        </w:tc>
        <w:tc>
          <w:p w14:paraId="2A52F52B">
            <w:pPr>
              <w:jc w:val="right"/>
            </w:pPr>
            <w:r>
              <w:t>1.1942e+19</w:t>
            </w:r>
          </w:p>
        </w:tc>
        <w:tc>
          <w:p w14:paraId="028FD40D">
            <w:pPr>
              <w:jc w:val="right"/>
            </w:pPr>
            <w:r>
              <w:t>0.16</w:t>
            </w:r>
          </w:p>
        </w:tc>
        <w:tc>
          <w:p w14:paraId="2FEF084F">
            <w:pPr>
              <w:jc w:val="right"/>
            </w:pPr>
            <w:r>
              <w:t>1.50</w:t>
            </w:r>
          </w:p>
        </w:tc>
        <w:tc>
          <w:p w14:paraId="0A47E3F3">
            <w:pPr>
              <w:jc w:val="right"/>
            </w:pPr>
            <w:r>
              <w:t>31.71</w:t>
            </w:r>
          </w:p>
        </w:tc>
      </w:tr>
      <w:tr w14:paraId="17364ECE">
        <w:tblPrEx>
          <w:tblCellMar>
            <w:top w:w="0" w:type="dxa"/>
            <w:left w:w="108" w:type="dxa"/>
            <w:bottom w:w="0" w:type="dxa"/>
            <w:right w:w="108" w:type="dxa"/>
          </w:tblCellMar>
        </w:tblPrEx>
        <w:tc>
          <w:p w14:paraId="1AA6A006">
            <w:pPr>
              <w:jc w:val="right"/>
            </w:pPr>
            <w:r>
              <w:t>33</w:t>
            </w:r>
          </w:p>
        </w:tc>
        <w:tc>
          <w:p w14:paraId="3A249577">
            <w:pPr>
              <w:jc w:val="right"/>
            </w:pPr>
            <w:r>
              <w:t>0.2570</w:t>
            </w:r>
          </w:p>
        </w:tc>
        <w:tc>
          <w:p w14:paraId="0E15E123">
            <w:pPr>
              <w:jc w:val="right"/>
            </w:pPr>
            <w:r>
              <w:t>0.3040</w:t>
            </w:r>
          </w:p>
        </w:tc>
        <w:tc>
          <w:p w14:paraId="4ED26940">
            <w:pPr>
              <w:jc w:val="right"/>
            </w:pPr>
            <w:r>
              <w:t>0.0469</w:t>
            </w:r>
          </w:p>
        </w:tc>
        <w:tc>
          <w:p w14:paraId="0D2DD4EF">
            <w:pPr>
              <w:jc w:val="right"/>
            </w:pPr>
            <w:r>
              <w:t>1.3511e+19</w:t>
            </w:r>
          </w:p>
        </w:tc>
        <w:tc>
          <w:p w14:paraId="3B4D85C6">
            <w:pPr>
              <w:jc w:val="right"/>
            </w:pPr>
            <w:r>
              <w:t>4.6650e+19</w:t>
            </w:r>
          </w:p>
        </w:tc>
        <w:tc>
          <w:p w14:paraId="2A559680">
            <w:pPr>
              <w:jc w:val="right"/>
            </w:pPr>
            <w:r>
              <w:t>245.29</w:t>
            </w:r>
          </w:p>
        </w:tc>
        <w:tc>
          <w:p w14:paraId="4140D594">
            <w:pPr>
              <w:jc w:val="right"/>
            </w:pPr>
            <w:r>
              <w:t>1.3561e+19</w:t>
            </w:r>
          </w:p>
        </w:tc>
        <w:tc>
          <w:p w14:paraId="7098B24E">
            <w:pPr>
              <w:jc w:val="right"/>
            </w:pPr>
            <w:r>
              <w:t>0.37</w:t>
            </w:r>
          </w:p>
        </w:tc>
        <w:tc>
          <w:p w14:paraId="77049D85">
            <w:pPr>
              <w:jc w:val="right"/>
            </w:pPr>
            <w:r>
              <w:t>0.62</w:t>
            </w:r>
          </w:p>
        </w:tc>
        <w:tc>
          <w:p w14:paraId="5B704E6C">
            <w:pPr>
              <w:jc w:val="right"/>
            </w:pPr>
            <w:r>
              <w:t>23.59</w:t>
            </w:r>
          </w:p>
        </w:tc>
      </w:tr>
      <w:bookmarkEnd w:id="89"/>
    </w:tbl>
    <w:p w14:paraId="6FB0C044">
      <w:pPr>
        <w:pStyle w:val="5"/>
      </w:pPr>
      <w:bookmarkStart w:id="90" w:name="结果分析与讨论"/>
      <w:r>
        <w:rPr>
          <w:rFonts w:hint="eastAsia"/>
        </w:rPr>
        <w:t>结果分析与讨论</w:t>
      </w:r>
    </w:p>
    <w:p w14:paraId="1D5573B1">
      <w:r>
        <w:rPr>
          <w:rFonts w:hint="eastAsia"/>
        </w:rPr>
        <w:t>表4-5表明,两类方法在色散增强过程中的表现存在明显分化:在弱色散区,传统全周期FFT单峰方法仍可给出近似可用的结果;但当截止频率逼近诊断频段时,其误差迅速放大,最终超过100%,说明单峰读数已无法继续对应真实群时延。相比之下,本文方法在强色散主工作区仍保持较低反演误差,显示出更稳定的工程适用性。这一结果说明,强色散条件下的诊断问题不能继续依赖”单峰检测—单值时延”的传统近似,而必须转向”轨迹提取—统计反演”的处理链路。</w:t>
      </w:r>
    </w:p>
    <w:p w14:paraId="4A3F32BC">
      <w:r>
        <w:pict>
          <v:rect id="_x0000_i1046" o:spt="1" style="height:1.5pt;width:0pt;" coordsize="21600,21600" o:hr="t" o:hrstd="t" o:hralign="center">
            <v:path/>
            <v:fill focussize="0,0"/>
            <v:stroke/>
            <v:imagedata o:title=""/>
            <o:lock v:ext="edit"/>
            <w10:wrap type="none"/>
            <w10:anchorlock/>
          </v:rect>
        </w:pict>
      </w:r>
    </w:p>
    <w:bookmarkEnd w:id="87"/>
    <w:bookmarkEnd w:id="90"/>
    <w:p w14:paraId="62D60DCA">
      <w:pPr>
        <w:pStyle w:val="4"/>
      </w:pPr>
      <w:bookmarkStart w:id="91" w:name="降维反演的鲁棒性分析"/>
      <w:r>
        <w:rPr>
          <w:rFonts w:hint="eastAsia"/>
        </w:rPr>
        <w:t>降维反演的鲁棒性分析</w:t>
      </w:r>
    </w:p>
    <w:p w14:paraId="1710C41E">
      <w:r>
        <w:rPr>
          <w:rFonts w:hint="eastAsia"/>
        </w:rPr>
        <w:t>前三节已经分别回答了”轨迹能否稳定提取”和”后验是否支持降维”两个核心问题。本节进一步通过参数扫描与SNR扫描考察这些结论是否具有工程鲁棒性,从而把第四章的验证落脚到两件事:方法是否有效,以及降维是否合理。</w:t>
      </w:r>
    </w:p>
    <w:p w14:paraId="0F2A8391">
      <w:pPr>
        <w:pStyle w:val="5"/>
      </w:pPr>
      <w:bookmarkStart w:id="92" w:name="降维策略合理性的统计学论证"/>
      <w:r>
        <w:rPr>
          <w:rFonts w:hint="eastAsia"/>
        </w:rPr>
        <w:t>降维策略合理性的统计学论证</w:t>
      </w:r>
    </w:p>
    <w:p w14:paraId="19A05C15">
      <w:r>
        <w:rPr>
          <w:rFonts w:hint="eastAsia"/>
        </w:rPr>
        <w:t>第4.5.3节的MCMC后验分析已为降维策略提供了充分的统计学依据。首先，图4-12所示角点图揭示联合后验分布呈现特征性的纵向窄条结构：</w:t>
      </w:r>
      <m:oMath>
        <m:sSub>
          <m:sSubPr/>
          <m:e>
            <m:r>
              <m:rPr/>
              <m:t>n</m:t>
            </m:r>
          </m:e>
          <m:sub>
            <m:r>
              <m:rPr/>
              <m:t>e</m:t>
            </m:r>
          </m:sub>
        </m:sSub>
      </m:oMath>
      <w:r>
        <w:rPr>
          <w:rFonts w:hint="eastAsia"/>
        </w:rPr>
        <w:t>在垂直方向高度聚集（宽度约</w:t>
      </w:r>
      <m:oMath>
        <m:r>
          <m:rPr>
            <m:sty m:val="p"/>
          </m:rPr>
          <m:t>±</m:t>
        </m:r>
        <m:r>
          <m:rPr/>
          <m:t>3</m:t>
        </m:r>
        <m:r>
          <m:rPr>
            <m:sty m:val="p"/>
          </m:rPr>
          <m:t>%</m:t>
        </m:r>
      </m:oMath>
      <w:r>
        <w:rPr>
          <w:rFonts w:hint="eastAsia"/>
        </w:rPr>
        <w:t>），而</w:t>
      </w:r>
      <m:oMath>
        <m:sSub>
          <m:sSubPr/>
          <m:e>
            <m:r>
              <m:rPr/>
              <m:t>ν</m:t>
            </m:r>
          </m:e>
          <m:sub>
            <m:r>
              <m:rPr/>
              <m:t>e</m:t>
            </m:r>
          </m:sub>
        </m:sSub>
      </m:oMath>
      <w:r>
        <w:rPr>
          <w:rFonts w:hint="eastAsia"/>
        </w:rPr>
        <w:t>在水平方向弥散覆盖整个先验区间。这一结果表明，无论</w:t>
      </w:r>
      <m:oMath>
        <m:sSub>
          <m:sSubPr/>
          <m:e>
            <m:r>
              <m:rPr/>
              <m:t>ν</m:t>
            </m:r>
          </m:e>
          <m:sub>
            <m:r>
              <m:rPr/>
              <m:t>e</m:t>
            </m:r>
          </m:sub>
        </m:sSub>
      </m:oMath>
      <w:r>
        <w:rPr>
          <w:rFonts w:hint="eastAsia"/>
        </w:rPr>
        <w:t>取何值，</w:t>
      </w:r>
      <m:oMath>
        <m:sSub>
          <m:sSubPr/>
          <m:e>
            <m:r>
              <m:rPr/>
              <m:t>n</m:t>
            </m:r>
          </m:e>
          <m:sub>
            <m:r>
              <m:rPr/>
              <m:t>e</m:t>
            </m:r>
          </m:sub>
        </m:sSub>
      </m:oMath>
      <w:r>
        <w:rPr>
          <w:rFonts w:hint="eastAsia"/>
        </w:rPr>
        <w:t>均被观测数据约束在极窄范围内；皮尔逊相关系数</w:t>
      </w:r>
      <m:oMath>
        <m:sSub>
          <m:sSubPr/>
          <m:e>
            <m:r>
              <m:rPr/>
              <m:t>ρ</m:t>
            </m:r>
          </m:e>
          <m:sub>
            <m:sSub>
              <m:sSubPr/>
              <m:e>
                <m:r>
                  <m:rPr/>
                  <m:t>n</m:t>
                </m:r>
              </m:e>
              <m:sub>
                <m:r>
                  <m:rPr/>
                  <m:t>e</m:t>
                </m:r>
              </m:sub>
            </m:sSub>
            <m:r>
              <m:rPr>
                <m:sty m:val="p"/>
              </m:rPr>
              <m:t>,</m:t>
            </m:r>
            <m:sSub>
              <m:sSubPr/>
              <m:e>
                <m:r>
                  <m:rPr/>
                  <m:t>ν</m:t>
                </m:r>
              </m:e>
              <m:sub>
                <m:r>
                  <m:rPr/>
                  <m:t>e</m:t>
                </m:r>
              </m:sub>
            </m:sSub>
          </m:sub>
        </m:sSub>
        <m:r>
          <m:rPr>
            <m:sty m:val="p"/>
          </m:rPr>
          <m:t>=</m:t>
        </m:r>
        <m:r>
          <m:rPr/>
          <m:t>0.126</m:t>
        </m:r>
      </m:oMath>
      <w:r>
        <w:rPr>
          <w:rFonts w:hint="eastAsia"/>
        </w:rPr>
        <w:t>进一步量化了两参数之间的弱耦合特性。</w:t>
      </w:r>
    </w:p>
    <w:p w14:paraId="07C22AFE">
      <w:r>
        <w:rPr>
          <w:rFonts w:hint="eastAsia"/>
        </w:rPr>
        <w:t>其次，表4-7及对应的48组</w:t>
      </w:r>
      <m:oMath>
        <m:r>
          <m:rPr>
            <m:sty m:val="p"/>
          </m:rPr>
          <m:t>(</m:t>
        </m:r>
        <m:sSub>
          <m:sSubPr/>
          <m:e>
            <m:r>
              <m:rPr/>
              <m:t>f</m:t>
            </m:r>
          </m:e>
          <m:sub>
            <m:r>
              <m:rPr/>
              <m:t>p</m:t>
            </m:r>
          </m:sub>
        </m:sSub>
        <m:r>
          <m:rPr>
            <m:sty m:val="p"/>
          </m:rPr>
          <m:t>,</m:t>
        </m:r>
        <m:sSub>
          <m:sSubPr/>
          <m:e>
            <m:r>
              <m:rPr/>
              <m:t>ν</m:t>
            </m:r>
          </m:e>
          <m:sub>
            <m:r>
              <m:rPr/>
              <m:t>e</m:t>
            </m:r>
          </m:sub>
        </m:sSub>
        <m:r>
          <m:rPr>
            <m:sty m:val="p"/>
          </m:rPr>
          <m:t>)</m:t>
        </m:r>
      </m:oMath>
      <w:r>
        <w:rPr>
          <w:rFonts w:hint="eastAsia"/>
        </w:rPr>
        <w:t>参数扫描结果给出了更稳健的统计证据：在所测试的参数空间内，</w:t>
      </w:r>
      <m:oMath>
        <m:sSub>
          <m:sSubPr/>
          <m:e>
            <m:r>
              <m:rPr/>
              <m:t>n</m:t>
            </m:r>
          </m:e>
          <m:sub>
            <m:r>
              <m:rPr/>
              <m:t>e</m:t>
            </m:r>
          </m:sub>
        </m:sSub>
      </m:oMath>
      <w:r>
        <w:rPr>
          <w:rFonts w:hint="eastAsia"/>
        </w:rPr>
        <w:t>的后验CV始终维持在较低水平（典型值</w:t>
      </w:r>
      <m:oMath>
        <m:r>
          <m:rPr/>
          <m:t>1</m:t>
        </m:r>
        <m:r>
          <m:rPr>
            <m:sty m:val="p"/>
          </m:rPr>
          <m:t>%</m:t>
        </m:r>
      </m:oMath>
      <w:r>
        <w:rPr>
          <w:rFonts w:hint="eastAsia"/>
        </w:rPr>
        <w:t>至</w:t>
      </w:r>
      <m:oMath>
        <m:r>
          <m:rPr/>
          <m:t>6</m:t>
        </m:r>
        <m:r>
          <m:rPr>
            <m:sty m:val="p"/>
          </m:rPr>
          <m:t>%</m:t>
        </m:r>
      </m:oMath>
      <w:r>
        <w:rPr>
          <w:rFonts w:hint="eastAsia"/>
        </w:rPr>
        <w:t>），相对误差也保持在小量范围，表明</w:t>
      </w:r>
      <m:oMath>
        <m:sSub>
          <m:sSubPr/>
          <m:e>
            <m:r>
              <m:rPr/>
              <m:t>n</m:t>
            </m:r>
          </m:e>
          <m:sub>
            <m:r>
              <m:rPr/>
              <m:t>e</m:t>
            </m:r>
          </m:sub>
        </m:sSub>
      </m:oMath>
      <w:r>
        <w:rPr>
          <w:rFonts w:hint="eastAsia"/>
        </w:rPr>
        <w:t>的反演精度并不依赖于某一特定的</w:t>
      </w:r>
      <m:oMath>
        <m:sSub>
          <m:sSubPr/>
          <m:e>
            <m:r>
              <m:rPr/>
              <m:t>ν</m:t>
            </m:r>
          </m:e>
          <m:sub>
            <m:r>
              <m:rPr/>
              <m:t>e</m:t>
            </m:r>
          </m:sub>
        </m:sSub>
      </m:oMath>
      <w:r>
        <w:rPr>
          <w:rFonts w:hint="eastAsia"/>
        </w:rPr>
        <w:t>设定，而是在参数空间内具有较好的稳定性。</w:t>
      </w:r>
    </w:p>
    <w:p w14:paraId="13EC4024">
      <w:r>
        <w:rPr>
          <w:rFonts w:hint="eastAsia"/>
        </w:rPr>
        <w:t>上述统计证据与第4.2.3节基于泰勒级数的理论预判相吻合。式(4-15)表明碰撞频率对群时延的贡献仅为</w:t>
      </w:r>
      <m:oMath>
        <m:r>
          <m:rPr/>
          <m:t>O</m:t>
        </m:r>
        <m:r>
          <m:rPr>
            <m:sty m:val="p"/>
          </m:rPr>
          <m:t>((</m:t>
        </m:r>
        <m:sSub>
          <m:sSubPr/>
          <m:e>
            <m:r>
              <m:rPr/>
              <m:t>ν</m:t>
            </m:r>
          </m:e>
          <m:sub>
            <m:r>
              <m:rPr/>
              <m:t>e</m:t>
            </m:r>
          </m:sub>
        </m:sSub>
        <m:r>
          <m:rPr>
            <m:sty m:val="p"/>
          </m:rPr>
          <m:t>/</m:t>
        </m:r>
        <m:r>
          <m:rPr/>
          <m:t>ω</m:t>
        </m:r>
        <m:sSup>
          <m:sSupPr/>
          <m:e>
            <m:r>
              <m:rPr>
                <m:sty m:val="p"/>
              </m:rPr>
              <m:t>)</m:t>
            </m:r>
          </m:e>
          <m:sup>
            <m:r>
              <m:rPr/>
              <m:t>2</m:t>
            </m:r>
          </m:sup>
        </m:sSup>
        <m:r>
          <m:rPr>
            <m:sty m:val="p"/>
          </m:rPr>
          <m:t>)</m:t>
        </m:r>
      </m:oMath>
      <w:r>
        <w:rPr>
          <w:rFonts w:hint="eastAsia"/>
        </w:rPr>
        <w:t>的二阶微扰,这正对应于后验中</w:t>
      </w:r>
      <m:oMath>
        <m:sSub>
          <m:sSubPr/>
          <m:e>
            <m:r>
              <m:rPr/>
              <m:t>ν</m:t>
            </m:r>
          </m:e>
          <m:sub>
            <m:r>
              <m:rPr/>
              <m:t>e</m:t>
            </m:r>
          </m:sub>
        </m:sSub>
      </m:oMath>
      <w:r>
        <w:rPr>
          <w:rFonts w:hint="eastAsia"/>
        </w:rPr>
        <w:t>难以形成稳定聚集而</w:t>
      </w:r>
      <m:oMath>
        <m:sSub>
          <m:sSubPr/>
          <m:e>
            <m:r>
              <m:rPr/>
              <m:t>n</m:t>
            </m:r>
          </m:e>
          <m:sub>
            <m:r>
              <m:rPr/>
              <m:t>e</m:t>
            </m:r>
          </m:sub>
        </m:sSub>
      </m:oMath>
      <w:r>
        <w:rPr>
          <w:rFonts w:hint="eastAsia"/>
        </w:rPr>
        <w:t>仍能保持窄峰锁定的结果。</w:t>
      </w:r>
    </w:p>
    <w:p w14:paraId="68240D72">
      <w:r>
        <w:rPr>
          <w:rFonts w:hint="eastAsia"/>
        </w:rPr>
        <w:t>因此，在工程实践中，将</w:t>
      </w:r>
      <m:oMath>
        <m:sSub>
          <m:sSubPr/>
          <m:e>
            <m:r>
              <m:rPr/>
              <m:t>ν</m:t>
            </m:r>
          </m:e>
          <m:sub>
            <m:r>
              <m:rPr/>
              <m:t>e</m:t>
            </m:r>
          </m:sub>
        </m:sSub>
      </m:oMath>
      <w:r>
        <w:rPr>
          <w:rFonts w:hint="eastAsia"/>
        </w:rPr>
        <w:t>固定为经验常数（如</w:t>
      </w:r>
      <m:oMath>
        <m:r>
          <m:rPr/>
          <m:t>1</m:t>
        </m:r>
        <m:r>
          <m:rPr>
            <m:sty m:val="p"/>
          </m:rPr>
          <m:t>∼</m:t>
        </m:r>
        <m:r>
          <m:rPr/>
          <m:t>3</m:t>
        </m:r>
      </m:oMath>
      <w:r>
        <w:t xml:space="preserve"> </w:t>
      </w:r>
      <w:r>
        <w:rPr>
          <w:rFonts w:hint="eastAsia"/>
        </w:rPr>
        <w:t>GHz）并仅对</w:t>
      </w:r>
      <m:oMath>
        <m:sSub>
          <m:sSubPr/>
          <m:e>
            <m:r>
              <m:rPr/>
              <m:t>n</m:t>
            </m:r>
          </m:e>
          <m:sub>
            <m:r>
              <m:rPr/>
              <m:t>e</m:t>
            </m:r>
          </m:sub>
        </m:sSub>
      </m:oMath>
      <w:r>
        <w:rPr>
          <w:rFonts w:hint="eastAsia"/>
        </w:rPr>
        <w:t>进行单参数反演，是一种物理上合理、统计上稳健的降维策略。</w:t>
      </w:r>
    </w:p>
    <w:bookmarkEnd w:id="92"/>
    <w:p w14:paraId="1D4C0BAD">
      <w:pPr>
        <w:pStyle w:val="5"/>
      </w:pPr>
      <w:bookmarkStart w:id="93" w:name="不同snr下的反演鲁棒性"/>
      <w:r>
        <w:rPr>
          <w:rFonts w:hint="eastAsia"/>
        </w:rPr>
        <w:t>不同SNR下的反演鲁棒性</w:t>
      </w:r>
    </w:p>
    <w:p w14:paraId="05723F0B">
      <w:r>
        <w:rPr>
          <w:rFonts w:hint="eastAsia"/>
        </w:rPr>
        <w:t>为考察降维反演策略在不同噪声水平下的性能稳定性，在固定</w:t>
      </w:r>
      <m:oMath>
        <m:sSub>
          <m:sSubPr/>
          <m:e>
            <m:r>
              <m:rPr/>
              <m:t>f</m:t>
            </m:r>
          </m:e>
          <m:sub>
            <m:r>
              <m:rPr/>
              <m:t>p</m:t>
            </m:r>
          </m:sub>
        </m:sSub>
        <m:r>
          <m:rPr>
            <m:sty m:val="p"/>
          </m:rPr>
          <m:t>=</m:t>
        </m:r>
        <m:r>
          <m:rPr/>
          <m:t>33</m:t>
        </m:r>
      </m:oMath>
      <w:r>
        <w:t xml:space="preserve"> GHz、</w:t>
      </w:r>
      <m:oMath>
        <m:sSub>
          <m:sSubPr/>
          <m:e>
            <m:r>
              <m:rPr/>
              <m:t>ν</m:t>
            </m:r>
          </m:e>
          <m:sub>
            <m:r>
              <m:rPr/>
              <m:t>e</m:t>
            </m:r>
          </m:sub>
        </m:sSub>
        <m:r>
          <m:rPr>
            <m:sty m:val="p"/>
          </m:rPr>
          <m:t>=</m:t>
        </m:r>
        <m:r>
          <m:rPr/>
          <m:t>1.5</m:t>
        </m:r>
      </m:oMath>
      <w:r>
        <w:t xml:space="preserve"> </w:t>
      </w:r>
      <w:r>
        <w:rPr>
          <w:rFonts w:hint="eastAsia"/>
        </w:rPr>
        <w:t>GHz条件下，将射频端信噪比从10</w:t>
      </w:r>
      <w:r>
        <w:t xml:space="preserve"> </w:t>
      </w:r>
      <w:r>
        <w:rPr>
          <w:rFonts w:hint="eastAsia"/>
        </w:rPr>
        <w:t>dB扫描至30</w:t>
      </w:r>
      <w:r>
        <w:t xml:space="preserve"> </w:t>
      </w:r>
      <w:r>
        <w:rPr>
          <w:rFonts w:hint="eastAsia"/>
        </w:rPr>
        <w:t>dB，统计MCMC后验反演结果（表4-6）。该表对应另一组独立生成的SNR扫描实验，其中SNR</w:t>
      </w:r>
      <w:r>
        <w:t xml:space="preserve"> = 20 </w:t>
      </w:r>
      <w:r>
        <w:rPr>
          <w:rFonts w:hint="eastAsia"/>
        </w:rPr>
        <w:t>dB这一行与图4-11、图4-12所对应的基准后验链保持同一口径。</w:t>
      </w:r>
    </w:p>
    <w:p w14:paraId="68CFF148">
      <w:r>
        <w:rPr>
          <w:rFonts w:hint="eastAsia"/>
          <w:b/>
          <w:bCs/>
        </w:rPr>
        <w:t>表4-6</w:t>
      </w:r>
      <w:r>
        <w:rPr>
          <w:b/>
          <w:bCs/>
        </w:rPr>
        <w:t xml:space="preserve"> </w:t>
      </w:r>
      <w:r>
        <w:rPr>
          <w:rFonts w:hint="eastAsia"/>
          <w:b/>
          <w:bCs/>
        </w:rPr>
        <w:t>不同SNR下的MCMC后验统计（</w:t>
      </w:r>
      <m:oMath>
        <m:sSub>
          <m:sSubPr/>
          <m:e>
            <m:r>
              <m:rPr/>
              <m:t>f</m:t>
            </m:r>
          </m:e>
          <m:sub>
            <m:r>
              <m:rPr/>
              <m:t>p</m:t>
            </m:r>
          </m:sub>
        </m:sSub>
        <m:r>
          <m:rPr>
            <m:sty m:val="p"/>
          </m:rPr>
          <m:t>=</m:t>
        </m:r>
        <m:r>
          <m:rPr/>
          <m:t>33</m:t>
        </m:r>
      </m:oMath>
      <w:r>
        <w:rPr>
          <w:b/>
          <w:bCs/>
        </w:rPr>
        <w:t xml:space="preserve"> GHz, </w:t>
      </w:r>
      <m:oMath>
        <m:sSub>
          <m:sSubPr/>
          <m:e>
            <m:r>
              <m:rPr/>
              <m:t>ν</m:t>
            </m:r>
          </m:e>
          <m:sub>
            <m:r>
              <m:rPr/>
              <m:t>e</m:t>
            </m:r>
          </m:sub>
        </m:sSub>
        <m:r>
          <m:rPr>
            <m:sty m:val="p"/>
          </m:rPr>
          <m:t>=</m:t>
        </m:r>
        <m:r>
          <m:rPr/>
          <m:t>1.5</m:t>
        </m:r>
      </m:oMath>
      <w:r>
        <w:rPr>
          <w:b/>
          <w:bCs/>
        </w:rPr>
        <w:t xml:space="preserve"> </w:t>
      </w:r>
      <w:r>
        <w:rPr>
          <w:rFonts w:hint="eastAsia"/>
          <w:b/>
          <w:bCs/>
        </w:rPr>
        <w:t>GHz）</w:t>
      </w:r>
    </w:p>
    <w:tbl>
      <w:tblPr>
        <w:tblStyle w:val="30"/>
        <w:tblW w:w="5000" w:type="pct"/>
        <w:tblInd w:w="0" w:type="dxa"/>
        <w:tblLayout w:type="fixed"/>
        <w:tblCellMar>
          <w:top w:w="0" w:type="dxa"/>
          <w:left w:w="108" w:type="dxa"/>
          <w:bottom w:w="0" w:type="dxa"/>
          <w:right w:w="108" w:type="dxa"/>
        </w:tblCellMar>
      </w:tblPr>
      <w:tblGrid>
        <w:gridCol w:w="1801"/>
        <w:gridCol w:w="1801"/>
        <w:gridCol w:w="1801"/>
        <w:gridCol w:w="1801"/>
        <w:gridCol w:w="1801"/>
      </w:tblGrid>
      <w:tr w14:paraId="7C916B13">
        <w:tblPrEx>
          <w:tblCellMar>
            <w:top w:w="0" w:type="dxa"/>
            <w:left w:w="108" w:type="dxa"/>
            <w:bottom w:w="0" w:type="dxa"/>
            <w:right w:w="108" w:type="dxa"/>
          </w:tblCellMar>
        </w:tblPrEx>
        <w:trPr>
          <w:tblHeader/>
        </w:trPr>
        <w:tc>
          <w:p w14:paraId="66035D8A">
            <w:pPr>
              <w:jc w:val="right"/>
            </w:pPr>
            <w:r>
              <w:t>SNR (dB)</w:t>
            </w:r>
          </w:p>
        </w:tc>
        <w:tc>
          <w:p w14:paraId="6476C4A2">
            <w:pPr>
              <w:jc w:val="right"/>
            </w:pPr>
            <m:oMath>
              <m:sSub>
                <m:sSubPr/>
                <m:e>
                  <m:acc>
                    <m:accPr/>
                    <m:e>
                      <m:r>
                        <m:rPr/>
                        <m:t>n</m:t>
                      </m:r>
                    </m:e>
                  </m:acc>
                </m:e>
                <m:sub>
                  <m:r>
                    <m:rPr/>
                    <m:t>e</m:t>
                  </m:r>
                </m:sub>
              </m:sSub>
            </m:oMath>
            <w:r>
              <w:rPr>
                <w:rFonts w:hint="eastAsia"/>
              </w:rPr>
              <w:t>相对误差（%）</w:t>
            </w:r>
          </w:p>
        </w:tc>
        <w:tc>
          <w:p w14:paraId="61B59CDE">
            <w:pPr>
              <w:jc w:val="right"/>
            </w:pPr>
            <m:oMath>
              <m:sSub>
                <m:sSubPr/>
                <m:e>
                  <m:r>
                    <m:rPr>
                      <m:nor/>
                      <m:sty m:val="p"/>
                    </m:rPr>
                    <w:rPr>
                      <w:b w:val="0"/>
                      <w:i w:val="0"/>
                    </w:rPr>
                    <m:t>CV</m:t>
                  </m:r>
                </m:e>
                <m:sub>
                  <m:sSub>
                    <m:sSubPr/>
                    <m:e>
                      <m:r>
                        <m:rPr/>
                        <m:t>n</m:t>
                      </m:r>
                    </m:e>
                    <m:sub>
                      <m:r>
                        <m:rPr/>
                        <m:t>e</m:t>
                      </m:r>
                    </m:sub>
                  </m:sSub>
                </m:sub>
              </m:sSub>
            </m:oMath>
            <w:r>
              <w:rPr>
                <w:rFonts w:hint="eastAsia"/>
              </w:rPr>
              <w:t>（%）</w:t>
            </w:r>
          </w:p>
        </w:tc>
        <w:tc>
          <w:p w14:paraId="119C51B2">
            <w:pPr>
              <w:jc w:val="right"/>
            </w:pPr>
            <m:oMath>
              <m:sSub>
                <m:sSubPr/>
                <m:e>
                  <m:acc>
                    <m:accPr/>
                    <m:e>
                      <m:r>
                        <m:rPr/>
                        <m:t>ν</m:t>
                      </m:r>
                    </m:e>
                  </m:acc>
                </m:e>
                <m:sub>
                  <m:r>
                    <m:rPr/>
                    <m:t>e</m:t>
                  </m:r>
                </m:sub>
              </m:sSub>
            </m:oMath>
            <w:r>
              <w:rPr>
                <w:rFonts w:hint="eastAsia"/>
              </w:rPr>
              <w:t>（GHz）</w:t>
            </w:r>
          </w:p>
        </w:tc>
        <w:tc>
          <w:p w14:paraId="2E9332FE">
            <w:pPr>
              <w:jc w:val="right"/>
            </w:pPr>
            <m:oMath>
              <m:sSub>
                <m:sSubPr/>
                <m:e>
                  <m:r>
                    <m:rPr>
                      <m:nor/>
                      <m:sty m:val="p"/>
                    </m:rPr>
                    <w:rPr>
                      <w:b w:val="0"/>
                      <w:i w:val="0"/>
                    </w:rPr>
                    <m:t>CV</m:t>
                  </m:r>
                </m:e>
                <m:sub>
                  <m:sSub>
                    <m:sSubPr/>
                    <m:e>
                      <m:r>
                        <m:rPr/>
                        <m:t>ν</m:t>
                      </m:r>
                    </m:e>
                    <m:sub>
                      <m:r>
                        <m:rPr/>
                        <m:t>e</m:t>
                      </m:r>
                    </m:sub>
                  </m:sSub>
                </m:sub>
              </m:sSub>
            </m:oMath>
            <w:r>
              <w:rPr>
                <w:rFonts w:hint="eastAsia"/>
              </w:rPr>
              <w:t>（%）</w:t>
            </w:r>
          </w:p>
        </w:tc>
      </w:tr>
      <w:tr w14:paraId="0445F302">
        <w:tblPrEx>
          <w:tblCellMar>
            <w:top w:w="0" w:type="dxa"/>
            <w:left w:w="108" w:type="dxa"/>
            <w:bottom w:w="0" w:type="dxa"/>
            <w:right w:w="108" w:type="dxa"/>
          </w:tblCellMar>
        </w:tblPrEx>
        <w:tc>
          <w:p w14:paraId="6443198F">
            <w:pPr>
              <w:jc w:val="right"/>
            </w:pPr>
            <w:r>
              <w:t>10</w:t>
            </w:r>
          </w:p>
        </w:tc>
        <w:tc>
          <w:p w14:paraId="088F7C53">
            <w:pPr>
              <w:jc w:val="right"/>
            </w:pPr>
            <w:r>
              <w:t>0.17</w:t>
            </w:r>
          </w:p>
        </w:tc>
        <w:tc>
          <w:p w14:paraId="3326BC03">
            <w:pPr>
              <w:jc w:val="right"/>
            </w:pPr>
            <w:r>
              <w:t>1.05</w:t>
            </w:r>
          </w:p>
        </w:tc>
        <w:tc>
          <w:p w14:paraId="2892E754">
            <w:pPr>
              <w:jc w:val="right"/>
            </w:pPr>
            <w:r>
              <w:t>2.86</w:t>
            </w:r>
          </w:p>
        </w:tc>
        <w:tc>
          <w:p w14:paraId="795BE0C4">
            <w:pPr>
              <w:jc w:val="right"/>
            </w:pPr>
            <w:r>
              <w:t>36.82</w:t>
            </w:r>
          </w:p>
        </w:tc>
      </w:tr>
      <w:tr w14:paraId="7BAEB9CB">
        <w:tblPrEx>
          <w:tblCellMar>
            <w:top w:w="0" w:type="dxa"/>
            <w:left w:w="108" w:type="dxa"/>
            <w:bottom w:w="0" w:type="dxa"/>
            <w:right w:w="108" w:type="dxa"/>
          </w:tblCellMar>
        </w:tblPrEx>
        <w:tc>
          <w:p w14:paraId="4ECDF8D1">
            <w:pPr>
              <w:jc w:val="right"/>
            </w:pPr>
            <w:r>
              <w:t>15</w:t>
            </w:r>
          </w:p>
        </w:tc>
        <w:tc>
          <w:p w14:paraId="5BB29841">
            <w:pPr>
              <w:jc w:val="right"/>
            </w:pPr>
            <w:r>
              <w:t>0.41</w:t>
            </w:r>
          </w:p>
        </w:tc>
        <w:tc>
          <w:p w14:paraId="1B32F69F">
            <w:pPr>
              <w:jc w:val="right"/>
            </w:pPr>
            <w:r>
              <w:t>0.73</w:t>
            </w:r>
          </w:p>
        </w:tc>
        <w:tc>
          <w:p w14:paraId="006F1EA5">
            <w:pPr>
              <w:jc w:val="right"/>
            </w:pPr>
            <w:r>
              <w:t>3.75</w:t>
            </w:r>
          </w:p>
        </w:tc>
        <w:tc>
          <w:p w14:paraId="74DBE876">
            <w:pPr>
              <w:jc w:val="right"/>
            </w:pPr>
            <w:r>
              <w:t>26.07</w:t>
            </w:r>
          </w:p>
        </w:tc>
      </w:tr>
      <w:tr w14:paraId="57FC0EAB">
        <w:tblPrEx>
          <w:tblCellMar>
            <w:top w:w="0" w:type="dxa"/>
            <w:left w:w="108" w:type="dxa"/>
            <w:bottom w:w="0" w:type="dxa"/>
            <w:right w:w="108" w:type="dxa"/>
          </w:tblCellMar>
        </w:tblPrEx>
        <w:tc>
          <w:p w14:paraId="4D3955A1">
            <w:pPr>
              <w:jc w:val="right"/>
            </w:pPr>
            <w:r>
              <w:t>20</w:t>
            </w:r>
          </w:p>
        </w:tc>
        <w:tc>
          <w:p w14:paraId="3A1828DB">
            <w:pPr>
              <w:jc w:val="right"/>
            </w:pPr>
            <w:r>
              <w:t>0.37</w:t>
            </w:r>
          </w:p>
        </w:tc>
        <w:tc>
          <w:p w14:paraId="3E821E73">
            <w:pPr>
              <w:jc w:val="right"/>
            </w:pPr>
            <w:r>
              <w:t>0.62</w:t>
            </w:r>
          </w:p>
        </w:tc>
        <w:tc>
          <w:p w14:paraId="520D01FE">
            <w:pPr>
              <w:jc w:val="right"/>
            </w:pPr>
            <w:r>
              <w:t>3.47</w:t>
            </w:r>
          </w:p>
        </w:tc>
        <w:tc>
          <w:p w14:paraId="0307E26F">
            <w:pPr>
              <w:jc w:val="right"/>
            </w:pPr>
            <w:r>
              <w:t>23.59</w:t>
            </w:r>
          </w:p>
        </w:tc>
      </w:tr>
      <w:tr w14:paraId="725DBD43">
        <w:tblPrEx>
          <w:tblCellMar>
            <w:top w:w="0" w:type="dxa"/>
            <w:left w:w="108" w:type="dxa"/>
            <w:bottom w:w="0" w:type="dxa"/>
            <w:right w:w="108" w:type="dxa"/>
          </w:tblCellMar>
        </w:tblPrEx>
        <w:tc>
          <w:p w14:paraId="2FF64471">
            <w:pPr>
              <w:jc w:val="right"/>
            </w:pPr>
            <w:r>
              <w:t>25</w:t>
            </w:r>
          </w:p>
        </w:tc>
        <w:tc>
          <w:p w14:paraId="357E9250">
            <w:pPr>
              <w:jc w:val="right"/>
            </w:pPr>
            <w:r>
              <w:t>0.40</w:t>
            </w:r>
          </w:p>
        </w:tc>
        <w:tc>
          <w:p w14:paraId="74C66BB9">
            <w:pPr>
              <w:jc w:val="right"/>
            </w:pPr>
            <w:r>
              <w:t>0.58</w:t>
            </w:r>
          </w:p>
        </w:tc>
        <w:tc>
          <w:p w14:paraId="3D5A354C">
            <w:pPr>
              <w:jc w:val="right"/>
            </w:pPr>
            <w:r>
              <w:t>3.67</w:t>
            </w:r>
          </w:p>
        </w:tc>
        <w:tc>
          <w:p w14:paraId="36DF653A">
            <w:pPr>
              <w:jc w:val="right"/>
            </w:pPr>
            <w:r>
              <w:t>23.71</w:t>
            </w:r>
          </w:p>
        </w:tc>
      </w:tr>
      <w:tr w14:paraId="1B78E416">
        <w:tblPrEx>
          <w:tblCellMar>
            <w:top w:w="0" w:type="dxa"/>
            <w:left w:w="108" w:type="dxa"/>
            <w:bottom w:w="0" w:type="dxa"/>
            <w:right w:w="108" w:type="dxa"/>
          </w:tblCellMar>
        </w:tblPrEx>
        <w:tc>
          <w:p w14:paraId="3A246D4A">
            <w:pPr>
              <w:jc w:val="right"/>
            </w:pPr>
            <w:r>
              <w:t>30</w:t>
            </w:r>
          </w:p>
        </w:tc>
        <w:tc>
          <w:p w14:paraId="3B74E697">
            <w:pPr>
              <w:jc w:val="right"/>
            </w:pPr>
            <w:r>
              <w:t>0.39</w:t>
            </w:r>
          </w:p>
        </w:tc>
        <w:tc>
          <w:p w14:paraId="1643F110">
            <w:pPr>
              <w:jc w:val="right"/>
            </w:pPr>
            <w:r>
              <w:t>0.53</w:t>
            </w:r>
          </w:p>
        </w:tc>
        <w:tc>
          <w:p w14:paraId="5AD180C7">
            <w:pPr>
              <w:jc w:val="right"/>
            </w:pPr>
            <w:r>
              <w:t>3.62</w:t>
            </w:r>
          </w:p>
        </w:tc>
        <w:tc>
          <w:p w14:paraId="2CA1EBF4">
            <w:pPr>
              <w:jc w:val="right"/>
            </w:pPr>
            <w:r>
              <w:t>18.82</w:t>
            </w:r>
          </w:p>
        </w:tc>
      </w:tr>
    </w:tbl>
    <w:p w14:paraId="722396A7">
      <w:r>
        <w:rPr>
          <w:rFonts w:hint="eastAsia"/>
        </w:rPr>
        <w:t>表4-6揭示了两个值得关注的规律。其一，</w:t>
      </w:r>
      <m:oMath>
        <m:sSub>
          <m:sSubPr/>
          <m:e>
            <m:r>
              <m:rPr/>
              <m:t>n</m:t>
            </m:r>
          </m:e>
          <m:sub>
            <m:r>
              <m:rPr/>
              <m:t>e</m:t>
            </m:r>
          </m:sub>
        </m:sSub>
      </m:oMath>
      <w:r>
        <w:rPr>
          <w:rFonts w:hint="eastAsia"/>
        </w:rPr>
        <w:t>的反演精度在SNR由30</w:t>
      </w:r>
      <w:r>
        <w:t xml:space="preserve"> </w:t>
      </w:r>
      <w:r>
        <w:rPr>
          <w:rFonts w:hint="eastAsia"/>
        </w:rPr>
        <w:t>dB降低至10</w:t>
      </w:r>
      <w:r>
        <w:t xml:space="preserve"> </w:t>
      </w:r>
      <w:r>
        <w:rPr>
          <w:rFonts w:hint="eastAsia"/>
        </w:rPr>
        <w:t>dB的全过程中保持较高稳定性：相对误差始终不超过0.41%，后验CV从0.53%（30</w:t>
      </w:r>
      <w:r>
        <w:t xml:space="preserve"> </w:t>
      </w:r>
      <w:r>
        <w:rPr>
          <w:rFonts w:hint="eastAsia"/>
        </w:rPr>
        <w:t>dB）仅缓慢上升至1.05%（10</w:t>
      </w:r>
      <w:r>
        <w:t xml:space="preserve"> </w:t>
      </w:r>
      <w:r>
        <w:rPr>
          <w:rFonts w:hint="eastAsia"/>
        </w:rPr>
        <w:t>dB），表明降维反演策略在恶劣噪声条件下仍能提供可靠的电子密度估计。其二，</w:t>
      </w:r>
      <m:oMath>
        <m:sSub>
          <m:sSubPr/>
          <m:e>
            <m:r>
              <m:rPr/>
              <m:t>ν</m:t>
            </m:r>
          </m:e>
          <m:sub>
            <m:r>
              <m:rPr/>
              <m:t>e</m:t>
            </m:r>
          </m:sub>
        </m:sSub>
      </m:oMath>
      <w:r>
        <w:rPr>
          <w:rFonts w:hint="eastAsia"/>
        </w:rPr>
        <w:t>的后验CV随SNR降低而显著增大（从18.82%升至36.82%），且后验均值</w:t>
      </w:r>
      <m:oMath>
        <m:sSub>
          <m:sSubPr/>
          <m:e>
            <m:acc>
              <m:accPr/>
              <m:e>
                <m:r>
                  <m:rPr/>
                  <m:t>ν</m:t>
                </m:r>
              </m:e>
            </m:acc>
          </m:e>
          <m:sub>
            <m:r>
              <m:rPr/>
              <m:t>e</m:t>
            </m:r>
          </m:sub>
        </m:sSub>
      </m:oMath>
      <w:r>
        <w:rPr>
          <w:rFonts w:hint="eastAsia"/>
        </w:rPr>
        <w:t>在所有SNR条件下均偏离真值1.5</w:t>
      </w:r>
      <w:r>
        <w:t xml:space="preserve"> </w:t>
      </w:r>
      <w:r>
        <w:rPr>
          <w:rFonts w:hint="eastAsia"/>
        </w:rPr>
        <w:t>GHz，这再次印证了仅凭群时延观测量对</w:t>
      </w:r>
      <m:oMath>
        <m:sSub>
          <m:sSubPr/>
          <m:e>
            <m:r>
              <m:rPr/>
              <m:t>ν</m:t>
            </m:r>
          </m:e>
          <m:sub>
            <m:r>
              <m:rPr/>
              <m:t>e</m:t>
            </m:r>
          </m:sub>
        </m:sSub>
      </m:oMath>
      <w:r>
        <w:rPr>
          <w:rFonts w:hint="eastAsia"/>
        </w:rPr>
        <w:t>的约束本质上是薄弱的——</w:t>
      </w:r>
      <w:r>
        <w:rPr>
          <w:rFonts w:hint="eastAsia"/>
          <w:b/>
          <w:bCs/>
        </w:rPr>
        <w:t>该参数的不可辨识性并非噪声所致，而是由物理机制（二阶微扰）决定的内禀特性</w:t>
      </w:r>
      <w:r>
        <w:t>。</w:t>
      </w:r>
    </w:p>
    <w:p w14:paraId="29454779">
      <w:r>
        <w:pict>
          <v:rect id="_x0000_i1047" o:spt="1" style="height:1.5pt;width:0pt;" coordsize="21600,21600" o:hr="t" o:hrstd="t" o:hralign="center">
            <v:path/>
            <v:fill focussize="0,0"/>
            <v:stroke/>
            <v:imagedata o:title=""/>
            <o:lock v:ext="edit"/>
            <w10:wrap type="none"/>
            <w10:anchorlock/>
          </v:rect>
        </w:pict>
      </w:r>
    </w:p>
    <w:bookmarkEnd w:id="91"/>
    <w:bookmarkEnd w:id="93"/>
    <w:p w14:paraId="11BE1EA5">
      <w:pPr>
        <w:pStyle w:val="4"/>
      </w:pPr>
      <w:bookmarkStart w:id="94" w:name="本节小结-3"/>
      <w:r>
        <w:rPr>
          <w:rFonts w:hint="eastAsia"/>
        </w:rPr>
        <w:t>本节小结</w:t>
      </w:r>
    </w:p>
    <w:p w14:paraId="2370436D">
      <w:r>
        <w:rPr>
          <w:rFonts w:hint="eastAsia"/>
        </w:rPr>
        <w:t>本节在Drude等离子体仿真场景下完成了对第四章方法链的验证。结果表明,滑动窗口—MDL—ESPRIT链路能够稳定重构强色散条件下的频率-时延轨迹,并为后续MCMC反演提供可靠输入;在此基础上,电子密度</w:t>
      </w:r>
      <m:oMath>
        <m:sSub>
          <m:sSubPr/>
          <m:e>
            <m:r>
              <m:rPr/>
              <m:t>n</m:t>
            </m:r>
          </m:e>
          <m:sub>
            <m:r>
              <m:rPr/>
              <m:t>e</m:t>
            </m:r>
          </m:sub>
        </m:sSub>
      </m:oMath>
      <w:r>
        <w:rPr>
          <w:rFonts w:hint="eastAsia"/>
        </w:rPr>
        <w:t>的后验保持尖峰锁定,碰撞频率</w:t>
      </w:r>
      <m:oMath>
        <m:sSub>
          <m:sSubPr/>
          <m:e>
            <m:r>
              <m:rPr/>
              <m:t>ν</m:t>
            </m:r>
          </m:e>
          <m:sub>
            <m:r>
              <m:rPr/>
              <m:t>e</m:t>
            </m:r>
          </m:sub>
        </m:sSub>
      </m:oMath>
      <w:r>
        <w:rPr>
          <w:rFonts w:hint="eastAsia"/>
        </w:rPr>
        <w:t>则持续表现为宽展且偏移的弱约束参数。与传统FFT基线及不同SNR条件下的对比结果一致说明,该诊断链路在Drude场景下能够稳定反演</w:t>
      </w:r>
      <m:oMath>
        <m:sSub>
          <m:sSubPr/>
          <m:e>
            <m:r>
              <m:rPr/>
              <m:t>n</m:t>
            </m:r>
          </m:e>
          <m:sub>
            <m:r>
              <m:rPr/>
              <m:t>e</m:t>
            </m:r>
          </m:sub>
        </m:sSub>
      </m:oMath>
      <w:r>
        <w:rPr>
          <w:rFonts w:hint="eastAsia"/>
        </w:rPr>
        <w:t>,并继续支撑固定</w:t>
      </w:r>
      <m:oMath>
        <m:sSub>
          <m:sSubPr/>
          <m:e>
            <m:r>
              <m:rPr/>
              <m:t>ν</m:t>
            </m:r>
          </m:e>
          <m:sub>
            <m:r>
              <m:rPr/>
              <m:t>e</m:t>
            </m:r>
          </m:sub>
        </m:sSub>
      </m:oMath>
      <w:r>
        <w:rPr>
          <w:rFonts w:hint="eastAsia"/>
        </w:rPr>
        <w:t>的降维策略。</w:t>
      </w:r>
    </w:p>
    <w:bookmarkEnd w:id="71"/>
    <w:bookmarkEnd w:id="94"/>
    <w:p w14:paraId="700386CD">
      <w:pPr>
        <w:pStyle w:val="3"/>
      </w:pPr>
      <w:r>
        <w:rPr>
          <w:rFonts w:hint="eastAsia"/>
        </w:rPr>
        <w:t>本章小结</w:t>
      </w:r>
    </w:p>
    <w:p w14:paraId="3FE1FA8D">
      <w:r>
        <w:rPr>
          <w:rFonts w:hint="eastAsia"/>
        </w:rPr>
        <w:t>本章围绕LFMCW强色散诊断场景，系统建立并验证了”物理约束—特征提取—贝叶斯反演—Drude验证”的完整技术路线。首先，从Drude模型与群时延观测机理出发，说明碰撞频率</w:t>
      </w:r>
      <m:oMath>
        <m:sSub>
          <m:sSubPr/>
          <m:e>
            <m:r>
              <m:rPr/>
              <m:t>ν</m:t>
            </m:r>
          </m:e>
          <m:sub>
            <m:r>
              <m:rPr/>
              <m:t>e</m:t>
            </m:r>
          </m:sub>
        </m:sSub>
      </m:oMath>
      <w:r>
        <w:rPr>
          <w:rFonts w:hint="eastAsia"/>
        </w:rPr>
        <w:t>在当前频段内仅表现为二阶微扰，从而给出”固定</w:t>
      </w:r>
      <m:oMath>
        <m:sSub>
          <m:sSubPr/>
          <m:e>
            <m:r>
              <m:rPr/>
              <m:t>ν</m:t>
            </m:r>
          </m:e>
          <m:sub>
            <m:r>
              <m:rPr/>
              <m:t>e</m:t>
            </m:r>
          </m:sub>
        </m:sSub>
      </m:oMath>
      <w:r>
        <w:rPr>
          <w:rFonts w:hint="eastAsia"/>
        </w:rPr>
        <w:t>、仅反演</w:t>
      </w:r>
      <m:oMath>
        <m:sSub>
          <m:sSubPr/>
          <m:e>
            <m:r>
              <m:rPr/>
              <m:t>n</m:t>
            </m:r>
          </m:e>
          <m:sub>
            <m:r>
              <m:rPr/>
              <m:t>e</m:t>
            </m:r>
          </m:sub>
        </m:sSub>
      </m:oMath>
      <w:r>
        <w:rPr>
          <w:rFonts w:hint="eastAsia"/>
        </w:rPr>
        <w:t>”的降维前提；随后，构建滑动窗口—MDL—TLS-ESPRIT特征提取链，将强色散差频信号中的非平稳结构稳定转化为频率—时延轨迹；在此基础上，建立加权似然与Metropolis-Hastings采样相结合的统计反演框架，并利用CV与角点图对参数可观测性进行定量判断；最后，在Drude等离子体仿真场景下验证了整条链路的有效性。</w:t>
      </w:r>
    </w:p>
    <w:p w14:paraId="2B6C6409">
      <w:r>
        <w:rPr>
          <w:rFonts w:hint="eastAsia"/>
        </w:rPr>
        <w:t>结果表明，所提方法能够在强色散条件下稳定提取轨迹并完成电子密度反演，而碰撞频率后验始终难以形成可信锁定。由此，本章的核心结论得以统一收束：在群时延主导的LFMCW诊断链路中，将</w:t>
      </w:r>
      <m:oMath>
        <m:sSub>
          <m:sSubPr/>
          <m:e>
            <m:r>
              <m:rPr/>
              <m:t>ν</m:t>
            </m:r>
          </m:e>
          <m:sub>
            <m:r>
              <m:rPr/>
              <m:t>e</m:t>
            </m:r>
          </m:sub>
        </m:sSub>
      </m:oMath>
      <w:r>
        <w:rPr>
          <w:rFonts w:hint="eastAsia"/>
        </w:rPr>
        <w:t>固定为经验常数、并将</w:t>
      </w:r>
      <m:oMath>
        <m:sSub>
          <m:sSubPr/>
          <m:e>
            <m:r>
              <m:rPr/>
              <m:t>n</m:t>
            </m:r>
          </m:e>
          <m:sub>
            <m:r>
              <m:rPr/>
              <m:t>e</m:t>
            </m:r>
          </m:sub>
        </m:sSub>
      </m:oMath>
      <w:r>
        <w:rPr>
          <w:rFonts w:hint="eastAsia"/>
        </w:rPr>
        <w:t>作为唯一主反演参数进入工程计算，是一项同时具有物理依据与统计支撑的降维策略。</w:t>
      </w:r>
    </w:p>
    <w:bookmarkEnd w:id="55"/>
    <w:p w14:paraId="70FD8740">
      <w:pPr>
        <w:pStyle w:val="2"/>
      </w:pPr>
      <w:bookmarkStart w:id="95" w:name="色散等效验证与系统实验"/>
      <w:r>
        <w:rPr>
          <w:rFonts w:hint="eastAsia"/>
        </w:rPr>
        <w:t>宽带LFMCW诊断系统设计与色散等效</w:t>
      </w:r>
      <w:r>
        <w:rPr>
          <w:rFonts w:hint="eastAsia"/>
          <w:lang w:val="en-US" w:eastAsia="zh-CN"/>
        </w:rPr>
        <w:t>仿真</w:t>
      </w:r>
      <w:r>
        <w:rPr>
          <w:rFonts w:hint="eastAsia"/>
        </w:rPr>
        <w:t>验证</w:t>
      </w:r>
    </w:p>
    <w:p w14:paraId="2E36E0BA">
      <w:pPr>
        <w:pStyle w:val="3"/>
      </w:pPr>
      <w:r>
        <w:rPr>
          <w:rFonts w:hint="eastAsia"/>
        </w:rPr>
        <w:t>引言</w:t>
      </w:r>
    </w:p>
    <w:p w14:paraId="4C913E10">
      <w:r>
        <w:rPr>
          <w:rFonts w:hint="eastAsia"/>
        </w:rPr>
        <w:t>第五章的目标是在受控条件下，对前文建立的色散特征提取与参数反演链路进行工程化验证。由于真实等离子体在实验室环境中难以长期稳定复现，其瞬态波动容易干扰对算法本身性能的判断，因此本章引入结构参数已知、微波响应可稳定获取的带通滤波器，作为等效色散验证载体。</w:t>
      </w:r>
    </w:p>
    <w:p w14:paraId="5ABE10DE">
      <w:r>
        <w:rPr>
          <w:rFonts w:hint="eastAsia"/>
        </w:rPr>
        <w:t>第五章引入微波带通滤波器的目的，并不是将其作为被诊断对象去识别其器件参数本身，而是将其作为一种“色散函数数学形式已知、响应真值可控”的受控验证载体。借助这一载体，本文关注的问题是：所提出的方法能否从LFMCW差频信号中稳定提取出表征色散介质传播特性的时延特征点；并进一步说明，只要色散正向模型的数学形式已知，这些特征点就可以作为后续参数反演计算的有效输入。因此，本章的重点是验证“特征提取—模型计算”这条方法链路的有效性，而非以滤波器参数识别本身作为研究目标。</w:t>
      </w:r>
    </w:p>
    <w:p w14:paraId="730BE893">
      <w:r>
        <w:rPr>
          <w:rFonts w:hint="eastAsia"/>
        </w:rPr>
        <w:t>本章的验证工作沿两条主线展开。第一条主线面向系统硬件分辨能力，构建宽带LFMCW收发前端并完成空间位移条件下的时延分辨率标定，用于评估系统对皮秒级时延变化的跟踪能力（5.2节）；第二条主线面向算法链路验证，引入等效色散载体（5.3节），在全链路仿真环境中完成差频时延特征提取与已知模型条件下的参数一致性检查（5.4节）。两条主线分别对应硬件极限与算法效能的验证，共同为本文方法在受控条件下的工程可行性提供依据。</w:t>
      </w:r>
    </w:p>
    <w:p w14:paraId="4F7C525F">
      <w:pPr>
        <w:pStyle w:val="3"/>
      </w:pPr>
      <w:bookmarkStart w:id="96" w:name="宽带lfmcw诊断系统设计与时延分辨率测试"/>
      <w:r>
        <w:rPr>
          <w:rFonts w:hint="eastAsia"/>
        </w:rPr>
        <w:t>宽带LFMCW诊断系统设计与时延分辨率测试</w:t>
      </w:r>
    </w:p>
    <w:p w14:paraId="6BFE9DB4">
      <w:r>
        <w:rPr>
          <w:rFonts w:hint="eastAsia"/>
        </w:rPr>
        <w:t>第三章和第四章的推导表明，低电子密度状态的诊断下限受制于系统对微小时延波动的分辨能力，而该物理极限直接依赖射频带宽。本节据此完成硬件链路拓扑设计、非色散环境去嵌入，并开展移动靶标时延分辨率标定。系统核心参数配置为：工作频段覆盖Ka波段，主扫频带宽扩展至3</w:t>
      </w:r>
      <w:r>
        <w:t xml:space="preserve"> </w:t>
      </w:r>
      <w:r>
        <w:rPr>
          <w:rFonts w:hint="eastAsia"/>
        </w:rPr>
        <w:t>GHz，测量误差控制在15%以内。</w:t>
      </w:r>
    </w:p>
    <w:p w14:paraId="5DF8AACB">
      <w:pPr>
        <w:pStyle w:val="4"/>
      </w:pPr>
      <w:bookmarkStart w:id="97" w:name="宽带lfmcw收发前端架构与扩频链路设计"/>
      <w:r>
        <w:rPr>
          <w:rFonts w:hint="eastAsia"/>
        </w:rPr>
        <w:t>宽带LFMCW收发前端架构与扩频链路设计</w:t>
      </w:r>
    </w:p>
    <w:p w14:paraId="469A79C3">
      <w:r>
        <w:rPr>
          <w:rFonts w:hint="eastAsia"/>
        </w:rPr>
        <w:t>诊断系统采用超外差架构完成基带扫频信号到Ka波段宽带信号的频率搬移。直接在毫米波频段产生宽带线性调频信号具备较高的硬件代价，故本系统将线性度控制集中在低频段，再通过混频与倍频链路逐级搬移到目标频段。</w:t>
      </w:r>
    </w:p>
    <w:p w14:paraId="65FCC28B">
      <w:r>
        <w:rPr>
          <w:rFonts w:hint="eastAsia"/>
        </w:rPr>
        <w:t>前端射频链路采用分级外差与倍频相结合的结构完成宽带Ka波段信号生成。基带扫频信号先与低频本振混频产生中频，再经级联二倍频链路提升至13.2~14</w:t>
      </w:r>
      <w:r>
        <w:t xml:space="preserve"> </w:t>
      </w:r>
      <w:r>
        <w:rPr>
          <w:rFonts w:hint="eastAsia"/>
        </w:rPr>
        <w:t>GHz波段，最后与21</w:t>
      </w:r>
      <w:r>
        <w:t xml:space="preserve"> </w:t>
      </w:r>
      <w:r>
        <w:rPr>
          <w:rFonts w:hint="eastAsia"/>
        </w:rPr>
        <w:t>GHz本振再次混频，得到覆盖Ka频段的发射信号。接收端通过功分保留参考支路，并与探测回波在解调器中混频，输出表征传播时延差异的差频信号。</w:t>
      </w:r>
    </w:p>
    <w:p w14:paraId="453B7B8C">
      <w:r>
        <w:rPr>
          <w:rFonts w:hint="eastAsia"/>
        </w:rPr>
        <w:t>该分级外差结构将频谱扩展分散到多级混频与倍频网络中，可降低单级高倍频带来的谐波和杂散压力，同时保留一定的频率配置灵活性。</w:t>
      </w:r>
    </w:p>
    <w:p w14:paraId="4E6E2427">
      <w:r>
        <w:rPr>
          <w:rFonts w:hint="eastAsia"/>
        </w:rPr>
        <w:t>LFMCW系统的固有时延分辨率满足</w:t>
      </w:r>
      <m:oMath>
        <m:r>
          <m:rPr>
            <m:sty m:val="p"/>
          </m:rPr>
          <m:t>Δ</m:t>
        </m:r>
        <m:r>
          <m:rPr/>
          <m:t>τ</m:t>
        </m:r>
        <m:r>
          <m:rPr>
            <m:sty m:val="p"/>
          </m:rPr>
          <m:t>=</m:t>
        </m:r>
        <m:r>
          <m:rPr/>
          <m:t>1</m:t>
        </m:r>
        <m:r>
          <m:rPr>
            <m:sty m:val="p"/>
          </m:rPr>
          <m:t>/</m:t>
        </m:r>
        <m:r>
          <m:rPr/>
          <m:t>B</m:t>
        </m:r>
      </m:oMath>
      <w:r>
        <w:rPr>
          <w:rFonts w:hint="eastAsia"/>
        </w:rPr>
        <w:t>。初始800</w:t>
      </w:r>
      <w:r>
        <w:t xml:space="preserve"> </w:t>
      </w:r>
      <w:r>
        <w:rPr>
          <w:rFonts w:hint="eastAsia"/>
        </w:rPr>
        <w:t>MHz配置对应1.25</w:t>
      </w:r>
      <w:r>
        <w:t xml:space="preserve"> </w:t>
      </w:r>
      <w:r>
        <w:rPr>
          <w:rFonts w:hint="eastAsia"/>
        </w:rPr>
        <w:t>ns的时延分辨尺度；若按前述诊断口径（载频</w:t>
      </w:r>
      <m:oMath>
        <m:sSub>
          <m:sSubPr/>
          <m:e>
            <m:r>
              <m:rPr/>
              <m:t>f</m:t>
            </m:r>
          </m:e>
          <m:sub>
            <m:r>
              <m:rPr/>
              <m:t>0</m:t>
            </m:r>
          </m:sub>
        </m:sSub>
        <m:r>
          <m:rPr>
            <m:sty m:val="p"/>
          </m:rPr>
          <m:t>=</m:t>
        </m:r>
        <m:r>
          <m:rPr/>
          <m:t>32</m:t>
        </m:r>
      </m:oMath>
      <w:r>
        <w:t xml:space="preserve"> GHz、</w:t>
      </w:r>
      <m:oMath>
        <m:r>
          <m:rPr/>
          <m:t>d</m:t>
        </m:r>
        <m:r>
          <m:rPr>
            <m:sty m:val="p"/>
          </m:rPr>
          <m:t>=</m:t>
        </m:r>
        <m:r>
          <m:rPr/>
          <m:t>200</m:t>
        </m:r>
      </m:oMath>
      <w:r>
        <w:t xml:space="preserve"> </w:t>
      </w:r>
      <w:r>
        <w:rPr>
          <w:rFonts w:hint="eastAsia"/>
        </w:rPr>
        <w:t>mm）进行量级换算，其对应的电子密度检出下限约为</w:t>
      </w:r>
      <m:oMath>
        <m:r>
          <m:rPr/>
          <m:t>1</m:t>
        </m:r>
        <m:r>
          <m:rPr>
            <m:sty m:val="p"/>
          </m:rPr>
          <m:t>×</m:t>
        </m:r>
        <m:sSup>
          <m:sSupPr/>
          <m:e>
            <m:r>
              <m:rPr/>
              <m:t>10</m:t>
            </m:r>
          </m:e>
          <m:sup>
            <m:r>
              <m:rPr/>
              <m:t>18</m:t>
            </m:r>
          </m:sup>
        </m:sSup>
      </m:oMath>
      <w:r>
        <w:t xml:space="preserve"> m</w:t>
      </w:r>
      <m:oMath>
        <m:sSup>
          <m:sSupPr/>
          <m:e>
            <m:r>
              <m:rPr/>
              <m:t>​</m:t>
            </m:r>
          </m:e>
          <m:sup>
            <m:r>
              <m:rPr>
                <m:sty m:val="p"/>
              </m:rPr>
              <m:t>−</m:t>
            </m:r>
            <m:r>
              <m:rPr/>
              <m:t>3</m:t>
            </m:r>
          </m:sup>
        </m:sSup>
      </m:oMath>
      <w:r>
        <w:rPr>
          <w:rFonts w:hint="eastAsia"/>
        </w:rPr>
        <w:t>。为提升对微小时延变化的跟踪能力，系统需要进一步扩展射频带宽。最终方案在Ka波段内实现3</w:t>
      </w:r>
      <w:r>
        <w:t xml:space="preserve"> </w:t>
      </w:r>
      <w:r>
        <w:rPr>
          <w:rFonts w:hint="eastAsia"/>
        </w:rPr>
        <w:t>GHz扫频带宽；其中硬件标定中心频率为34.6</w:t>
      </w:r>
      <w:r>
        <w:t xml:space="preserve"> </w:t>
      </w:r>
      <w:r>
        <w:rPr>
          <w:rFonts w:hint="eastAsia"/>
        </w:rPr>
        <w:t>GHz，强色散等效仿真工作频段选为37</w:t>
      </w:r>
      <w:r>
        <w:t xml:space="preserve"> </w:t>
      </w:r>
      <w:r>
        <w:rPr>
          <w:rFonts w:hint="eastAsia"/>
        </w:rPr>
        <w:t>GHz，二者均处于单扫全带覆盖范围内。</w:t>
      </w:r>
    </w:p>
    <w:p w14:paraId="29172F58">
      <w:r>
        <w:rPr>
          <w:rFonts w:hint="eastAsia"/>
        </w:rPr>
        <w:t>硬件扩频的关键限制主要来自第二级上变频器的中频带宽及配套滤波器的带外响应。原有14</w:t>
      </w:r>
      <w:r>
        <w:t xml:space="preserve"> </w:t>
      </w:r>
      <w:r>
        <w:rPr>
          <w:rFonts w:hint="eastAsia"/>
        </w:rPr>
        <w:t>GHz级别的器件配置会对扩频后的高频分量产生明显抑制，因此系统同步更换了第二级混频器、倍频链路中的带通滤波器以及无源倍频器等关键节点，其替换关系见表5-1。</w:t>
      </w:r>
    </w:p>
    <w:p w14:paraId="367011C5">
      <w:r>
        <w:rPr>
          <w:rFonts w:hint="eastAsia"/>
        </w:rPr>
        <w:t>上述升级使中频端口带宽、级联滤波通带以及倍频链路的工作范围能够与扩频目标相匹配，从而为3</w:t>
      </w:r>
      <w:r>
        <w:t xml:space="preserve"> </w:t>
      </w:r>
      <w:r>
        <w:rPr>
          <w:rFonts w:hint="eastAsia"/>
        </w:rPr>
        <w:t>GHz扫频配置提供了必要的硬件条件。</w:t>
      </w:r>
    </w:p>
    <w:p w14:paraId="11A211E8">
      <w:r>
        <w:rPr>
          <w:rFonts w:hint="eastAsia"/>
        </w:rPr>
        <w:t>表5-1</w:t>
      </w:r>
      <w:r>
        <w:t xml:space="preserve"> </w:t>
      </w:r>
      <w:r>
        <w:rPr>
          <w:rFonts w:hint="eastAsia"/>
        </w:rPr>
        <w:t>扩频链路关键器件替换清单</w:t>
      </w:r>
    </w:p>
    <w:tbl>
      <w:tblPr>
        <w:tblStyle w:val="30"/>
        <w:tblW w:w="5000" w:type="pct"/>
        <w:tblInd w:w="0" w:type="dxa"/>
        <w:tblLayout w:type="fixed"/>
        <w:tblCellMar>
          <w:top w:w="0" w:type="dxa"/>
          <w:left w:w="108" w:type="dxa"/>
          <w:bottom w:w="0" w:type="dxa"/>
          <w:right w:w="108" w:type="dxa"/>
        </w:tblCellMar>
      </w:tblPr>
      <w:tblGrid>
        <w:gridCol w:w="1801"/>
        <w:gridCol w:w="1801"/>
        <w:gridCol w:w="1801"/>
        <w:gridCol w:w="1801"/>
        <w:gridCol w:w="1801"/>
      </w:tblGrid>
      <w:tr w14:paraId="6ABCB4B2">
        <w:tblPrEx>
          <w:tblCellMar>
            <w:top w:w="0" w:type="dxa"/>
            <w:left w:w="108" w:type="dxa"/>
            <w:bottom w:w="0" w:type="dxa"/>
            <w:right w:w="108" w:type="dxa"/>
          </w:tblCellMar>
        </w:tblPrEx>
        <w:trPr>
          <w:tblHeader/>
        </w:trPr>
        <w:tc>
          <w:p w14:paraId="646EDD74">
            <w:pPr>
              <w:jc w:val="center"/>
            </w:pPr>
            <w:r>
              <w:rPr>
                <w:rFonts w:hint="eastAsia"/>
              </w:rPr>
              <w:t>器件类别</w:t>
            </w:r>
          </w:p>
        </w:tc>
        <w:tc>
          <w:p w14:paraId="6E48FDB8">
            <w:pPr>
              <w:jc w:val="center"/>
            </w:pPr>
            <w:r>
              <w:rPr>
                <w:rFonts w:hint="eastAsia"/>
              </w:rPr>
              <w:t>链路位置</w:t>
            </w:r>
          </w:p>
        </w:tc>
        <w:tc>
          <w:p w14:paraId="71032F65">
            <w:pPr>
              <w:jc w:val="center"/>
            </w:pPr>
            <w:r>
              <w:rPr>
                <w:rFonts w:hint="eastAsia"/>
              </w:rPr>
              <w:t>替换型号</w:t>
            </w:r>
          </w:p>
        </w:tc>
        <w:tc>
          <w:p w14:paraId="05C15D6A">
            <w:pPr>
              <w:jc w:val="center"/>
            </w:pPr>
            <w:r>
              <w:rPr>
                <w:rFonts w:hint="eastAsia"/>
              </w:rPr>
              <w:t>核心射频参数</w:t>
            </w:r>
          </w:p>
        </w:tc>
        <w:tc>
          <w:p w14:paraId="7B8AAA4C">
            <w:pPr>
              <w:jc w:val="center"/>
            </w:pPr>
            <w:r>
              <w:rPr>
                <w:rFonts w:hint="eastAsia"/>
              </w:rPr>
              <w:t>升级要点</w:t>
            </w:r>
          </w:p>
        </w:tc>
      </w:tr>
      <w:tr w14:paraId="60918095">
        <w:tblPrEx>
          <w:tblCellMar>
            <w:top w:w="0" w:type="dxa"/>
            <w:left w:w="108" w:type="dxa"/>
            <w:bottom w:w="0" w:type="dxa"/>
            <w:right w:w="108" w:type="dxa"/>
          </w:tblCellMar>
        </w:tblPrEx>
        <w:tc>
          <w:p w14:paraId="428FA872">
            <w:pPr>
              <w:jc w:val="center"/>
            </w:pPr>
            <w:r>
              <w:rPr>
                <w:rFonts w:hint="eastAsia"/>
              </w:rPr>
              <w:t>混频器</w:t>
            </w:r>
          </w:p>
        </w:tc>
        <w:tc>
          <w:p w14:paraId="4FBC58B8">
            <w:pPr>
              <w:jc w:val="center"/>
            </w:pPr>
            <w:r>
              <w:rPr>
                <w:rFonts w:hint="eastAsia"/>
              </w:rPr>
              <w:t>第二级上变频（MIX2）</w:t>
            </w:r>
          </w:p>
        </w:tc>
        <w:tc>
          <w:p w14:paraId="43A6FC02">
            <w:pPr>
              <w:jc w:val="center"/>
            </w:pPr>
            <w:r>
              <w:rPr>
                <w:rFonts w:hint="eastAsia"/>
              </w:rPr>
              <w:t>莱尔微波</w:t>
            </w:r>
            <w:r>
              <w:t xml:space="preserve"> LFC-2006</w:t>
            </w:r>
          </w:p>
        </w:tc>
        <w:tc>
          <w:p w14:paraId="5BA833E5">
            <w:pPr>
              <w:jc w:val="center"/>
            </w:pPr>
            <w:r>
              <w:t xml:space="preserve">RF/LO: 18~42 GHz; IF: DC~18 GHz; </w:t>
            </w:r>
            <w:r>
              <w:rPr>
                <w:rFonts w:hint="eastAsia"/>
              </w:rPr>
              <w:t>变频损耗</w:t>
            </w:r>
            <w:r>
              <w:t xml:space="preserve"> 9 dB; </w:t>
            </w:r>
            <m:oMath>
              <m:sSub>
                <m:sSubPr/>
                <m:e>
                  <m:r>
                    <m:rPr/>
                    <m:t>P</m:t>
                  </m:r>
                </m:e>
                <m:sub>
                  <m:r>
                    <m:rPr/>
                    <m:t>1</m:t>
                  </m:r>
                  <m:r>
                    <m:rPr>
                      <m:nor/>
                      <m:sty m:val="p"/>
                    </m:rPr>
                    <w:rPr>
                      <w:b w:val="0"/>
                      <w:i w:val="0"/>
                    </w:rPr>
                    <m:t>dB</m:t>
                  </m:r>
                </m:sub>
              </m:sSub>
            </m:oMath>
            <w:r>
              <w:t>: 7 dBm</w:t>
            </w:r>
          </w:p>
        </w:tc>
        <w:tc>
          <w:p w14:paraId="64F5C8A3">
            <w:pPr>
              <w:jc w:val="center"/>
            </w:pPr>
            <w:r>
              <w:rPr>
                <w:rFonts w:hint="eastAsia"/>
              </w:rPr>
              <w:t>IF端口带宽由14</w:t>
            </w:r>
            <w:r>
              <w:t xml:space="preserve"> </w:t>
            </w:r>
            <w:r>
              <w:rPr>
                <w:rFonts w:hint="eastAsia"/>
              </w:rPr>
              <w:t>GHz扩展至18</w:t>
            </w:r>
            <w:r>
              <w:t xml:space="preserve"> GHz</w:t>
            </w:r>
          </w:p>
        </w:tc>
      </w:tr>
      <w:tr w14:paraId="2E9BF551">
        <w:tblPrEx>
          <w:tblCellMar>
            <w:top w:w="0" w:type="dxa"/>
            <w:left w:w="108" w:type="dxa"/>
            <w:bottom w:w="0" w:type="dxa"/>
            <w:right w:w="108" w:type="dxa"/>
          </w:tblCellMar>
        </w:tblPrEx>
        <w:tc>
          <w:p w14:paraId="4967D82A">
            <w:pPr>
              <w:jc w:val="center"/>
            </w:pPr>
            <w:r>
              <w:rPr>
                <w:rFonts w:hint="eastAsia"/>
              </w:rPr>
              <w:t>带通滤波器</w:t>
            </w:r>
          </w:p>
        </w:tc>
        <w:tc>
          <w:p w14:paraId="48D7DF56">
            <w:pPr>
              <w:jc w:val="center"/>
            </w:pPr>
            <w:r>
              <w:rPr>
                <w:rFonts w:hint="eastAsia"/>
              </w:rPr>
              <w:t>第一级混频后（BPF1）</w:t>
            </w:r>
          </w:p>
        </w:tc>
        <w:tc>
          <w:p w14:paraId="03E84F32">
            <w:pPr>
              <w:jc w:val="center"/>
            </w:pPr>
            <w:r>
              <w:rPr>
                <w:rFonts w:hint="eastAsia"/>
              </w:rPr>
              <w:t>西安航星</w:t>
            </w:r>
            <w:r>
              <w:t xml:space="preserve"> HXLBQ-DTA456X</w:t>
            </w:r>
          </w:p>
        </w:tc>
        <w:tc>
          <w:p w14:paraId="3BCB844D">
            <w:pPr>
              <w:jc w:val="center"/>
            </w:pPr>
            <w:r>
              <w:rPr>
                <w:rFonts w:hint="eastAsia"/>
              </w:rPr>
              <w:t>通带:</w:t>
            </w:r>
            <w:r>
              <w:t xml:space="preserve"> 1650~2050 MHz</w:t>
            </w:r>
          </w:p>
        </w:tc>
        <w:tc>
          <w:p w14:paraId="1043D172">
            <w:pPr>
              <w:jc w:val="center"/>
            </w:pPr>
            <w:r>
              <w:rPr>
                <w:rFonts w:hint="eastAsia"/>
              </w:rPr>
              <w:t>通带扩展至400</w:t>
            </w:r>
            <w:r>
              <w:t xml:space="preserve"> MHz</w:t>
            </w:r>
          </w:p>
        </w:tc>
      </w:tr>
      <w:tr w14:paraId="449975C1">
        <w:tblPrEx>
          <w:tblCellMar>
            <w:top w:w="0" w:type="dxa"/>
            <w:left w:w="108" w:type="dxa"/>
            <w:bottom w:w="0" w:type="dxa"/>
            <w:right w:w="108" w:type="dxa"/>
          </w:tblCellMar>
        </w:tblPrEx>
        <w:tc>
          <w:p w14:paraId="5D92F9E9">
            <w:pPr>
              <w:jc w:val="center"/>
            </w:pPr>
            <w:r>
              <w:rPr>
                <w:rFonts w:hint="eastAsia"/>
              </w:rPr>
              <w:t>带通滤波器</w:t>
            </w:r>
          </w:p>
        </w:tc>
        <w:tc>
          <w:p w14:paraId="35A51089">
            <w:pPr>
              <w:jc w:val="center"/>
            </w:pPr>
            <w:r>
              <w:rPr>
                <w:rFonts w:hint="eastAsia"/>
              </w:rPr>
              <w:t>倍频链路第二级（BPF2）</w:t>
            </w:r>
          </w:p>
        </w:tc>
        <w:tc>
          <w:p w14:paraId="79E34881">
            <w:pPr>
              <w:jc w:val="center"/>
            </w:pPr>
            <w:r>
              <w:rPr>
                <w:rFonts w:hint="eastAsia"/>
              </w:rPr>
              <w:t>成都恒伟</w:t>
            </w:r>
            <w:r>
              <w:t xml:space="preserve"> HXLBQ-DTA217</w:t>
            </w:r>
          </w:p>
        </w:tc>
        <w:tc>
          <w:p w14:paraId="58513D66">
            <w:pPr>
              <w:jc w:val="center"/>
            </w:pPr>
            <w:r>
              <w:rPr>
                <w:rFonts w:hint="eastAsia"/>
              </w:rPr>
              <w:t>通带:</w:t>
            </w:r>
            <w:r>
              <w:t xml:space="preserve"> 5~9 GHz</w:t>
            </w:r>
          </w:p>
        </w:tc>
        <w:tc>
          <w:p w14:paraId="2E4C2836">
            <w:pPr>
              <w:jc w:val="center"/>
            </w:pPr>
            <w:r>
              <w:rPr>
                <w:rFonts w:hint="eastAsia"/>
              </w:rPr>
              <w:t>覆盖扩频后二倍频输出</w:t>
            </w:r>
          </w:p>
        </w:tc>
      </w:tr>
      <w:tr w14:paraId="4A430517">
        <w:tblPrEx>
          <w:tblCellMar>
            <w:top w:w="0" w:type="dxa"/>
            <w:left w:w="108" w:type="dxa"/>
            <w:bottom w:w="0" w:type="dxa"/>
            <w:right w:w="108" w:type="dxa"/>
          </w:tblCellMar>
        </w:tblPrEx>
        <w:tc>
          <w:p w14:paraId="1427F488">
            <w:pPr>
              <w:jc w:val="center"/>
            </w:pPr>
            <w:r>
              <w:rPr>
                <w:rFonts w:hint="eastAsia"/>
              </w:rPr>
              <w:t>带通滤波器</w:t>
            </w:r>
          </w:p>
        </w:tc>
        <w:tc>
          <w:p w14:paraId="3D15B545">
            <w:pPr>
              <w:jc w:val="center"/>
            </w:pPr>
            <w:r>
              <w:rPr>
                <w:rFonts w:hint="eastAsia"/>
              </w:rPr>
              <w:t>倍频链路第三级（BPF3）</w:t>
            </w:r>
          </w:p>
        </w:tc>
        <w:tc>
          <w:p w14:paraId="015A1DA2">
            <w:pPr>
              <w:jc w:val="center"/>
            </w:pPr>
            <w:r>
              <w:rPr>
                <w:rFonts w:hint="eastAsia"/>
              </w:rPr>
              <w:t>西安航星</w:t>
            </w:r>
            <w:r>
              <w:t xml:space="preserve"> HXLBQ-DTA417</w:t>
            </w:r>
          </w:p>
        </w:tc>
        <w:tc>
          <w:p w14:paraId="1FD15205">
            <w:pPr>
              <w:jc w:val="center"/>
            </w:pPr>
            <w:r>
              <w:rPr>
                <w:rFonts w:hint="eastAsia"/>
              </w:rPr>
              <w:t>通带:</w:t>
            </w:r>
            <w:r>
              <w:t xml:space="preserve"> 10~18 GHz</w:t>
            </w:r>
          </w:p>
        </w:tc>
        <w:tc>
          <w:p w14:paraId="69BA8D84">
            <w:pPr>
              <w:jc w:val="center"/>
            </w:pPr>
            <w:r>
              <w:rPr>
                <w:rFonts w:hint="eastAsia"/>
              </w:rPr>
              <w:t>覆盖扩频后四倍频输出</w:t>
            </w:r>
          </w:p>
        </w:tc>
      </w:tr>
      <w:tr w14:paraId="0B71F75E">
        <w:tblPrEx>
          <w:tblCellMar>
            <w:top w:w="0" w:type="dxa"/>
            <w:left w:w="108" w:type="dxa"/>
            <w:bottom w:w="0" w:type="dxa"/>
            <w:right w:w="108" w:type="dxa"/>
          </w:tblCellMar>
        </w:tblPrEx>
        <w:tc>
          <w:p w14:paraId="324B7200">
            <w:pPr>
              <w:jc w:val="center"/>
            </w:pPr>
            <w:r>
              <w:rPr>
                <w:rFonts w:hint="eastAsia"/>
              </w:rPr>
              <w:t>无源倍频器</w:t>
            </w:r>
          </w:p>
        </w:tc>
        <w:tc>
          <w:p w14:paraId="5D1F2B05">
            <w:pPr>
              <w:jc w:val="center"/>
            </w:pPr>
            <w:r>
              <w:rPr>
                <w:rFonts w:hint="eastAsia"/>
              </w:rPr>
              <w:t>二倍频×2级</w:t>
            </w:r>
          </w:p>
        </w:tc>
        <w:tc>
          <w:p w14:paraId="42AF79CC">
            <w:pPr>
              <w:jc w:val="center"/>
            </w:pPr>
            <w:r>
              <w:rPr>
                <w:rFonts w:hint="eastAsia"/>
              </w:rPr>
              <w:t>成都恒伟</w:t>
            </w:r>
            <w:r>
              <w:t xml:space="preserve"> HWD622/622C</w:t>
            </w:r>
          </w:p>
        </w:tc>
        <w:tc>
          <w:p w14:paraId="4DE592BF">
            <w:pPr>
              <w:jc w:val="center"/>
            </w:pPr>
            <w:r>
              <w:rPr>
                <w:rFonts w:hint="eastAsia"/>
              </w:rPr>
              <w:t>输入:</w:t>
            </w:r>
            <w:r>
              <w:t xml:space="preserve"> 3~11 GHz; </w:t>
            </w:r>
            <w:r>
              <w:rPr>
                <w:rFonts w:hint="eastAsia"/>
              </w:rPr>
              <w:t>插入损耗</w:t>
            </w:r>
            <w:r>
              <w:t xml:space="preserve"> 11 dB; </w:t>
            </w:r>
            <w:r>
              <w:rPr>
                <w:rFonts w:hint="eastAsia"/>
              </w:rPr>
              <w:t>输入功率</w:t>
            </w:r>
            <w:r>
              <w:t xml:space="preserve"> 13 dBm</w:t>
            </w:r>
          </w:p>
        </w:tc>
        <w:tc>
          <w:p w14:paraId="554838DD">
            <w:pPr>
              <w:jc w:val="center"/>
            </w:pPr>
            <w:r>
              <w:rPr>
                <w:rFonts w:hint="eastAsia"/>
              </w:rPr>
              <w:t>适配扩频后的频率与功率范围</w:t>
            </w:r>
          </w:p>
        </w:tc>
      </w:tr>
    </w:tbl>
    <w:p w14:paraId="2E310A68">
      <w:r>
        <w:rPr>
          <w:rFonts w:hint="eastAsia"/>
        </w:rPr>
        <w:t>扩频后的完整前端链路如图5-1所示。</w:t>
      </w:r>
    </w:p>
    <w:p w14:paraId="32B724BC">
      <w:r>
        <w:drawing>
          <wp:inline distT="0" distB="0" distL="114300" distR="114300">
            <wp:extent cx="5753100" cy="3263265"/>
            <wp:effectExtent l="0" t="0" r="0" b="0"/>
            <wp:docPr id="2120017866" name="Picture" descr="图5-1 宽带LFMCW诊断系统扩频后的射频前端链路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17866" name="Picture" descr="图5-1 宽带LFMCW诊断系统扩频后的射频前端链路架构"/>
                    <pic:cNvPicPr>
                      <a:picLocks noChangeAspect="1" noChangeArrowheads="1"/>
                    </pic:cNvPicPr>
                  </pic:nvPicPr>
                  <pic:blipFill>
                    <a:blip r:embed="rId31"/>
                    <a:stretch>
                      <a:fillRect/>
                    </a:stretch>
                  </pic:blipFill>
                  <pic:spPr>
                    <a:xfrm>
                      <a:off x="0" y="0"/>
                      <a:ext cx="5753100" cy="3263409"/>
                    </a:xfrm>
                    <a:prstGeom prst="rect">
                      <a:avLst/>
                    </a:prstGeom>
                    <a:noFill/>
                    <a:ln w="9525">
                      <a:noFill/>
                    </a:ln>
                  </pic:spPr>
                </pic:pic>
              </a:graphicData>
            </a:graphic>
          </wp:inline>
        </w:drawing>
      </w:r>
    </w:p>
    <w:p w14:paraId="069938C6">
      <w:r>
        <w:rPr>
          <w:rFonts w:hint="eastAsia"/>
        </w:rPr>
        <w:t>图5-1</w:t>
      </w:r>
      <w:r>
        <w:t xml:space="preserve"> </w:t>
      </w:r>
      <w:r>
        <w:rPr>
          <w:rFonts w:hint="eastAsia"/>
        </w:rPr>
        <w:t>宽带LFMCW诊断系统扩频后的射频前端链路架构</w:t>
      </w:r>
    </w:p>
    <w:p w14:paraId="4C492E43">
      <w:r>
        <w:rPr>
          <w:rFonts w:hint="eastAsia"/>
        </w:rPr>
        <w:t>器件更换完成后，系统可在不同基带带宽配置下实现相应的毫米波扩频输出：当基带带宽为200</w:t>
      </w:r>
      <w:r>
        <w:t xml:space="preserve"> </w:t>
      </w:r>
      <w:r>
        <w:rPr>
          <w:rFonts w:hint="eastAsia"/>
        </w:rPr>
        <w:t>MHz时，八倍频后发射带宽达到1.6</w:t>
      </w:r>
      <w:r>
        <w:t xml:space="preserve"> </w:t>
      </w:r>
      <w:r>
        <w:rPr>
          <w:rFonts w:hint="eastAsia"/>
        </w:rPr>
        <w:t>GHz；当基带带宽提升至375</w:t>
      </w:r>
      <w:r>
        <w:t xml:space="preserve"> </w:t>
      </w:r>
      <w:r>
        <w:rPr>
          <w:rFonts w:hint="eastAsia"/>
        </w:rPr>
        <w:t>MHz时，总带宽可扩展至3</w:t>
      </w:r>
      <w:r>
        <w:t xml:space="preserve"> </w:t>
      </w:r>
      <w:r>
        <w:rPr>
          <w:rFonts w:hint="eastAsia"/>
        </w:rPr>
        <w:t>GHz。实验中同时调整第一级本振频率与基带中心频率，以避开混频谐波与目标频段重叠。综合测试表明，在第一级本振保持1.55</w:t>
      </w:r>
      <w:r>
        <w:t xml:space="preserve"> </w:t>
      </w:r>
      <w:r>
        <w:rPr>
          <w:rFonts w:hint="eastAsia"/>
        </w:rPr>
        <w:t>GHz、基带中心频率设为200</w:t>
      </w:r>
      <w:r>
        <w:t xml:space="preserve"> </w:t>
      </w:r>
      <w:r>
        <w:rPr>
          <w:rFonts w:hint="eastAsia"/>
        </w:rPr>
        <w:t>MHz的条件下，链路工作状态较为稳定。</w:t>
      </w:r>
    </w:p>
    <w:p w14:paraId="1F6B480B">
      <w:r>
        <w:rPr>
          <w:rFonts w:hint="eastAsia"/>
        </w:rPr>
        <w:t>表5-2给出初始配置与三种扩频配置下的关键参数。</w:t>
      </w:r>
    </w:p>
    <w:p w14:paraId="70BF9074">
      <w:r>
        <w:rPr>
          <w:rFonts w:hint="eastAsia"/>
        </w:rPr>
        <w:t>表5-2</w:t>
      </w:r>
      <w:r>
        <w:t xml:space="preserve"> </w:t>
      </w:r>
      <w:r>
        <w:rPr>
          <w:rFonts w:hint="eastAsia"/>
        </w:rPr>
        <w:t>扩频前后系统关键参数对照</w:t>
      </w:r>
    </w:p>
    <w:tbl>
      <w:tblPr>
        <w:tblStyle w:val="30"/>
        <w:tblW w:w="5000" w:type="pct"/>
        <w:tblInd w:w="0" w:type="dxa"/>
        <w:tblLayout w:type="fixed"/>
        <w:tblCellMar>
          <w:top w:w="0" w:type="dxa"/>
          <w:left w:w="108" w:type="dxa"/>
          <w:bottom w:w="0" w:type="dxa"/>
          <w:right w:w="108" w:type="dxa"/>
        </w:tblCellMar>
      </w:tblPr>
      <w:tblGrid>
        <w:gridCol w:w="1801"/>
        <w:gridCol w:w="1801"/>
        <w:gridCol w:w="1801"/>
        <w:gridCol w:w="1801"/>
        <w:gridCol w:w="1801"/>
      </w:tblGrid>
      <w:tr w14:paraId="1D70350E">
        <w:tblPrEx>
          <w:tblCellMar>
            <w:top w:w="0" w:type="dxa"/>
            <w:left w:w="108" w:type="dxa"/>
            <w:bottom w:w="0" w:type="dxa"/>
            <w:right w:w="108" w:type="dxa"/>
          </w:tblCellMar>
        </w:tblPrEx>
        <w:trPr>
          <w:tblHeader/>
        </w:trPr>
        <w:tc>
          <w:p w14:paraId="0F8372C3">
            <w:pPr>
              <w:jc w:val="center"/>
            </w:pPr>
            <w:r>
              <w:rPr>
                <w:rFonts w:hint="eastAsia"/>
              </w:rPr>
              <w:t>参数</w:t>
            </w:r>
          </w:p>
        </w:tc>
        <w:tc>
          <w:p w14:paraId="131770E6">
            <w:pPr>
              <w:jc w:val="center"/>
            </w:pPr>
            <w:r>
              <w:rPr>
                <w:rFonts w:hint="eastAsia"/>
              </w:rPr>
              <w:t>初始配置（800</w:t>
            </w:r>
            <w:r>
              <w:t xml:space="preserve"> </w:t>
            </w:r>
            <w:r>
              <w:rPr>
                <w:rFonts w:hint="eastAsia"/>
              </w:rPr>
              <w:t>MHz）</w:t>
            </w:r>
          </w:p>
        </w:tc>
        <w:tc>
          <w:p w14:paraId="6D08B328">
            <w:pPr>
              <w:jc w:val="center"/>
            </w:pPr>
            <w:r>
              <w:rPr>
                <w:rFonts w:hint="eastAsia"/>
              </w:rPr>
              <w:t>扩频配置一（1.6</w:t>
            </w:r>
            <w:r>
              <w:t xml:space="preserve"> </w:t>
            </w:r>
            <w:r>
              <w:rPr>
                <w:rFonts w:hint="eastAsia"/>
              </w:rPr>
              <w:t>GHz）</w:t>
            </w:r>
          </w:p>
        </w:tc>
        <w:tc>
          <w:p w14:paraId="279E5D7C">
            <w:pPr>
              <w:jc w:val="center"/>
            </w:pPr>
            <w:r>
              <w:rPr>
                <w:rFonts w:hint="eastAsia"/>
              </w:rPr>
              <w:t>扩频配置二（2.4</w:t>
            </w:r>
            <w:r>
              <w:t xml:space="preserve"> </w:t>
            </w:r>
            <w:r>
              <w:rPr>
                <w:rFonts w:hint="eastAsia"/>
              </w:rPr>
              <w:t>GHz）</w:t>
            </w:r>
          </w:p>
        </w:tc>
        <w:tc>
          <w:p w14:paraId="15058500">
            <w:pPr>
              <w:jc w:val="center"/>
            </w:pPr>
            <w:r>
              <w:rPr>
                <w:rFonts w:hint="eastAsia"/>
              </w:rPr>
              <w:t>扩频配置三（3</w:t>
            </w:r>
            <w:r>
              <w:t xml:space="preserve"> </w:t>
            </w:r>
            <w:r>
              <w:rPr>
                <w:rFonts w:hint="eastAsia"/>
              </w:rPr>
              <w:t>GHz）</w:t>
            </w:r>
          </w:p>
        </w:tc>
      </w:tr>
      <w:tr w14:paraId="6448384A">
        <w:tblPrEx>
          <w:tblCellMar>
            <w:top w:w="0" w:type="dxa"/>
            <w:left w:w="108" w:type="dxa"/>
            <w:bottom w:w="0" w:type="dxa"/>
            <w:right w:w="108" w:type="dxa"/>
          </w:tblCellMar>
        </w:tblPrEx>
        <w:tc>
          <w:p w14:paraId="27A50B22">
            <w:pPr>
              <w:jc w:val="center"/>
            </w:pPr>
            <w:r>
              <w:rPr>
                <w:rFonts w:hint="eastAsia"/>
              </w:rPr>
              <w:t>基带扫频源带宽</w:t>
            </w:r>
          </w:p>
        </w:tc>
        <w:tc>
          <w:p w14:paraId="719A265B">
            <w:pPr>
              <w:jc w:val="center"/>
            </w:pPr>
            <w:r>
              <w:t>100 MHz</w:t>
            </w:r>
          </w:p>
        </w:tc>
        <w:tc>
          <w:p w14:paraId="33A38EFC">
            <w:pPr>
              <w:jc w:val="center"/>
            </w:pPr>
            <w:r>
              <w:t>200 MHz</w:t>
            </w:r>
          </w:p>
        </w:tc>
        <w:tc>
          <w:p w14:paraId="73A85C33">
            <w:pPr>
              <w:jc w:val="center"/>
            </w:pPr>
            <w:r>
              <w:t>300 MHz</w:t>
            </w:r>
          </w:p>
        </w:tc>
        <w:tc>
          <w:p w14:paraId="34CC4E22">
            <w:pPr>
              <w:jc w:val="center"/>
            </w:pPr>
            <w:r>
              <w:t>375 MHz</w:t>
            </w:r>
          </w:p>
        </w:tc>
      </w:tr>
      <w:tr w14:paraId="6F7742D6">
        <w:tblPrEx>
          <w:tblCellMar>
            <w:top w:w="0" w:type="dxa"/>
            <w:left w:w="108" w:type="dxa"/>
            <w:bottom w:w="0" w:type="dxa"/>
            <w:right w:w="108" w:type="dxa"/>
          </w:tblCellMar>
        </w:tblPrEx>
        <w:tc>
          <w:p w14:paraId="698BDE84">
            <w:pPr>
              <w:jc w:val="center"/>
            </w:pPr>
            <w:r>
              <w:rPr>
                <w:rFonts w:hint="eastAsia"/>
              </w:rPr>
              <w:t>基带中心频率</w:t>
            </w:r>
          </w:p>
        </w:tc>
        <w:tc>
          <w:p w14:paraId="7FB65ADB">
            <w:pPr>
              <w:jc w:val="center"/>
            </w:pPr>
            <w:r>
              <w:t>~100 MHz</w:t>
            </w:r>
          </w:p>
        </w:tc>
        <w:tc>
          <w:p w14:paraId="43198E9A">
            <w:pPr>
              <w:jc w:val="center"/>
            </w:pPr>
            <w:r>
              <w:t>200 MHz</w:t>
            </w:r>
          </w:p>
        </w:tc>
        <w:tc>
          <w:p w14:paraId="010EAC60">
            <w:pPr>
              <w:jc w:val="center"/>
            </w:pPr>
            <w:r>
              <w:t>200 MHz</w:t>
            </w:r>
          </w:p>
        </w:tc>
        <w:tc>
          <w:p w14:paraId="667FA852">
            <w:pPr>
              <w:jc w:val="center"/>
            </w:pPr>
            <w:r>
              <w:t>200 MHz</w:t>
            </w:r>
          </w:p>
        </w:tc>
      </w:tr>
      <w:tr w14:paraId="4B55D838">
        <w:tblPrEx>
          <w:tblCellMar>
            <w:top w:w="0" w:type="dxa"/>
            <w:left w:w="108" w:type="dxa"/>
            <w:bottom w:w="0" w:type="dxa"/>
            <w:right w:w="108" w:type="dxa"/>
          </w:tblCellMar>
        </w:tblPrEx>
        <w:tc>
          <w:p w14:paraId="156203E5">
            <w:pPr>
              <w:jc w:val="center"/>
            </w:pPr>
            <w:r>
              <w:rPr>
                <w:rFonts w:hint="eastAsia"/>
              </w:rPr>
              <w:t>八倍频后带宽</w:t>
            </w:r>
            <w:r>
              <w:t xml:space="preserve"> </w:t>
            </w:r>
            <m:oMath>
              <m:r>
                <m:rPr/>
                <m:t>B</m:t>
              </m:r>
            </m:oMath>
          </w:p>
        </w:tc>
        <w:tc>
          <w:p w14:paraId="7A2C99BF">
            <w:pPr>
              <w:jc w:val="center"/>
            </w:pPr>
            <w:r>
              <w:t>800 MHz</w:t>
            </w:r>
          </w:p>
        </w:tc>
        <w:tc>
          <w:p w14:paraId="02322C8B">
            <w:pPr>
              <w:jc w:val="center"/>
            </w:pPr>
            <w:r>
              <w:t>1.6 GHz</w:t>
            </w:r>
          </w:p>
        </w:tc>
        <w:tc>
          <w:p w14:paraId="10253834">
            <w:pPr>
              <w:jc w:val="center"/>
            </w:pPr>
            <w:r>
              <w:t>2.4 GHz</w:t>
            </w:r>
          </w:p>
        </w:tc>
        <w:tc>
          <w:p w14:paraId="408A5839">
            <w:pPr>
              <w:jc w:val="center"/>
            </w:pPr>
            <w:r>
              <w:t>3 GHz</w:t>
            </w:r>
          </w:p>
        </w:tc>
      </w:tr>
      <w:tr w14:paraId="25F151B2">
        <w:tblPrEx>
          <w:tblCellMar>
            <w:top w:w="0" w:type="dxa"/>
            <w:left w:w="108" w:type="dxa"/>
            <w:bottom w:w="0" w:type="dxa"/>
            <w:right w:w="108" w:type="dxa"/>
          </w:tblCellMar>
        </w:tblPrEx>
        <w:tc>
          <w:p w14:paraId="545DC0A3">
            <w:pPr>
              <w:jc w:val="center"/>
            </w:pPr>
            <w:r>
              <w:rPr>
                <w:rFonts w:hint="eastAsia"/>
              </w:rPr>
              <w:t>发射信号中心频率</w:t>
            </w:r>
          </w:p>
        </w:tc>
        <w:tc>
          <w:p w14:paraId="57D67701">
            <w:pPr>
              <w:jc w:val="center"/>
            </w:pPr>
            <w:r>
              <w:t>34.6 GHz</w:t>
            </w:r>
          </w:p>
        </w:tc>
        <w:tc>
          <w:p w14:paraId="2F644B33">
            <w:pPr>
              <w:jc w:val="center"/>
            </w:pPr>
            <w:r>
              <w:t>34.6 GHz</w:t>
            </w:r>
          </w:p>
        </w:tc>
        <w:tc>
          <w:p w14:paraId="6564AFA9">
            <w:pPr>
              <w:jc w:val="center"/>
            </w:pPr>
            <w:r>
              <w:t>34.6 GHz</w:t>
            </w:r>
          </w:p>
        </w:tc>
        <w:tc>
          <w:p w14:paraId="03E1832E">
            <w:pPr>
              <w:jc w:val="center"/>
            </w:pPr>
            <w:r>
              <w:t>34.6 GHz</w:t>
            </w:r>
          </w:p>
        </w:tc>
      </w:tr>
      <w:tr w14:paraId="71D3F6F0">
        <w:tblPrEx>
          <w:tblCellMar>
            <w:top w:w="0" w:type="dxa"/>
            <w:left w:w="108" w:type="dxa"/>
            <w:bottom w:w="0" w:type="dxa"/>
            <w:right w:w="108" w:type="dxa"/>
          </w:tblCellMar>
        </w:tblPrEx>
        <w:tc>
          <w:p w14:paraId="070992E2">
            <w:pPr>
              <w:jc w:val="center"/>
            </w:pPr>
            <w:r>
              <w:rPr>
                <w:rFonts w:hint="eastAsia"/>
              </w:rPr>
              <w:t>固有时延分辨率</w:t>
            </w:r>
            <w:r>
              <w:t xml:space="preserve"> </w:t>
            </w:r>
            <m:oMath>
              <m:r>
                <m:rPr/>
                <m:t>1</m:t>
              </m:r>
              <m:r>
                <m:rPr>
                  <m:sty m:val="p"/>
                </m:rPr>
                <m:t>/</m:t>
              </m:r>
              <m:r>
                <m:rPr/>
                <m:t>B</m:t>
              </m:r>
            </m:oMath>
          </w:p>
        </w:tc>
        <w:tc>
          <w:p w14:paraId="66A50AD6">
            <w:pPr>
              <w:jc w:val="center"/>
            </w:pPr>
            <w:r>
              <w:t>1.25 ns</w:t>
            </w:r>
          </w:p>
        </w:tc>
        <w:tc>
          <w:p w14:paraId="6876221E">
            <w:pPr>
              <w:jc w:val="center"/>
            </w:pPr>
            <w:r>
              <w:t>0.625 ns</w:t>
            </w:r>
          </w:p>
        </w:tc>
        <w:tc>
          <w:p w14:paraId="58AF550E">
            <w:pPr>
              <w:jc w:val="center"/>
            </w:pPr>
            <w:r>
              <w:t>0.417 ns</w:t>
            </w:r>
          </w:p>
        </w:tc>
        <w:tc>
          <w:p w14:paraId="2E33DDDD">
            <w:pPr>
              <w:jc w:val="center"/>
            </w:pPr>
            <w:r>
              <w:t>0.333 ns</w:t>
            </w:r>
          </w:p>
        </w:tc>
      </w:tr>
    </w:tbl>
    <w:p w14:paraId="28F837FA">
      <w:r>
        <w:rPr>
          <w:rFonts w:hint="eastAsia"/>
        </w:rPr>
        <w:t>由表5-2可见，随着扫频带宽由800</w:t>
      </w:r>
      <w:r>
        <w:t xml:space="preserve"> </w:t>
      </w:r>
      <w:r>
        <w:rPr>
          <w:rFonts w:hint="eastAsia"/>
        </w:rPr>
        <w:t>MHz扩展至3</w:t>
      </w:r>
      <w:r>
        <w:t xml:space="preserve"> </w:t>
      </w:r>
      <w:r>
        <w:rPr>
          <w:rFonts w:hint="eastAsia"/>
        </w:rPr>
        <w:t>GHz，系统的固有时延分辨尺度由1.25</w:t>
      </w:r>
      <w:r>
        <w:t xml:space="preserve"> </w:t>
      </w:r>
      <w:r>
        <w:rPr>
          <w:rFonts w:hint="eastAsia"/>
        </w:rPr>
        <w:t>ns改善至0.333</w:t>
      </w:r>
      <w:r>
        <w:t xml:space="preserve"> </w:t>
      </w:r>
      <w:r>
        <w:rPr>
          <w:rFonts w:hint="eastAsia"/>
        </w:rPr>
        <w:t>ns。射频带宽的扩展为更小量级的时延测量提供了物理基础。基于此，本节后续通过移动靶标实验对系统在真实测量条件下的时延分辨能力进行标定，以评估其对皮秒级微小时延变化的可分辨程度。</w:t>
      </w:r>
    </w:p>
    <w:p w14:paraId="42B0D911">
      <w:r>
        <w:pict>
          <v:rect id="_x0000_i1048" o:spt="1" style="height:1.5pt;width:0pt;" coordsize="21600,21600" o:hr="t" o:hrstd="t" o:hralign="center">
            <v:path/>
            <v:fill focussize="0,0"/>
            <v:stroke/>
            <v:imagedata o:title=""/>
            <o:lock v:ext="edit"/>
            <w10:wrap type="none"/>
            <w10:anchorlock/>
          </v:rect>
        </w:pict>
      </w:r>
    </w:p>
    <w:bookmarkEnd w:id="97"/>
    <w:p w14:paraId="38AE9E46">
      <w:pPr>
        <w:pStyle w:val="4"/>
      </w:pPr>
      <w:bookmarkStart w:id="98" w:name="实验系统搭建与非色散环境基准测试"/>
      <w:r>
        <w:rPr>
          <w:rFonts w:hint="eastAsia"/>
        </w:rPr>
        <w:t>实验系统搭建与非色散环境基准测试</w:t>
      </w:r>
    </w:p>
    <w:p w14:paraId="011604E6">
      <w:r>
        <w:rPr>
          <w:rFonts w:hint="eastAsia"/>
        </w:rPr>
        <w:t>实验平台主要由扫频信号源、射频前端机箱、收发天线及采集处理模块组成。扫频信号由泰克AWG70001A产生，第一级与第二级本振分别由LMX2820评估板和E8267D提供。射频前端机箱内部集成混频、倍频、滤波和放大链路；收发端采用26~40</w:t>
      </w:r>
      <w:r>
        <w:t xml:space="preserve"> </w:t>
      </w:r>
      <w:r>
        <w:rPr>
          <w:rFonts w:hint="eastAsia"/>
        </w:rPr>
        <w:t>GHz宽带聚焦透镜天线，差频信号由高速示波器DSOX95004Q采集，并同步送入频谱仪监测。</w:t>
      </w:r>
    </w:p>
    <w:p w14:paraId="136B0D15">
      <w:r>
        <w:rPr>
          <w:rFonts w:hint="eastAsia"/>
        </w:rPr>
        <w:t>平台搭建完成后，首先在空气信道中开展直通测试，用于标定系统在非色散环境下的本底响应。以800</w:t>
      </w:r>
      <w:r>
        <w:t xml:space="preserve"> </w:t>
      </w:r>
      <w:r>
        <w:rPr>
          <w:rFonts w:hint="eastAsia"/>
        </w:rPr>
        <w:t>MHz配置为例，发射信号覆盖34.2~35.0</w:t>
      </w:r>
      <w:r>
        <w:t xml:space="preserve"> </w:t>
      </w:r>
      <w:r>
        <w:rPr>
          <w:rFonts w:hint="eastAsia"/>
        </w:rPr>
        <w:t>GHz，差频信号经低通滤波后主要位于420</w:t>
      </w:r>
      <w:r>
        <w:t xml:space="preserve"> kHz~2 </w:t>
      </w:r>
      <w:r>
        <w:rPr>
          <w:rFonts w:hint="eastAsia"/>
        </w:rPr>
        <w:t>MHz范围，该频段主要由线缆长度和系统固有延迟决定。为减小常驻共模延迟对测量结果的影响，实验采用差分测量方式，仅以介入目标后差频的相对变化量</w:t>
      </w:r>
      <m:oMath>
        <m:r>
          <m:rPr>
            <m:sty m:val="p"/>
          </m:rPr>
          <m:t>Δ</m:t>
        </m:r>
        <m:sSub>
          <m:sSubPr/>
          <m:e>
            <m:r>
              <m:rPr/>
              <m:t>f</m:t>
            </m:r>
          </m:e>
          <m:sub>
            <m:r>
              <m:rPr/>
              <m:t>D</m:t>
            </m:r>
          </m:sub>
        </m:sSub>
      </m:oMath>
      <w:r>
        <w:rPr>
          <w:rFonts w:hint="eastAsia"/>
        </w:rPr>
        <w:t>作为后续分析输入。</w:t>
      </w:r>
    </w:p>
    <w:p w14:paraId="6AD20782">
      <w:r>
        <w:rPr>
          <w:rFonts w:hint="eastAsia"/>
        </w:rPr>
        <w:t>在扩频后的空传测试中，差频频移随扫频带宽增加而呈现稳定增长趋势，与</w:t>
      </w:r>
      <m:oMath>
        <m:sSub>
          <m:sSubPr/>
          <m:e>
            <m:r>
              <m:rPr/>
              <m:t>f</m:t>
            </m:r>
          </m:e>
          <m:sub>
            <m:r>
              <m:rPr/>
              <m:t>D</m:t>
            </m:r>
          </m:sub>
        </m:sSub>
        <m:r>
          <m:rPr>
            <m:sty m:val="p"/>
          </m:rPr>
          <m:t>=</m:t>
        </m:r>
        <m:r>
          <m:rPr/>
          <m:t>Bτ</m:t>
        </m:r>
        <m:r>
          <m:rPr>
            <m:sty m:val="p"/>
          </m:rPr>
          <m:t>/</m:t>
        </m:r>
        <m:sSub>
          <m:sSubPr/>
          <m:e>
            <m:r>
              <m:rPr/>
              <m:t>T</m:t>
            </m:r>
          </m:e>
          <m:sub>
            <m:r>
              <m:rPr/>
              <m:t>m</m:t>
            </m:r>
          </m:sub>
        </m:sSub>
      </m:oMath>
      <w:r>
        <w:rPr>
          <w:rFonts w:hint="eastAsia"/>
        </w:rPr>
        <w:t>的理论关系一致。3</w:t>
      </w:r>
      <w:r>
        <w:t xml:space="preserve"> </w:t>
      </w:r>
      <w:r>
        <w:rPr>
          <w:rFonts w:hint="eastAsia"/>
        </w:rPr>
        <w:t>GHz配置下的实测发射频谱如图5-2所示，在33.1~36.1</w:t>
      </w:r>
      <w:r>
        <w:t xml:space="preserve"> </w:t>
      </w:r>
      <w:r>
        <w:rPr>
          <w:rFonts w:hint="eastAsia"/>
        </w:rPr>
        <w:t>GHz范围内实现连续覆盖，</w:t>
      </w:r>
      <m:oMath>
        <m:r>
          <m:rPr>
            <m:sty m:val="p"/>
          </m:rPr>
          <m:t>−</m:t>
        </m:r>
        <m:r>
          <m:rPr/>
          <m:t>3</m:t>
        </m:r>
      </m:oMath>
      <w:r>
        <w:t xml:space="preserve"> </w:t>
      </w:r>
      <w:r>
        <w:rPr>
          <w:rFonts w:hint="eastAsia"/>
        </w:rPr>
        <w:t>dB带宽达到3</w:t>
      </w:r>
      <w:r>
        <w:t xml:space="preserve"> </w:t>
      </w:r>
      <w:r>
        <w:rPr>
          <w:rFonts w:hint="eastAsia"/>
        </w:rPr>
        <w:t>GHz。虽然带内仍存在约3~5</w:t>
      </w:r>
      <w:r>
        <w:t xml:space="preserve"> </w:t>
      </w:r>
      <w:r>
        <w:rPr>
          <w:rFonts w:hint="eastAsia"/>
        </w:rPr>
        <w:t>dB起伏，但未出现明显断裂，说明扩频后链路能够保持基本完整的宽带传输特性。</w:t>
      </w:r>
    </w:p>
    <w:p w14:paraId="5ACA023C">
      <w:r>
        <w:drawing>
          <wp:inline distT="0" distB="0" distL="114300" distR="114300">
            <wp:extent cx="5753100" cy="3833495"/>
            <wp:effectExtent l="0" t="0" r="0" b="0"/>
            <wp:docPr id="2120017868" name="Picture" descr="图5-2 扩频后LFMCW系统3 GHz带宽配置下的实测发射信号频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17868" name="Picture" descr="图5-2 扩频后LFMCW系统3 GHz带宽配置下的实测发射信号频谱"/>
                    <pic:cNvPicPr>
                      <a:picLocks noChangeAspect="1" noChangeArrowheads="1"/>
                    </pic:cNvPicPr>
                  </pic:nvPicPr>
                  <pic:blipFill>
                    <a:blip r:embed="rId32"/>
                    <a:stretch>
                      <a:fillRect/>
                    </a:stretch>
                  </pic:blipFill>
                  <pic:spPr>
                    <a:xfrm>
                      <a:off x="0" y="0"/>
                      <a:ext cx="5753100" cy="3833865"/>
                    </a:xfrm>
                    <a:prstGeom prst="rect">
                      <a:avLst/>
                    </a:prstGeom>
                    <a:noFill/>
                    <a:ln w="9525">
                      <a:noFill/>
                    </a:ln>
                  </pic:spPr>
                </pic:pic>
              </a:graphicData>
            </a:graphic>
          </wp:inline>
        </w:drawing>
      </w:r>
    </w:p>
    <w:p w14:paraId="542E026A">
      <w:r>
        <w:rPr>
          <w:rFonts w:hint="eastAsia"/>
        </w:rPr>
        <w:t>图5-2</w:t>
      </w:r>
      <w:r>
        <w:t xml:space="preserve"> </w:t>
      </w:r>
      <w:r>
        <w:rPr>
          <w:rFonts w:hint="eastAsia"/>
        </w:rPr>
        <w:t>扩频后LFMCW系统3</w:t>
      </w:r>
      <w:r>
        <w:t xml:space="preserve"> </w:t>
      </w:r>
      <w:r>
        <w:rPr>
          <w:rFonts w:hint="eastAsia"/>
        </w:rPr>
        <w:t>GHz带宽配置下的实测发射信号频谱</w:t>
      </w:r>
    </w:p>
    <w:p w14:paraId="0A5878C5">
      <w:r>
        <w:pict>
          <v:rect id="_x0000_i1049" o:spt="1" style="height:1.5pt;width:0pt;" coordsize="21600,21600" o:hr="t" o:hrstd="t" o:hralign="center">
            <v:path/>
            <v:fill focussize="0,0"/>
            <v:stroke/>
            <v:imagedata o:title=""/>
            <o:lock v:ext="edit"/>
            <w10:wrap type="none"/>
            <w10:anchorlock/>
          </v:rect>
        </w:pict>
      </w:r>
    </w:p>
    <w:bookmarkEnd w:id="98"/>
    <w:p w14:paraId="069BD952">
      <w:pPr>
        <w:pStyle w:val="4"/>
      </w:pPr>
      <w:bookmarkStart w:id="99" w:name="移动靶标时延测量与硬件系统极限分辨率标定"/>
      <w:r>
        <w:rPr>
          <w:rFonts w:hint="eastAsia"/>
        </w:rPr>
        <w:t>移动靶标时延测量与硬件系统极限分辨率标定</w:t>
      </w:r>
    </w:p>
    <w:p w14:paraId="4BA5DF84">
      <w:r>
        <w:rPr>
          <w:rFonts w:hint="eastAsia"/>
        </w:rPr>
        <w:t>系统极限分辨能力的实验标定，依赖单轴高精度位移平台引入受控传播时延增量。以初始天线间距为参考零位提取相对差频，随后沿轴向移动接收天线</w:t>
      </w:r>
      <m:oMath>
        <m:r>
          <m:rPr>
            <m:sty m:val="p"/>
          </m:rPr>
          <m:t>Δ</m:t>
        </m:r>
        <m:r>
          <m:rPr/>
          <m:t>d</m:t>
        </m:r>
      </m:oMath>
      <w:r>
        <w:rPr>
          <w:rFonts w:hint="eastAsia"/>
        </w:rPr>
        <w:t>并再次采集差频信号。通过差分运算可抵消环境中的常驻杂散，得到由位移引起的频率增量</w:t>
      </w:r>
      <m:oMath>
        <m:r>
          <m:rPr>
            <m:sty m:val="p"/>
          </m:rPr>
          <m:t>Δ</m:t>
        </m:r>
        <m:sSub>
          <m:sSubPr/>
          <m:e>
            <m:r>
              <m:rPr/>
              <m:t>f</m:t>
            </m:r>
          </m:e>
          <m:sub>
            <m:r>
              <m:rPr/>
              <m:t>D</m:t>
            </m:r>
          </m:sub>
        </m:sSub>
      </m:oMath>
      <w:r>
        <w:rPr>
          <w:rFonts w:hint="eastAsia"/>
        </w:rPr>
        <w:t>，并按式(5-1)计算测量时延增量</w:t>
      </w:r>
    </w:p>
    <w:p w14:paraId="4C893876">
      <w:r>
        <w:t xml:space="preserve"> </w:t>
      </w:r>
    </w:p>
    <w:p w14:paraId="78B68CFB">
      <w:pPr>
        <w:pStyle w:val="44"/>
        <w:spacing w:before="0" w:after="0" w:line="400" w:lineRule="atLeast"/>
      </w:pPr>
      <w:r>
        <w:tab/>
      </w:r>
      <m:oMath>
        <m:r>
          <m:rPr>
            <m:sty m:val="p"/>
          </m:rPr>
          <m:t>Δ</m:t>
        </m:r>
        <m:sSub>
          <m:sSubPr/>
          <m:e>
            <m:r>
              <m:rPr/>
              <m:t>τ</m:t>
            </m:r>
          </m:e>
          <m:sub>
            <m:r>
              <m:rPr/>
              <m:t>meas</m:t>
            </m:r>
          </m:sub>
        </m:sSub>
        <m:r>
          <m:rPr>
            <m:sty m:val="p"/>
          </m:rPr>
          <m:t>=</m:t>
        </m:r>
        <m:f>
          <m:fPr/>
          <m:num>
            <m:r>
              <m:rPr>
                <m:sty m:val="p"/>
              </m:rPr>
              <m:t>Δ</m:t>
            </m:r>
            <m:sSub>
              <m:sSubPr/>
              <m:e>
                <m:r>
                  <m:rPr/>
                  <m:t>f</m:t>
                </m:r>
              </m:e>
              <m:sub>
                <m:r>
                  <m:rPr/>
                  <m:t>D</m:t>
                </m:r>
              </m:sub>
            </m:sSub>
            <m:r>
              <m:rPr>
                <m:sty m:val="p"/>
              </m:rPr>
              <m:t>⋅</m:t>
            </m:r>
            <m:sSub>
              <m:sSubPr/>
              <m:e>
                <m:r>
                  <m:rPr/>
                  <m:t>T</m:t>
                </m:r>
              </m:e>
              <m:sub>
                <m:r>
                  <m:rPr/>
                  <m:t>m</m:t>
                </m:r>
              </m:sub>
            </m:sSub>
          </m:num>
          <m:den>
            <m:r>
              <m:rPr/>
              <m:t>B</m:t>
            </m:r>
          </m:den>
        </m:f>
      </m:oMath>
      <w:r>
        <w:tab/>
      </w:r>
      <w:r>
        <w:t>(5</w:t>
      </w:r>
      <w:r>
        <w:noBreakHyphen/>
      </w:r>
      <w:r>
        <w:t>1)</w:t>
      </w:r>
    </w:p>
    <w:p w14:paraId="2CF437B8">
      <w:r>
        <w:t xml:space="preserve"> </w:t>
      </w:r>
    </w:p>
    <w:p w14:paraId="3EB4CC32">
      <w:r>
        <w:rPr>
          <w:rFonts w:hint="eastAsia"/>
        </w:rPr>
        <w:t>在自由空间条件下，其对应的理论时延增量为</w:t>
      </w:r>
    </w:p>
    <w:p w14:paraId="7E6CAA07">
      <w:r>
        <w:t xml:space="preserve"> </w:t>
      </w:r>
    </w:p>
    <w:p w14:paraId="7ECC72D9">
      <w:pPr>
        <w:pStyle w:val="44"/>
        <w:spacing w:before="0" w:after="0" w:line="400" w:lineRule="atLeast"/>
      </w:pPr>
      <w:r>
        <w:tab/>
      </w:r>
      <m:oMath>
        <m:r>
          <m:rPr>
            <m:sty m:val="p"/>
          </m:rPr>
          <m:t>Δ</m:t>
        </m:r>
        <m:sSub>
          <m:sSubPr/>
          <m:e>
            <m:r>
              <m:rPr/>
              <m:t>τ</m:t>
            </m:r>
          </m:e>
          <m:sub>
            <m:r>
              <m:rPr/>
              <m:t>theory</m:t>
            </m:r>
          </m:sub>
        </m:sSub>
        <m:r>
          <m:rPr>
            <m:sty m:val="p"/>
          </m:rPr>
          <m:t>=</m:t>
        </m:r>
        <m:f>
          <m:fPr/>
          <m:num>
            <m:r>
              <m:rPr>
                <m:sty m:val="p"/>
              </m:rPr>
              <m:t>Δ</m:t>
            </m:r>
            <m:r>
              <m:rPr/>
              <m:t>d</m:t>
            </m:r>
          </m:num>
          <m:den>
            <m:r>
              <m:rPr/>
              <m:t>c</m:t>
            </m:r>
          </m:den>
        </m:f>
      </m:oMath>
      <w:r>
        <w:tab/>
      </w:r>
      <w:r>
        <w:t>(5</w:t>
      </w:r>
      <w:r>
        <w:noBreakHyphen/>
      </w:r>
      <w:r>
        <w:t>2)</w:t>
      </w:r>
    </w:p>
    <w:p w14:paraId="036D57E3">
      <w:r>
        <w:t xml:space="preserve"> </w:t>
      </w:r>
    </w:p>
    <w:p w14:paraId="54869E36">
      <w:r>
        <w:rPr>
          <w:rFonts w:hint="eastAsia"/>
        </w:rPr>
        <w:t>进一步定义相对误差率为</w:t>
      </w:r>
    </w:p>
    <w:p w14:paraId="2845558D">
      <w:r>
        <w:t xml:space="preserve"> </w:t>
      </w:r>
    </w:p>
    <w:p w14:paraId="01421C51">
      <w:pPr>
        <w:pStyle w:val="44"/>
        <w:spacing w:before="0" w:after="0" w:line="400" w:lineRule="atLeast"/>
      </w:pPr>
      <w:r>
        <w:tab/>
      </w:r>
      <m:oMath>
        <m:r>
          <m:rPr/>
          <m:t>ε</m:t>
        </m:r>
        <m:r>
          <m:rPr>
            <m:sty m:val="p"/>
          </m:rPr>
          <m:t>=</m:t>
        </m:r>
        <m:f>
          <m:fPr/>
          <m:num>
            <m:r>
              <m:rPr>
                <m:sty m:val="p"/>
              </m:rPr>
              <m:t>|Δ</m:t>
            </m:r>
            <m:sSub>
              <m:sSubPr/>
              <m:e>
                <m:r>
                  <m:rPr/>
                  <m:t>τ</m:t>
                </m:r>
              </m:e>
              <m:sub>
                <m:r>
                  <m:rPr/>
                  <m:t>meas</m:t>
                </m:r>
              </m:sub>
            </m:sSub>
            <m:r>
              <m:rPr>
                <m:sty m:val="p"/>
              </m:rPr>
              <m:t>−Δ</m:t>
            </m:r>
            <m:sSub>
              <m:sSubPr/>
              <m:e>
                <m:r>
                  <m:rPr/>
                  <m:t>τ</m:t>
                </m:r>
              </m:e>
              <m:sub>
                <m:r>
                  <m:rPr/>
                  <m:t>theory</m:t>
                </m:r>
              </m:sub>
            </m:sSub>
            <m:r>
              <m:rPr>
                <m:sty m:val="p"/>
              </m:rPr>
              <m:t>|</m:t>
            </m:r>
          </m:num>
          <m:den>
            <m:r>
              <m:rPr>
                <m:sty m:val="p"/>
              </m:rPr>
              <m:t>Δ</m:t>
            </m:r>
            <m:sSub>
              <m:sSubPr/>
              <m:e>
                <m:r>
                  <m:rPr/>
                  <m:t>τ</m:t>
                </m:r>
              </m:e>
              <m:sub>
                <m:r>
                  <m:rPr/>
                  <m:t>theory</m:t>
                </m:r>
              </m:sub>
            </m:sSub>
          </m:den>
        </m:f>
        <m:r>
          <m:rPr>
            <m:sty m:val="p"/>
          </m:rPr>
          <m:t>×</m:t>
        </m:r>
        <m:r>
          <m:rPr/>
          <m:t>100</m:t>
        </m:r>
        <m:r>
          <m:rPr>
            <m:sty m:val="p"/>
          </m:rPr>
          <m:t>%</m:t>
        </m:r>
      </m:oMath>
      <w:r>
        <w:tab/>
      </w:r>
      <w:r>
        <w:t>(5</w:t>
      </w:r>
      <w:r>
        <w:noBreakHyphen/>
      </w:r>
      <w:r>
        <w:t>3)</w:t>
      </w:r>
    </w:p>
    <w:p w14:paraId="2042F662">
      <w:r>
        <w:t xml:space="preserve"> </w:t>
      </w:r>
    </w:p>
    <w:p w14:paraId="0EAAE8EB">
      <w:r>
        <w:rPr>
          <w:rFonts w:hint="eastAsia"/>
        </w:rPr>
        <w:t>为评估系统在基础带宽配置下的分辨能力，实验首先在800</w:t>
      </w:r>
      <w:r>
        <w:t xml:space="preserve"> </w:t>
      </w:r>
      <w:r>
        <w:rPr>
          <w:rFonts w:hint="eastAsia"/>
        </w:rPr>
        <w:t>MHz带宽条件下进行标定，并引入LNA以改善回波信噪比。测试以平均相对误差不超过15%、且五次重复采集结果保持集中为判据，对10</w:t>
      </w:r>
      <w:r>
        <w:t xml:space="preserve"> </w:t>
      </w:r>
      <w:r>
        <w:rPr>
          <w:rFonts w:hint="eastAsia"/>
        </w:rPr>
        <w:t>mm至5</w:t>
      </w:r>
      <w:r>
        <w:t xml:space="preserve"> </w:t>
      </w:r>
      <w:r>
        <w:rPr>
          <w:rFonts w:hint="eastAsia"/>
        </w:rPr>
        <w:t>mm位移进行步进测量。结果表明，系统能够稳定分辨6</w:t>
      </w:r>
      <w:r>
        <w:t xml:space="preserve"> </w:t>
      </w:r>
      <w:r>
        <w:rPr>
          <w:rFonts w:hint="eastAsia"/>
        </w:rPr>
        <w:t>mm位移对应的约20</w:t>
      </w:r>
      <w:r>
        <w:t xml:space="preserve"> </w:t>
      </w:r>
      <w:r>
        <w:rPr>
          <w:rFonts w:hint="eastAsia"/>
        </w:rPr>
        <w:t>ps理论时延增量；当位移进一步减小至5</w:t>
      </w:r>
      <w:r>
        <w:t xml:space="preserve"> </w:t>
      </w:r>
      <w:r>
        <w:rPr>
          <w:rFonts w:hint="eastAsia"/>
        </w:rPr>
        <w:t>mm时，重复测量结果开始明显发散，已难以满足稳定分辨要求。据此，可将800</w:t>
      </w:r>
      <w:r>
        <w:t xml:space="preserve"> </w:t>
      </w:r>
      <w:r>
        <w:rPr>
          <w:rFonts w:hint="eastAsia"/>
        </w:rPr>
        <w:t>MHz配置下的有效时延分辨率标定为20</w:t>
      </w:r>
      <w:r>
        <w:t xml:space="preserve"> </w:t>
      </w:r>
      <w:r>
        <w:rPr>
          <w:rFonts w:hint="eastAsia"/>
        </w:rPr>
        <w:t>ps（对应空间位移约6</w:t>
      </w:r>
      <w:r>
        <w:t xml:space="preserve"> </w:t>
      </w:r>
      <w:r>
        <w:rPr>
          <w:rFonts w:hint="eastAsia"/>
        </w:rPr>
        <w:t>mm）。若按前述诊断口径进行量级换算，其对应的电子密度检出下限约为</w:t>
      </w:r>
      <m:oMath>
        <m:r>
          <m:rPr/>
          <m:t>1</m:t>
        </m:r>
        <m:r>
          <m:rPr>
            <m:sty m:val="p"/>
          </m:rPr>
          <m:t>×</m:t>
        </m:r>
        <m:sSup>
          <m:sSupPr/>
          <m:e>
            <m:r>
              <m:rPr/>
              <m:t>10</m:t>
            </m:r>
          </m:e>
          <m:sup>
            <m:r>
              <m:rPr/>
              <m:t>18</m:t>
            </m:r>
          </m:sup>
        </m:sSup>
      </m:oMath>
      <w:r>
        <w:t xml:space="preserve"> m</w:t>
      </w:r>
      <m:oMath>
        <m:sSup>
          <m:sSupPr/>
          <m:e>
            <m:r>
              <m:rPr/>
              <m:t>​</m:t>
            </m:r>
          </m:e>
          <m:sup>
            <m:r>
              <m:rPr>
                <m:sty m:val="p"/>
              </m:rPr>
              <m:t>−</m:t>
            </m:r>
            <m:r>
              <m:rPr/>
              <m:t>3</m:t>
            </m:r>
          </m:sup>
        </m:sSup>
      </m:oMath>
      <w:r>
        <w:t>。</w:t>
      </w:r>
    </w:p>
    <w:p w14:paraId="68BF661C">
      <w:r>
        <w:rPr>
          <w:rFonts w:hint="eastAsia"/>
        </w:rPr>
        <w:t>为验证扩频体制对分辨能力的提升作用，系统进一步在1.6</w:t>
      </w:r>
      <w:r>
        <w:t xml:space="preserve"> GHz、2.4 </w:t>
      </w:r>
      <w:r>
        <w:rPr>
          <w:rFonts w:hint="eastAsia"/>
        </w:rPr>
        <w:t>GHz和3</w:t>
      </w:r>
      <w:r>
        <w:t xml:space="preserve"> </w:t>
      </w:r>
      <w:r>
        <w:rPr>
          <w:rFonts w:hint="eastAsia"/>
        </w:rPr>
        <w:t>GHz配置下开展位移标定实验。表5-3汇总了不同带宽下的测试结果。</w:t>
      </w:r>
    </w:p>
    <w:p w14:paraId="4D48AD12">
      <w:r>
        <w:rPr>
          <w:rFonts w:hint="eastAsia"/>
        </w:rPr>
        <w:t>表5-3</w:t>
      </w:r>
      <w:r>
        <w:t xml:space="preserve"> </w:t>
      </w:r>
      <w:r>
        <w:rPr>
          <w:rFonts w:hint="eastAsia"/>
        </w:rPr>
        <w:t>扩频配置下的标定实验结果汇总</w:t>
      </w:r>
    </w:p>
    <w:tbl>
      <w:tblPr>
        <w:tblStyle w:val="30"/>
        <w:tblW w:w="5000" w:type="pct"/>
        <w:tblInd w:w="0" w:type="dxa"/>
        <w:tblLayout w:type="fixed"/>
        <w:tblCellMar>
          <w:top w:w="0" w:type="dxa"/>
          <w:left w:w="108" w:type="dxa"/>
          <w:bottom w:w="0" w:type="dxa"/>
          <w:right w:w="108" w:type="dxa"/>
        </w:tblCellMar>
      </w:tblPr>
      <w:tblGrid>
        <w:gridCol w:w="1801"/>
        <w:gridCol w:w="1801"/>
        <w:gridCol w:w="1801"/>
        <w:gridCol w:w="1801"/>
        <w:gridCol w:w="1801"/>
      </w:tblGrid>
      <w:tr w14:paraId="47327957">
        <w:tblPrEx>
          <w:tblCellMar>
            <w:top w:w="0" w:type="dxa"/>
            <w:left w:w="108" w:type="dxa"/>
            <w:bottom w:w="0" w:type="dxa"/>
            <w:right w:w="108" w:type="dxa"/>
          </w:tblCellMar>
        </w:tblPrEx>
        <w:trPr>
          <w:tblHeader/>
        </w:trPr>
        <w:tc>
          <w:p w14:paraId="44CE9A4B">
            <w:pPr>
              <w:jc w:val="center"/>
            </w:pPr>
            <w:r>
              <w:rPr>
                <w:rFonts w:hint="eastAsia"/>
              </w:rPr>
              <w:t>扫频带宽</w:t>
            </w:r>
          </w:p>
        </w:tc>
        <w:tc>
          <w:p w14:paraId="7E48120A">
            <w:pPr>
              <w:jc w:val="center"/>
            </w:pPr>
            <w:r>
              <w:rPr>
                <w:rFonts w:hint="eastAsia"/>
              </w:rPr>
              <w:t>移动距离</w:t>
            </w:r>
          </w:p>
        </w:tc>
        <w:tc>
          <w:p w14:paraId="64A7D9E0">
            <w:pPr>
              <w:jc w:val="center"/>
            </w:pPr>
            <w:r>
              <w:rPr>
                <w:rFonts w:hint="eastAsia"/>
              </w:rPr>
              <w:t>理论时延</w:t>
            </w:r>
          </w:p>
        </w:tc>
        <w:tc>
          <w:p w14:paraId="588A1F5F">
            <w:pPr>
              <w:jc w:val="center"/>
            </w:pPr>
            <w:r>
              <w:rPr>
                <w:rFonts w:hint="eastAsia"/>
              </w:rPr>
              <w:t>诊断时延（s）</w:t>
            </w:r>
          </w:p>
        </w:tc>
        <w:tc>
          <w:p w14:paraId="7527616A">
            <w:pPr>
              <w:jc w:val="center"/>
            </w:pPr>
            <w:r>
              <w:rPr>
                <w:rFonts w:hint="eastAsia"/>
              </w:rPr>
              <w:t>误差</w:t>
            </w:r>
          </w:p>
        </w:tc>
      </w:tr>
      <w:tr w14:paraId="57F87386">
        <w:tblPrEx>
          <w:tblCellMar>
            <w:top w:w="0" w:type="dxa"/>
            <w:left w:w="108" w:type="dxa"/>
            <w:bottom w:w="0" w:type="dxa"/>
            <w:right w:w="108" w:type="dxa"/>
          </w:tblCellMar>
        </w:tblPrEx>
        <w:tc>
          <w:p w14:paraId="0E121131">
            <w:pPr>
              <w:jc w:val="center"/>
            </w:pPr>
            <w:r>
              <w:t>1.6 GHz</w:t>
            </w:r>
          </w:p>
        </w:tc>
        <w:tc>
          <w:p w14:paraId="791D4B56">
            <w:pPr>
              <w:jc w:val="center"/>
            </w:pPr>
            <w:r>
              <w:t>2 mm</w:t>
            </w:r>
          </w:p>
        </w:tc>
        <w:tc>
          <w:p w14:paraId="6B06EF29">
            <w:pPr>
              <w:jc w:val="center"/>
            </w:pPr>
            <m:oMathPara>
              <m:oMath>
                <m:r>
                  <m:rPr/>
                  <m:t>6.67</m:t>
                </m:r>
                <m:r>
                  <m:rPr>
                    <m:sty m:val="p"/>
                  </m:rPr>
                  <m:t>×</m:t>
                </m:r>
                <m:sSup>
                  <m:sSupPr/>
                  <m:e>
                    <m:r>
                      <m:rPr/>
                      <m:t>10</m:t>
                    </m:r>
                  </m:e>
                  <m:sup>
                    <m:r>
                      <m:rPr>
                        <m:sty m:val="p"/>
                      </m:rPr>
                      <m:t>−</m:t>
                    </m:r>
                    <m:r>
                      <m:rPr/>
                      <m:t>12</m:t>
                    </m:r>
                  </m:sup>
                </m:sSup>
              </m:oMath>
            </m:oMathPara>
          </w:p>
        </w:tc>
        <w:tc>
          <w:p w14:paraId="4F6B78A9">
            <w:pPr>
              <w:jc w:val="center"/>
            </w:pPr>
            <m:oMathPara>
              <m:oMath>
                <m:r>
                  <m:rPr/>
                  <m:t>7.09</m:t>
                </m:r>
                <m:r>
                  <m:rPr>
                    <m:sty m:val="p"/>
                  </m:rPr>
                  <m:t>×</m:t>
                </m:r>
                <m:sSup>
                  <m:sSupPr/>
                  <m:e>
                    <m:r>
                      <m:rPr/>
                      <m:t>10</m:t>
                    </m:r>
                  </m:e>
                  <m:sup>
                    <m:r>
                      <m:rPr>
                        <m:sty m:val="p"/>
                      </m:rPr>
                      <m:t>−</m:t>
                    </m:r>
                    <m:r>
                      <m:rPr/>
                      <m:t>12</m:t>
                    </m:r>
                  </m:sup>
                </m:sSup>
              </m:oMath>
            </m:oMathPara>
          </w:p>
        </w:tc>
        <w:tc>
          <w:p w14:paraId="0D32F87F">
            <w:pPr>
              <w:jc w:val="center"/>
            </w:pPr>
            <w:r>
              <w:t>6.39%</w:t>
            </w:r>
          </w:p>
        </w:tc>
      </w:tr>
      <w:tr w14:paraId="3EF47D89">
        <w:tblPrEx>
          <w:tblCellMar>
            <w:top w:w="0" w:type="dxa"/>
            <w:left w:w="108" w:type="dxa"/>
            <w:bottom w:w="0" w:type="dxa"/>
            <w:right w:w="108" w:type="dxa"/>
          </w:tblCellMar>
        </w:tblPrEx>
        <w:tc>
          <w:p w14:paraId="785E2582"/>
        </w:tc>
        <w:tc>
          <w:p w14:paraId="64E57F57"/>
        </w:tc>
        <w:tc>
          <w:p w14:paraId="5CA00A77"/>
        </w:tc>
        <w:tc>
          <w:p w14:paraId="21F55A14">
            <w:pPr>
              <w:jc w:val="center"/>
            </w:pPr>
            <m:oMathPara>
              <m:oMath>
                <m:r>
                  <m:rPr/>
                  <m:t>6.08</m:t>
                </m:r>
                <m:r>
                  <m:rPr>
                    <m:sty m:val="p"/>
                  </m:rPr>
                  <m:t>×</m:t>
                </m:r>
                <m:sSup>
                  <m:sSupPr/>
                  <m:e>
                    <m:r>
                      <m:rPr/>
                      <m:t>10</m:t>
                    </m:r>
                  </m:e>
                  <m:sup>
                    <m:r>
                      <m:rPr>
                        <m:sty m:val="p"/>
                      </m:rPr>
                      <m:t>−</m:t>
                    </m:r>
                    <m:r>
                      <m:rPr/>
                      <m:t>12</m:t>
                    </m:r>
                  </m:sup>
                </m:sSup>
              </m:oMath>
            </m:oMathPara>
          </w:p>
        </w:tc>
        <w:tc>
          <w:p w14:paraId="151717DB">
            <w:pPr>
              <w:jc w:val="center"/>
            </w:pPr>
            <w:r>
              <w:t>8.86%</w:t>
            </w:r>
          </w:p>
        </w:tc>
      </w:tr>
      <w:tr w14:paraId="3469FF7B">
        <w:tblPrEx>
          <w:tblCellMar>
            <w:top w:w="0" w:type="dxa"/>
            <w:left w:w="108" w:type="dxa"/>
            <w:bottom w:w="0" w:type="dxa"/>
            <w:right w:w="108" w:type="dxa"/>
          </w:tblCellMar>
        </w:tblPrEx>
        <w:tc>
          <w:p w14:paraId="230194E1"/>
        </w:tc>
        <w:tc>
          <w:p w14:paraId="5316D0A6"/>
        </w:tc>
        <w:tc>
          <w:p w14:paraId="1EC9A6C1"/>
        </w:tc>
        <w:tc>
          <w:p w14:paraId="7CF70F82">
            <w:pPr>
              <w:jc w:val="center"/>
            </w:pPr>
            <m:oMathPara>
              <m:oMath>
                <m:r>
                  <m:rPr/>
                  <m:t>7.37</m:t>
                </m:r>
                <m:r>
                  <m:rPr>
                    <m:sty m:val="p"/>
                  </m:rPr>
                  <m:t>×</m:t>
                </m:r>
                <m:sSup>
                  <m:sSupPr/>
                  <m:e>
                    <m:r>
                      <m:rPr/>
                      <m:t>10</m:t>
                    </m:r>
                  </m:e>
                  <m:sup>
                    <m:r>
                      <m:rPr>
                        <m:sty m:val="p"/>
                      </m:rPr>
                      <m:t>−</m:t>
                    </m:r>
                    <m:r>
                      <m:rPr/>
                      <m:t>12</m:t>
                    </m:r>
                  </m:sup>
                </m:sSup>
              </m:oMath>
            </m:oMathPara>
          </w:p>
        </w:tc>
        <w:tc>
          <w:p w14:paraId="48CEDF94">
            <w:pPr>
              <w:jc w:val="center"/>
            </w:pPr>
            <w:r>
              <w:t>10.51%</w:t>
            </w:r>
          </w:p>
        </w:tc>
      </w:tr>
      <w:tr w14:paraId="413ACD26">
        <w:tblPrEx>
          <w:tblCellMar>
            <w:top w:w="0" w:type="dxa"/>
            <w:left w:w="108" w:type="dxa"/>
            <w:bottom w:w="0" w:type="dxa"/>
            <w:right w:w="108" w:type="dxa"/>
          </w:tblCellMar>
        </w:tblPrEx>
        <w:tc>
          <w:p w14:paraId="0127EA9B"/>
        </w:tc>
        <w:tc>
          <w:p w14:paraId="5CB97A13"/>
        </w:tc>
        <w:tc>
          <w:p w14:paraId="5AC87AB8"/>
        </w:tc>
        <w:tc>
          <w:p w14:paraId="1C0A19C9">
            <w:pPr>
              <w:jc w:val="center"/>
            </w:pPr>
            <m:oMathPara>
              <m:oMath>
                <m:r>
                  <m:rPr/>
                  <m:t>7.14</m:t>
                </m:r>
                <m:r>
                  <m:rPr>
                    <m:sty m:val="p"/>
                  </m:rPr>
                  <m:t>×</m:t>
                </m:r>
                <m:sSup>
                  <m:sSupPr/>
                  <m:e>
                    <m:r>
                      <m:rPr/>
                      <m:t>10</m:t>
                    </m:r>
                  </m:e>
                  <m:sup>
                    <m:r>
                      <m:rPr>
                        <m:sty m:val="p"/>
                      </m:rPr>
                      <m:t>−</m:t>
                    </m:r>
                    <m:r>
                      <m:rPr/>
                      <m:t>12</m:t>
                    </m:r>
                  </m:sup>
                </m:sSup>
              </m:oMath>
            </m:oMathPara>
          </w:p>
        </w:tc>
        <w:tc>
          <w:p w14:paraId="0A1E0E14">
            <w:pPr>
              <w:jc w:val="center"/>
            </w:pPr>
            <w:r>
              <w:t>7.07%</w:t>
            </w:r>
          </w:p>
        </w:tc>
      </w:tr>
      <w:tr w14:paraId="0322585E">
        <w:tblPrEx>
          <w:tblCellMar>
            <w:top w:w="0" w:type="dxa"/>
            <w:left w:w="108" w:type="dxa"/>
            <w:bottom w:w="0" w:type="dxa"/>
            <w:right w:w="108" w:type="dxa"/>
          </w:tblCellMar>
        </w:tblPrEx>
        <w:tc>
          <w:p w14:paraId="456990E4"/>
        </w:tc>
        <w:tc>
          <w:p w14:paraId="1762A670"/>
        </w:tc>
        <w:tc>
          <w:p w14:paraId="718F0457"/>
        </w:tc>
        <w:tc>
          <w:p w14:paraId="52A2D654">
            <w:pPr>
              <w:jc w:val="center"/>
            </w:pPr>
            <m:oMathPara>
              <m:oMath>
                <m:r>
                  <m:rPr/>
                  <m:t>5.95</m:t>
                </m:r>
                <m:r>
                  <m:rPr>
                    <m:sty m:val="p"/>
                  </m:rPr>
                  <m:t>×</m:t>
                </m:r>
                <m:sSup>
                  <m:sSupPr/>
                  <m:e>
                    <m:r>
                      <m:rPr/>
                      <m:t>10</m:t>
                    </m:r>
                  </m:e>
                  <m:sup>
                    <m:r>
                      <m:rPr>
                        <m:sty m:val="p"/>
                      </m:rPr>
                      <m:t>−</m:t>
                    </m:r>
                    <m:r>
                      <m:rPr/>
                      <m:t>12</m:t>
                    </m:r>
                  </m:sup>
                </m:sSup>
              </m:oMath>
            </m:oMathPara>
          </w:p>
        </w:tc>
        <w:tc>
          <w:p w14:paraId="25182829">
            <w:pPr>
              <w:jc w:val="center"/>
            </w:pPr>
            <w:r>
              <w:t>10.73%</w:t>
            </w:r>
          </w:p>
        </w:tc>
      </w:tr>
      <w:tr w14:paraId="1CDCA049">
        <w:tblPrEx>
          <w:tblCellMar>
            <w:top w:w="0" w:type="dxa"/>
            <w:left w:w="108" w:type="dxa"/>
            <w:bottom w:w="0" w:type="dxa"/>
            <w:right w:w="108" w:type="dxa"/>
          </w:tblCellMar>
        </w:tblPrEx>
        <w:tc>
          <w:p w14:paraId="02BF505E">
            <w:pPr>
              <w:jc w:val="center"/>
            </w:pPr>
            <w:r>
              <w:t>2.4 GHz</w:t>
            </w:r>
          </w:p>
        </w:tc>
        <w:tc>
          <w:p w14:paraId="00CE8665">
            <w:pPr>
              <w:jc w:val="center"/>
            </w:pPr>
            <w:r>
              <w:t>1 mm</w:t>
            </w:r>
          </w:p>
        </w:tc>
        <w:tc>
          <w:p w14:paraId="58D94C56">
            <w:pPr>
              <w:jc w:val="center"/>
            </w:pPr>
            <m:oMathPara>
              <m:oMath>
                <m:r>
                  <m:rPr/>
                  <m:t>3.33</m:t>
                </m:r>
                <m:r>
                  <m:rPr>
                    <m:sty m:val="p"/>
                  </m:rPr>
                  <m:t>×</m:t>
                </m:r>
                <m:sSup>
                  <m:sSupPr/>
                  <m:e>
                    <m:r>
                      <m:rPr/>
                      <m:t>10</m:t>
                    </m:r>
                  </m:e>
                  <m:sup>
                    <m:r>
                      <m:rPr>
                        <m:sty m:val="p"/>
                      </m:rPr>
                      <m:t>−</m:t>
                    </m:r>
                    <m:r>
                      <m:rPr/>
                      <m:t>12</m:t>
                    </m:r>
                  </m:sup>
                </m:sSup>
              </m:oMath>
            </m:oMathPara>
          </w:p>
        </w:tc>
        <w:tc>
          <w:p w14:paraId="5C542EFE">
            <w:pPr>
              <w:jc w:val="center"/>
            </w:pPr>
            <m:oMathPara>
              <m:oMath>
                <m:r>
                  <m:rPr/>
                  <m:t>3.59</m:t>
                </m:r>
                <m:r>
                  <m:rPr>
                    <m:sty m:val="p"/>
                  </m:rPr>
                  <m:t>×</m:t>
                </m:r>
                <m:sSup>
                  <m:sSupPr/>
                  <m:e>
                    <m:r>
                      <m:rPr/>
                      <m:t>10</m:t>
                    </m:r>
                  </m:e>
                  <m:sup>
                    <m:r>
                      <m:rPr>
                        <m:sty m:val="p"/>
                      </m:rPr>
                      <m:t>−</m:t>
                    </m:r>
                    <m:r>
                      <m:rPr/>
                      <m:t>12</m:t>
                    </m:r>
                  </m:sup>
                </m:sSup>
              </m:oMath>
            </m:oMathPara>
          </w:p>
        </w:tc>
        <w:tc>
          <w:p w14:paraId="4CFB70F5">
            <w:pPr>
              <w:jc w:val="center"/>
            </w:pPr>
            <w:r>
              <w:t>7.74%</w:t>
            </w:r>
          </w:p>
        </w:tc>
      </w:tr>
      <w:tr w14:paraId="05926DE9">
        <w:tblPrEx>
          <w:tblCellMar>
            <w:top w:w="0" w:type="dxa"/>
            <w:left w:w="108" w:type="dxa"/>
            <w:bottom w:w="0" w:type="dxa"/>
            <w:right w:w="108" w:type="dxa"/>
          </w:tblCellMar>
        </w:tblPrEx>
        <w:tc>
          <w:p w14:paraId="2B95DAC7"/>
        </w:tc>
        <w:tc>
          <w:p w14:paraId="40CC1B24"/>
        </w:tc>
        <w:tc>
          <w:p w14:paraId="4EBBD0E6"/>
        </w:tc>
        <w:tc>
          <w:p w14:paraId="3D1BDF56">
            <w:pPr>
              <w:jc w:val="center"/>
            </w:pPr>
            <m:oMathPara>
              <m:oMath>
                <m:r>
                  <m:rPr/>
                  <m:t>3.16</m:t>
                </m:r>
                <m:r>
                  <m:rPr>
                    <m:sty m:val="p"/>
                  </m:rPr>
                  <m:t>×</m:t>
                </m:r>
                <m:sSup>
                  <m:sSupPr/>
                  <m:e>
                    <m:r>
                      <m:rPr/>
                      <m:t>10</m:t>
                    </m:r>
                  </m:e>
                  <m:sup>
                    <m:r>
                      <m:rPr>
                        <m:sty m:val="p"/>
                      </m:rPr>
                      <m:t>−</m:t>
                    </m:r>
                    <m:r>
                      <m:rPr/>
                      <m:t>12</m:t>
                    </m:r>
                  </m:sup>
                </m:sSup>
              </m:oMath>
            </m:oMathPara>
          </w:p>
        </w:tc>
        <w:tc>
          <w:p w14:paraId="64CF0499">
            <w:pPr>
              <w:jc w:val="center"/>
            </w:pPr>
            <w:r>
              <w:t>5.25%</w:t>
            </w:r>
          </w:p>
        </w:tc>
      </w:tr>
      <w:tr w14:paraId="018F3619">
        <w:tblPrEx>
          <w:tblCellMar>
            <w:top w:w="0" w:type="dxa"/>
            <w:left w:w="108" w:type="dxa"/>
            <w:bottom w:w="0" w:type="dxa"/>
            <w:right w:w="108" w:type="dxa"/>
          </w:tblCellMar>
        </w:tblPrEx>
        <w:tc>
          <w:p w14:paraId="2BED5653"/>
        </w:tc>
        <w:tc>
          <w:p w14:paraId="6139884E"/>
        </w:tc>
        <w:tc>
          <w:p w14:paraId="7DC8E2D4"/>
        </w:tc>
        <w:tc>
          <w:p w14:paraId="174B42D8">
            <w:pPr>
              <w:jc w:val="center"/>
            </w:pPr>
            <m:oMathPara>
              <m:oMath>
                <m:r>
                  <m:rPr/>
                  <m:t>3.71</m:t>
                </m:r>
                <m:r>
                  <m:rPr>
                    <m:sty m:val="p"/>
                  </m:rPr>
                  <m:t>×</m:t>
                </m:r>
                <m:sSup>
                  <m:sSupPr/>
                  <m:e>
                    <m:r>
                      <m:rPr/>
                      <m:t>10</m:t>
                    </m:r>
                  </m:e>
                  <m:sup>
                    <m:r>
                      <m:rPr>
                        <m:sty m:val="p"/>
                      </m:rPr>
                      <m:t>−</m:t>
                    </m:r>
                    <m:r>
                      <m:rPr/>
                      <m:t>12</m:t>
                    </m:r>
                  </m:sup>
                </m:sSup>
              </m:oMath>
            </m:oMathPara>
          </w:p>
        </w:tc>
        <w:tc>
          <w:p w14:paraId="5B803A4C">
            <w:pPr>
              <w:jc w:val="center"/>
            </w:pPr>
            <w:r>
              <w:t>11.43%</w:t>
            </w:r>
          </w:p>
        </w:tc>
      </w:tr>
      <w:tr w14:paraId="28648520">
        <w:tblPrEx>
          <w:tblCellMar>
            <w:top w:w="0" w:type="dxa"/>
            <w:left w:w="108" w:type="dxa"/>
            <w:bottom w:w="0" w:type="dxa"/>
            <w:right w:w="108" w:type="dxa"/>
          </w:tblCellMar>
        </w:tblPrEx>
        <w:tc>
          <w:p w14:paraId="5DA92264"/>
        </w:tc>
        <w:tc>
          <w:p w14:paraId="57A41A52"/>
        </w:tc>
        <w:tc>
          <w:p w14:paraId="18A8D303"/>
        </w:tc>
        <w:tc>
          <w:p w14:paraId="1E27BAA3">
            <w:pPr>
              <w:jc w:val="center"/>
            </w:pPr>
            <m:oMathPara>
              <m:oMath>
                <m:r>
                  <m:rPr/>
                  <m:t>3.03</m:t>
                </m:r>
                <m:r>
                  <m:rPr>
                    <m:sty m:val="p"/>
                  </m:rPr>
                  <m:t>×</m:t>
                </m:r>
                <m:sSup>
                  <m:sSupPr/>
                  <m:e>
                    <m:r>
                      <m:rPr/>
                      <m:t>10</m:t>
                    </m:r>
                  </m:e>
                  <m:sup>
                    <m:r>
                      <m:rPr>
                        <m:sty m:val="p"/>
                      </m:rPr>
                      <m:t>−</m:t>
                    </m:r>
                    <m:r>
                      <m:rPr/>
                      <m:t>12</m:t>
                    </m:r>
                  </m:sup>
                </m:sSup>
              </m:oMath>
            </m:oMathPara>
          </w:p>
        </w:tc>
        <w:tc>
          <w:p w14:paraId="0A0672A3">
            <w:pPr>
              <w:jc w:val="center"/>
            </w:pPr>
            <w:r>
              <w:t>9.00%</w:t>
            </w:r>
          </w:p>
        </w:tc>
      </w:tr>
      <w:tr w14:paraId="28E2DF43">
        <w:tblPrEx>
          <w:tblCellMar>
            <w:top w:w="0" w:type="dxa"/>
            <w:left w:w="108" w:type="dxa"/>
            <w:bottom w:w="0" w:type="dxa"/>
            <w:right w:w="108" w:type="dxa"/>
          </w:tblCellMar>
        </w:tblPrEx>
        <w:tc>
          <w:p w14:paraId="695D0FE8"/>
        </w:tc>
        <w:tc>
          <w:p w14:paraId="514EA314"/>
        </w:tc>
        <w:tc>
          <w:p w14:paraId="42C36AC6"/>
        </w:tc>
        <w:tc>
          <w:p w14:paraId="113213FE">
            <w:pPr>
              <w:jc w:val="center"/>
            </w:pPr>
            <m:oMathPara>
              <m:oMath>
                <m:r>
                  <m:rPr/>
                  <m:t>3.77</m:t>
                </m:r>
                <m:r>
                  <m:rPr>
                    <m:sty m:val="p"/>
                  </m:rPr>
                  <m:t>×</m:t>
                </m:r>
                <m:sSup>
                  <m:sSupPr/>
                  <m:e>
                    <m:r>
                      <m:rPr/>
                      <m:t>10</m:t>
                    </m:r>
                  </m:e>
                  <m:sup>
                    <m:r>
                      <m:rPr>
                        <m:sty m:val="p"/>
                      </m:rPr>
                      <m:t>−</m:t>
                    </m:r>
                    <m:r>
                      <m:rPr/>
                      <m:t>12</m:t>
                    </m:r>
                  </m:sup>
                </m:sSup>
              </m:oMath>
            </m:oMathPara>
          </w:p>
        </w:tc>
        <w:tc>
          <w:p w14:paraId="12D5D716">
            <w:pPr>
              <w:jc w:val="center"/>
            </w:pPr>
            <w:r>
              <w:t>13.00%</w:t>
            </w:r>
          </w:p>
        </w:tc>
      </w:tr>
      <w:tr w14:paraId="75E2F691">
        <w:tblPrEx>
          <w:tblCellMar>
            <w:top w:w="0" w:type="dxa"/>
            <w:left w:w="108" w:type="dxa"/>
            <w:bottom w:w="0" w:type="dxa"/>
            <w:right w:w="108" w:type="dxa"/>
          </w:tblCellMar>
        </w:tblPrEx>
        <w:tc>
          <w:p w14:paraId="34A5C02D">
            <w:pPr>
              <w:jc w:val="center"/>
            </w:pPr>
            <w:r>
              <w:t>3 GHz</w:t>
            </w:r>
          </w:p>
        </w:tc>
        <w:tc>
          <w:p w14:paraId="1EBB096E">
            <w:pPr>
              <w:jc w:val="center"/>
            </w:pPr>
            <w:r>
              <w:t>1 mm</w:t>
            </w:r>
          </w:p>
        </w:tc>
        <w:tc>
          <w:p w14:paraId="0A75690F">
            <w:pPr>
              <w:jc w:val="center"/>
            </w:pPr>
            <m:oMathPara>
              <m:oMath>
                <m:r>
                  <m:rPr/>
                  <m:t>3.33</m:t>
                </m:r>
                <m:r>
                  <m:rPr>
                    <m:sty m:val="p"/>
                  </m:rPr>
                  <m:t>×</m:t>
                </m:r>
                <m:sSup>
                  <m:sSupPr/>
                  <m:e>
                    <m:r>
                      <m:rPr/>
                      <m:t>10</m:t>
                    </m:r>
                  </m:e>
                  <m:sup>
                    <m:r>
                      <m:rPr>
                        <m:sty m:val="p"/>
                      </m:rPr>
                      <m:t>−</m:t>
                    </m:r>
                    <m:r>
                      <m:rPr/>
                      <m:t>12</m:t>
                    </m:r>
                  </m:sup>
                </m:sSup>
              </m:oMath>
            </m:oMathPara>
          </w:p>
        </w:tc>
        <w:tc>
          <w:p w14:paraId="0E9837F5">
            <w:pPr>
              <w:jc w:val="center"/>
            </w:pPr>
            <m:oMathPara>
              <m:oMath>
                <m:r>
                  <m:rPr/>
                  <m:t>3.44</m:t>
                </m:r>
                <m:r>
                  <m:rPr>
                    <m:sty m:val="p"/>
                  </m:rPr>
                  <m:t>×</m:t>
                </m:r>
                <m:sSup>
                  <m:sSupPr/>
                  <m:e>
                    <m:r>
                      <m:rPr/>
                      <m:t>10</m:t>
                    </m:r>
                  </m:e>
                  <m:sup>
                    <m:r>
                      <m:rPr>
                        <m:sty m:val="p"/>
                      </m:rPr>
                      <m:t>−</m:t>
                    </m:r>
                    <m:r>
                      <m:rPr/>
                      <m:t>12</m:t>
                    </m:r>
                  </m:sup>
                </m:sSup>
              </m:oMath>
            </m:oMathPara>
          </w:p>
        </w:tc>
        <w:tc>
          <w:p w14:paraId="61E33FB0">
            <w:pPr>
              <w:jc w:val="center"/>
            </w:pPr>
            <w:r>
              <w:t>3.30%</w:t>
            </w:r>
          </w:p>
        </w:tc>
      </w:tr>
      <w:tr w14:paraId="33849003">
        <w:tblPrEx>
          <w:tblCellMar>
            <w:top w:w="0" w:type="dxa"/>
            <w:left w:w="108" w:type="dxa"/>
            <w:bottom w:w="0" w:type="dxa"/>
            <w:right w:w="108" w:type="dxa"/>
          </w:tblCellMar>
        </w:tblPrEx>
        <w:tc>
          <w:p w14:paraId="77F0AB83"/>
        </w:tc>
        <w:tc>
          <w:p w14:paraId="3DE23C3B"/>
        </w:tc>
        <w:tc>
          <w:p w14:paraId="31ECCAF6"/>
        </w:tc>
        <w:tc>
          <w:p w14:paraId="4402ACED">
            <w:pPr>
              <w:jc w:val="center"/>
            </w:pPr>
            <m:oMathPara>
              <m:oMath>
                <m:r>
                  <m:rPr/>
                  <m:t>3.18</m:t>
                </m:r>
                <m:r>
                  <m:rPr>
                    <m:sty m:val="p"/>
                  </m:rPr>
                  <m:t>×</m:t>
                </m:r>
                <m:sSup>
                  <m:sSupPr/>
                  <m:e>
                    <m:r>
                      <m:rPr/>
                      <m:t>10</m:t>
                    </m:r>
                  </m:e>
                  <m:sup>
                    <m:r>
                      <m:rPr>
                        <m:sty m:val="p"/>
                      </m:rPr>
                      <m:t>−</m:t>
                    </m:r>
                    <m:r>
                      <m:rPr/>
                      <m:t>12</m:t>
                    </m:r>
                  </m:sup>
                </m:sSup>
              </m:oMath>
            </m:oMathPara>
          </w:p>
        </w:tc>
        <w:tc>
          <w:p w14:paraId="26F2503A">
            <w:pPr>
              <w:jc w:val="center"/>
            </w:pPr>
            <w:r>
              <w:t>4.50%</w:t>
            </w:r>
          </w:p>
        </w:tc>
      </w:tr>
      <w:tr w14:paraId="7426B1C5">
        <w:tblPrEx>
          <w:tblCellMar>
            <w:top w:w="0" w:type="dxa"/>
            <w:left w:w="108" w:type="dxa"/>
            <w:bottom w:w="0" w:type="dxa"/>
            <w:right w:w="108" w:type="dxa"/>
          </w:tblCellMar>
        </w:tblPrEx>
        <w:tc>
          <w:p w14:paraId="7A7B1946"/>
        </w:tc>
        <w:tc>
          <w:p w14:paraId="536FAED3"/>
        </w:tc>
        <w:tc>
          <w:p w14:paraId="6346CFE7"/>
        </w:tc>
        <w:tc>
          <w:p w14:paraId="4D2DA112">
            <w:pPr>
              <w:jc w:val="center"/>
            </w:pPr>
            <m:oMathPara>
              <m:oMath>
                <m:r>
                  <m:rPr/>
                  <m:t>3.58</m:t>
                </m:r>
                <m:r>
                  <m:rPr>
                    <m:sty m:val="p"/>
                  </m:rPr>
                  <m:t>×</m:t>
                </m:r>
                <m:sSup>
                  <m:sSupPr/>
                  <m:e>
                    <m:r>
                      <m:rPr/>
                      <m:t>10</m:t>
                    </m:r>
                  </m:e>
                  <m:sup>
                    <m:r>
                      <m:rPr>
                        <m:sty m:val="p"/>
                      </m:rPr>
                      <m:t>−</m:t>
                    </m:r>
                    <m:r>
                      <m:rPr/>
                      <m:t>12</m:t>
                    </m:r>
                  </m:sup>
                </m:sSup>
              </m:oMath>
            </m:oMathPara>
          </w:p>
        </w:tc>
        <w:tc>
          <w:p w14:paraId="522988DB">
            <w:pPr>
              <w:jc w:val="center"/>
            </w:pPr>
            <w:r>
              <w:t>7.50%</w:t>
            </w:r>
          </w:p>
        </w:tc>
      </w:tr>
      <w:tr w14:paraId="7BADCF98">
        <w:tblPrEx>
          <w:tblCellMar>
            <w:top w:w="0" w:type="dxa"/>
            <w:left w:w="108" w:type="dxa"/>
            <w:bottom w:w="0" w:type="dxa"/>
            <w:right w:w="108" w:type="dxa"/>
          </w:tblCellMar>
        </w:tblPrEx>
        <w:tc>
          <w:p w14:paraId="5E613D5D"/>
        </w:tc>
        <w:tc>
          <w:p w14:paraId="60D502DD"/>
        </w:tc>
        <w:tc>
          <w:p w14:paraId="317A2044"/>
        </w:tc>
        <w:tc>
          <w:p w14:paraId="3A7840BE">
            <w:pPr>
              <w:jc w:val="center"/>
            </w:pPr>
            <m:oMathPara>
              <m:oMath>
                <m:r>
                  <m:rPr/>
                  <m:t>3.08</m:t>
                </m:r>
                <m:r>
                  <m:rPr>
                    <m:sty m:val="p"/>
                  </m:rPr>
                  <m:t>×</m:t>
                </m:r>
                <m:sSup>
                  <m:sSupPr/>
                  <m:e>
                    <m:r>
                      <m:rPr/>
                      <m:t>10</m:t>
                    </m:r>
                  </m:e>
                  <m:sup>
                    <m:r>
                      <m:rPr>
                        <m:sty m:val="p"/>
                      </m:rPr>
                      <m:t>−</m:t>
                    </m:r>
                    <m:r>
                      <m:rPr/>
                      <m:t>12</m:t>
                    </m:r>
                  </m:sup>
                </m:sSup>
              </m:oMath>
            </m:oMathPara>
          </w:p>
        </w:tc>
        <w:tc>
          <w:p w14:paraId="03B22F34">
            <w:pPr>
              <w:jc w:val="center"/>
            </w:pPr>
            <w:r>
              <w:t>7.50%</w:t>
            </w:r>
          </w:p>
        </w:tc>
      </w:tr>
      <w:tr w14:paraId="5227870C">
        <w:tblPrEx>
          <w:tblCellMar>
            <w:top w:w="0" w:type="dxa"/>
            <w:left w:w="108" w:type="dxa"/>
            <w:bottom w:w="0" w:type="dxa"/>
            <w:right w:w="108" w:type="dxa"/>
          </w:tblCellMar>
        </w:tblPrEx>
        <w:tc>
          <w:p w14:paraId="627ED321"/>
        </w:tc>
        <w:tc>
          <w:p w14:paraId="2ED592EF"/>
        </w:tc>
        <w:tc>
          <w:p w14:paraId="53E97ADA"/>
        </w:tc>
        <w:tc>
          <w:p w14:paraId="683200C5">
            <w:pPr>
              <w:jc w:val="center"/>
            </w:pPr>
            <m:oMathPara>
              <m:oMath>
                <m:r>
                  <m:rPr/>
                  <m:t>3.62</m:t>
                </m:r>
                <m:r>
                  <m:rPr>
                    <m:sty m:val="p"/>
                  </m:rPr>
                  <m:t>×</m:t>
                </m:r>
                <m:sSup>
                  <m:sSupPr/>
                  <m:e>
                    <m:r>
                      <m:rPr/>
                      <m:t>10</m:t>
                    </m:r>
                  </m:e>
                  <m:sup>
                    <m:r>
                      <m:rPr>
                        <m:sty m:val="p"/>
                      </m:rPr>
                      <m:t>−</m:t>
                    </m:r>
                    <m:r>
                      <m:rPr/>
                      <m:t>12</m:t>
                    </m:r>
                  </m:sup>
                </m:sSup>
              </m:oMath>
            </m:oMathPara>
          </w:p>
        </w:tc>
        <w:tc>
          <w:p w14:paraId="41D0B8C3">
            <w:pPr>
              <w:jc w:val="center"/>
            </w:pPr>
            <w:r>
              <w:t>8.50%</w:t>
            </w:r>
          </w:p>
        </w:tc>
      </w:tr>
    </w:tbl>
    <w:p w14:paraId="28B78694">
      <w:r>
        <w:rPr>
          <w:rFonts w:hint="eastAsia"/>
        </w:rPr>
        <w:t>结果显示，在1.6</w:t>
      </w:r>
      <w:r>
        <w:t xml:space="preserve"> </w:t>
      </w:r>
      <w:r>
        <w:rPr>
          <w:rFonts w:hint="eastAsia"/>
        </w:rPr>
        <w:t>GHz配置下，系统能够对2</w:t>
      </w:r>
      <w:r>
        <w:t xml:space="preserve"> </w:t>
      </w:r>
      <w:r>
        <w:rPr>
          <w:rFonts w:hint="eastAsia"/>
        </w:rPr>
        <w:t>mm位移对应的约6.67</w:t>
      </w:r>
      <w:r>
        <w:t xml:space="preserve"> </w:t>
      </w:r>
      <w:r>
        <w:rPr>
          <w:rFonts w:hint="eastAsia"/>
        </w:rPr>
        <w:t>ps时延增量进行稳定分辨；当带宽扩展至3</w:t>
      </w:r>
      <w:r>
        <w:t xml:space="preserve"> </w:t>
      </w:r>
      <w:r>
        <w:rPr>
          <w:rFonts w:hint="eastAsia"/>
        </w:rPr>
        <w:t>GHz后，1</w:t>
      </w:r>
      <w:r>
        <w:t xml:space="preserve"> </w:t>
      </w:r>
      <w:r>
        <w:rPr>
          <w:rFonts w:hint="eastAsia"/>
        </w:rPr>
        <w:t>mm位移对应的约3.33</w:t>
      </w:r>
      <w:r>
        <w:t xml:space="preserve"> </w:t>
      </w:r>
      <w:r>
        <w:rPr>
          <w:rFonts w:hint="eastAsia"/>
        </w:rPr>
        <w:t>ps理论时延增量也能够被稳定测得，五次重复测量的平均偏差约为6.26%。这表明扩频体制显著改善了系统的微小时延分辨能力。若按前述等离子体传输口径进行量级换算，3.33</w:t>
      </w:r>
      <w:r>
        <w:t xml:space="preserve"> </w:t>
      </w:r>
      <w:r>
        <w:rPr>
          <w:rFonts w:hint="eastAsia"/>
        </w:rPr>
        <w:t>ps的分辨精度对应的电子密度检出下限可扩展至</w:t>
      </w:r>
      <m:oMath>
        <m:r>
          <m:rPr/>
          <m:t>1.24</m:t>
        </m:r>
        <m:r>
          <m:rPr>
            <m:sty m:val="p"/>
          </m:rPr>
          <m:t>×</m:t>
        </m:r>
        <m:sSup>
          <m:sSupPr/>
          <m:e>
            <m:r>
              <m:rPr/>
              <m:t>10</m:t>
            </m:r>
          </m:e>
          <m:sup>
            <m:r>
              <m:rPr/>
              <m:t>17</m:t>
            </m:r>
          </m:sup>
        </m:sSup>
      </m:oMath>
      <w:r>
        <w:t xml:space="preserve"> m</w:t>
      </w:r>
      <m:oMath>
        <m:sSup>
          <m:sSupPr/>
          <m:e>
            <m:r>
              <m:rPr/>
              <m:t>​</m:t>
            </m:r>
          </m:e>
          <m:sup>
            <m:r>
              <m:rPr>
                <m:sty m:val="p"/>
              </m:rPr>
              <m:t>−</m:t>
            </m:r>
            <m:r>
              <m:rPr/>
              <m:t>3</m:t>
            </m:r>
          </m:sup>
        </m:sSup>
      </m:oMath>
      <w:r>
        <w:t>。</w:t>
      </w:r>
    </w:p>
    <w:p w14:paraId="6C8F3FAD">
      <w:r>
        <w:rPr>
          <w:rFonts w:hint="eastAsia"/>
        </w:rPr>
        <w:t>上述空间位移标定结果说明，在自由空间单轴测量条件下，所构建的宽带超外差接收链路能够实现皮秒量级时延变化的可分辨，为后续等效色散靶标中的时延轨迹提取提供了必要的硬件基础。</w:t>
      </w:r>
    </w:p>
    <w:bookmarkEnd w:id="96"/>
    <w:bookmarkEnd w:id="99"/>
    <w:p w14:paraId="52733CC8">
      <w:pPr>
        <w:pStyle w:val="3"/>
      </w:pPr>
      <w:bookmarkStart w:id="100" w:name="微波带通滤波器的色散物理等效机理"/>
      <w:r>
        <w:rPr>
          <w:rFonts w:hint="eastAsia"/>
        </w:rPr>
        <w:t>微波带通滤波器的色散物理等效机理</w:t>
      </w:r>
    </w:p>
    <w:p w14:paraId="058C0A80">
      <w:r>
        <w:rPr>
          <w:rFonts w:hint="eastAsia"/>
        </w:rPr>
        <w:t>5.2节的标定表明，LFMCW系统在非色散环境下已具备皮秒级时延分辨能力。下一步不再直接进入真实等离子体实验，而是先引入一个色散函数形式已知、响应真值可稳定获得的受控载体，用于验证第五章的方法链路能否可靠提取时延轨迹特征，并检验这些特征在已知正向模型条件下是否足以支撑后续参数估计。基于这一目的，本文选用微波带通滤波器作为等效验证载体，其中心频率、绝对带宽和原型阶数等设计参数明确，</w:t>
      </w:r>
      <m:oMath>
        <m:r>
          <m:rPr/>
          <m:t>S</m:t>
        </m:r>
      </m:oMath>
      <w:r>
        <w:rPr>
          <w:rFonts w:hint="eastAsia"/>
        </w:rPr>
        <w:t>参数与群时延可通过仿真稳定导出，适合构造受控色散场景并提供真值参考。</w:t>
      </w:r>
    </w:p>
    <w:p w14:paraId="447206F5">
      <w:pPr>
        <w:pStyle w:val="4"/>
      </w:pPr>
      <w:bookmarkStart w:id="101" w:name="滤波器色散演化与等离子体截止谐振的物理同构性"/>
      <w:r>
        <w:rPr>
          <w:rFonts w:hint="eastAsia"/>
        </w:rPr>
        <w:t>滤波器色散演化与等离子体截止谐振的物理同构性</w:t>
      </w:r>
    </w:p>
    <w:p w14:paraId="527389AA">
      <w:r>
        <w:rPr>
          <w:rFonts w:hint="eastAsia"/>
        </w:rPr>
        <w:t>色散介质中群时延的显著变化通常集中在特征频率附近。对于Drude等离子体，第三章已给出其相对群时延与截止频率</w:t>
      </w:r>
      <m:oMath>
        <m:sSub>
          <m:sSubPr/>
          <m:e>
            <m:r>
              <m:rPr/>
              <m:t>f</m:t>
            </m:r>
          </m:e>
          <m:sub>
            <m:r>
              <m:rPr/>
              <m:t>p</m:t>
            </m:r>
          </m:sub>
        </m:sSub>
      </m:oMath>
      <w:r>
        <w:rPr>
          <w:rFonts w:hint="eastAsia"/>
        </w:rPr>
        <w:t>之间的关系：</w:t>
      </w:r>
    </w:p>
    <w:p w14:paraId="588C3FC1">
      <w:r>
        <w:t xml:space="preserve"> </w:t>
      </w:r>
    </w:p>
    <w:p w14:paraId="4B35A2FA">
      <w:pPr>
        <w:pStyle w:val="44"/>
        <w:spacing w:before="0" w:after="0" w:line="400" w:lineRule="atLeast"/>
      </w:pPr>
      <w:r>
        <w:tab/>
      </w:r>
      <m:oMath>
        <m:r>
          <m:rPr>
            <m:sty m:val="p"/>
          </m:rPr>
          <m:t>Δ</m:t>
        </m:r>
        <m:sSub>
          <m:sSubPr/>
          <m:e>
            <m:r>
              <m:rPr/>
              <m:t>τ</m:t>
            </m:r>
          </m:e>
          <m:sub>
            <m:r>
              <m:rPr/>
              <m:t>g</m:t>
            </m:r>
          </m:sub>
        </m:sSub>
        <m:r>
          <m:rPr>
            <m:sty m:val="p"/>
          </m:rPr>
          <m:t>(</m:t>
        </m:r>
        <m:r>
          <m:rPr/>
          <m:t>f</m:t>
        </m:r>
        <m:r>
          <m:rPr>
            <m:sty m:val="p"/>
          </m:rPr>
          <m:t>)=</m:t>
        </m:r>
        <m:f>
          <m:fPr/>
          <m:num>
            <m:r>
              <m:rPr/>
              <m:t>d</m:t>
            </m:r>
          </m:num>
          <m:den>
            <m:r>
              <m:rPr/>
              <m:t>c</m:t>
            </m:r>
          </m:den>
        </m:f>
        <m:d>
          <m:dPr>
            <m:sepChr m:val=""/>
          </m:dPr>
          <m:e>
            <m:f>
              <m:fPr/>
              <m:num>
                <m:r>
                  <m:rPr/>
                  <m:t>1</m:t>
                </m:r>
              </m:num>
              <m:den>
                <m:rad>
                  <m:radPr>
                    <m:degHide m:val="1"/>
                  </m:radPr>
                  <m:deg/>
                  <m:e>
                    <m:r>
                      <m:rPr/>
                      <m:t>1</m:t>
                    </m:r>
                    <m:r>
                      <m:rPr>
                        <m:sty m:val="p"/>
                      </m:rPr>
                      <m:t>−(</m:t>
                    </m:r>
                    <m:sSub>
                      <m:sSubPr/>
                      <m:e>
                        <m:r>
                          <m:rPr/>
                          <m:t>f</m:t>
                        </m:r>
                      </m:e>
                      <m:sub>
                        <m:r>
                          <m:rPr/>
                          <m:t>p</m:t>
                        </m:r>
                      </m:sub>
                    </m:sSub>
                    <m:r>
                      <m:rPr>
                        <m:sty m:val="p"/>
                      </m:rPr>
                      <m:t>/</m:t>
                    </m:r>
                    <m:r>
                      <m:rPr/>
                      <m:t>f</m:t>
                    </m:r>
                    <m:sSup>
                      <m:sSupPr/>
                      <m:e>
                        <m:r>
                          <m:rPr>
                            <m:sty m:val="p"/>
                          </m:rPr>
                          <m:t>)</m:t>
                        </m:r>
                      </m:e>
                      <m:sup>
                        <m:r>
                          <m:rPr/>
                          <m:t>2</m:t>
                        </m:r>
                      </m:sup>
                    </m:sSup>
                  </m:e>
                </m:rad>
              </m:den>
            </m:f>
            <m:r>
              <m:rPr>
                <m:sty m:val="p"/>
              </m:rPr>
              <m:t>−</m:t>
            </m:r>
            <m:r>
              <m:rPr/>
              <m:t>1</m:t>
            </m:r>
          </m:e>
        </m:d>
        <m:r>
          <m:rPr>
            <m:sty m:val="p"/>
          </m:rPr>
          <m:t>,</m:t>
        </m:r>
        <m:r>
          <m:rPr/>
          <m:t>f</m:t>
        </m:r>
        <m:r>
          <m:rPr>
            <m:sty m:val="p"/>
          </m:rPr>
          <m:t>&gt;</m:t>
        </m:r>
        <m:sSub>
          <m:sSubPr/>
          <m:e>
            <m:r>
              <m:rPr/>
              <m:t>f</m:t>
            </m:r>
          </m:e>
          <m:sub>
            <m:r>
              <m:rPr/>
              <m:t>p</m:t>
            </m:r>
          </m:sub>
        </m:sSub>
      </m:oMath>
      <w:r>
        <w:tab/>
      </w:r>
      <w:r>
        <w:t>(5</w:t>
      </w:r>
      <w:r>
        <w:noBreakHyphen/>
      </w:r>
      <w:r>
        <w:t>4)</w:t>
      </w:r>
    </w:p>
    <w:p w14:paraId="7CDFF646">
      <w:r>
        <w:t xml:space="preserve"> </w:t>
      </w:r>
    </w:p>
    <w:p w14:paraId="7CDECA86">
      <w:r>
        <w:rPr>
          <w:rFonts w:hint="eastAsia"/>
        </w:rPr>
        <w:t>当</w:t>
      </w:r>
      <m:oMath>
        <m:r>
          <m:rPr/>
          <m:t>f</m:t>
        </m:r>
      </m:oMath>
      <w:r>
        <w:rPr>
          <w:rFonts w:hint="eastAsia"/>
        </w:rPr>
        <w:t>从高频端逼近</w:t>
      </w:r>
      <m:oMath>
        <m:sSub>
          <m:sSubPr/>
          <m:e>
            <m:r>
              <m:rPr/>
              <m:t>f</m:t>
            </m:r>
          </m:e>
          <m:sub>
            <m:r>
              <m:rPr/>
              <m:t>p</m:t>
            </m:r>
          </m:sub>
        </m:sSub>
      </m:oMath>
      <w:r>
        <w:rPr>
          <w:rFonts w:hint="eastAsia"/>
        </w:rPr>
        <w:t>时，群时延迅速增大，说明截止频率附近是色散信息最集中的区域。</w:t>
      </w:r>
    </w:p>
    <w:p w14:paraId="25980719">
      <w:r>
        <w:rPr>
          <w:rFonts w:hint="eastAsia"/>
        </w:rPr>
        <w:t>带通滤波器虽然不具备等离子体的单边截止结构，但在通带上下边缘同样存在由”可通过”向”被抑制”的快速过渡。对于中心频率为</w:t>
      </w:r>
      <m:oMath>
        <m:sSub>
          <m:sSubPr/>
          <m:e>
            <m:r>
              <m:rPr/>
              <m:t>F</m:t>
            </m:r>
          </m:e>
          <m:sub>
            <m:r>
              <m:rPr/>
              <m:t>0</m:t>
            </m:r>
          </m:sub>
        </m:sSub>
      </m:oMath>
      <w:r>
        <w:rPr>
          <w:rFonts w:hint="eastAsia"/>
        </w:rPr>
        <w:t>、绝对带宽为</w:t>
      </w:r>
      <m:oMath>
        <m:r>
          <m:rPr/>
          <m:t>BW</m:t>
        </m:r>
      </m:oMath>
      <w:r>
        <w:rPr>
          <w:rFonts w:hint="eastAsia"/>
        </w:rPr>
        <w:t>的滤波器，其上下边缘</w:t>
      </w:r>
      <m:oMath>
        <m:sSub>
          <m:sSubPr/>
          <m:e>
            <m:r>
              <m:rPr/>
              <m:t>f</m:t>
            </m:r>
          </m:e>
          <m:sub>
            <m:r>
              <m:rPr/>
              <m:t>L</m:t>
            </m:r>
          </m:sub>
        </m:sSub>
        <m:r>
          <m:rPr>
            <m:sty m:val="p"/>
          </m:rPr>
          <m:t>=</m:t>
        </m:r>
        <m:sSub>
          <m:sSubPr/>
          <m:e>
            <m:r>
              <m:rPr/>
              <m:t>F</m:t>
            </m:r>
          </m:e>
          <m:sub>
            <m:r>
              <m:rPr/>
              <m:t>0</m:t>
            </m:r>
          </m:sub>
        </m:sSub>
        <m:r>
          <m:rPr>
            <m:sty m:val="p"/>
          </m:rPr>
          <m:t>−</m:t>
        </m:r>
        <m:r>
          <m:rPr/>
          <m:t>BW</m:t>
        </m:r>
        <m:r>
          <m:rPr>
            <m:sty m:val="p"/>
          </m:rPr>
          <m:t>/</m:t>
        </m:r>
        <m:r>
          <m:rPr/>
          <m:t>2</m:t>
        </m:r>
      </m:oMath>
      <w:r>
        <w:rPr>
          <w:rFonts w:hint="eastAsia"/>
        </w:rPr>
        <w:t>和</w:t>
      </w:r>
      <m:oMath>
        <m:sSub>
          <m:sSubPr/>
          <m:e>
            <m:r>
              <m:rPr/>
              <m:t>f</m:t>
            </m:r>
          </m:e>
          <m:sub>
            <m:r>
              <m:rPr/>
              <m:t>H</m:t>
            </m:r>
          </m:sub>
        </m:sSub>
        <m:r>
          <m:rPr>
            <m:sty m:val="p"/>
          </m:rPr>
          <m:t>=</m:t>
        </m:r>
        <m:sSub>
          <m:sSubPr/>
          <m:e>
            <m:r>
              <m:rPr/>
              <m:t>F</m:t>
            </m:r>
          </m:e>
          <m:sub>
            <m:r>
              <m:rPr/>
              <m:t>0</m:t>
            </m:r>
          </m:sub>
        </m:sSub>
        <m:r>
          <m:rPr>
            <m:sty m:val="p"/>
          </m:rPr>
          <m:t>+</m:t>
        </m:r>
        <m:r>
          <m:rPr/>
          <m:t>BW</m:t>
        </m:r>
        <m:r>
          <m:rPr>
            <m:sty m:val="p"/>
          </m:rPr>
          <m:t>/</m:t>
        </m:r>
        <m:r>
          <m:rPr/>
          <m:t>2</m:t>
        </m:r>
      </m:oMath>
      <w:r>
        <w:rPr>
          <w:rFonts w:hint="eastAsia"/>
        </w:rPr>
        <w:t>附近都会出现相位快速变化，从而在群时延曲线上形成明显峰值。就局部观测特征而言，这种边缘色散响应与等离子体在截止频率附近的强色散行为具有相似性。</w:t>
      </w:r>
    </w:p>
    <w:p w14:paraId="5C1F4478">
      <w:r>
        <w:rPr>
          <w:rFonts w:hint="eastAsia"/>
        </w:rPr>
        <w:t>因此，在本章的等效验证中，重点并不在于滤波器与等离子体在全局曲线形态上完全一致，而在于二者都能在特征频率附近产生显著的群时延轨迹，并由少数主导参数控制其主要拓扑结构。滤波器的工程优势在于：其响应真值可由仿真或网络测量稳定获得，结构参数明确，且不受等离子体瞬态波动影响，适合作为受控的色散验证载体。</w:t>
      </w:r>
    </w:p>
    <w:bookmarkEnd w:id="101"/>
    <w:p w14:paraId="2D827506">
      <w:pPr>
        <w:pStyle w:val="4"/>
      </w:pPr>
      <w:bookmarkStart w:id="102" w:name="基于切比雪夫传递函数的群时延正向理论模型构建"/>
      <w:r>
        <w:rPr>
          <w:rFonts w:hint="eastAsia"/>
        </w:rPr>
        <w:t>基于切比雪夫传递函数的群时延正向理论模型构建</w:t>
      </w:r>
    </w:p>
    <w:p w14:paraId="02ED6641">
      <w:r>
        <w:rPr>
          <w:rFonts w:hint="eastAsia"/>
        </w:rPr>
        <w:t>为检验提取得到的时延特征散点是否具备足够的信息承载能力，需要预先建立与目标滤波器结构相对应的正向群时延模型。本文选用经典切比雪夫（Chebyshev）Type-I带通滤波器作为等效解析靶标，其群时延曲线主要由中心频率</w:t>
      </w:r>
      <m:oMath>
        <m:sSub>
          <m:sSubPr/>
          <m:e>
            <m:r>
              <m:rPr/>
              <m:t>F</m:t>
            </m:r>
          </m:e>
          <m:sub>
            <m:r>
              <m:rPr/>
              <m:t>0</m:t>
            </m:r>
          </m:sub>
        </m:sSub>
      </m:oMath>
      <w:r>
        <w:rPr>
          <w:rFonts w:hint="eastAsia"/>
        </w:rPr>
        <w:t>、绝对带宽</w:t>
      </w:r>
      <m:oMath>
        <m:r>
          <m:rPr/>
          <m:t>BW</m:t>
        </m:r>
      </m:oMath>
      <w:r>
        <w:rPr>
          <w:rFonts w:hint="eastAsia"/>
        </w:rPr>
        <w:t>、原型阶数</w:t>
      </w:r>
      <m:oMath>
        <m:r>
          <m:rPr/>
          <m:t>N</m:t>
        </m:r>
      </m:oMath>
      <w:r>
        <w:rPr>
          <w:rFonts w:hint="eastAsia"/>
        </w:rPr>
        <w:t>以及通带纹波</w:t>
      </w:r>
      <m:oMath>
        <m:sSub>
          <m:sSubPr/>
          <m:e>
            <m:r>
              <m:rPr/>
              <m:t>R</m:t>
            </m:r>
          </m:e>
          <m:sub>
            <m:r>
              <m:rPr/>
              <m:t>p</m:t>
            </m:r>
          </m:sub>
        </m:sSub>
      </m:oMath>
      <w:r>
        <w:rPr>
          <w:rFonts w:hint="eastAsia"/>
        </w:rPr>
        <w:t>等参数决定。</w:t>
      </w:r>
    </w:p>
    <w:p w14:paraId="2169C66E">
      <w:r>
        <w:rPr>
          <w:rFonts w:hint="eastAsia"/>
        </w:rPr>
        <w:t>在微波网络理论中，群时延定义为传输相位对角频率导数的负值，即</w:t>
      </w:r>
      <m:oMath>
        <m:sSub>
          <m:sSubPr/>
          <m:e>
            <m:r>
              <m:rPr/>
              <m:t>τ</m:t>
            </m:r>
          </m:e>
          <m:sub>
            <m:r>
              <m:rPr/>
              <m:t>g</m:t>
            </m:r>
          </m:sub>
        </m:sSub>
        <m:r>
          <m:rPr>
            <m:sty m:val="p"/>
          </m:rPr>
          <m:t>(</m:t>
        </m:r>
        <m:r>
          <m:rPr/>
          <m:t>ω</m:t>
        </m:r>
        <m:r>
          <m:rPr>
            <m:sty m:val="p"/>
          </m:rPr>
          <m:t>)=−</m:t>
        </m:r>
        <m:r>
          <m:rPr/>
          <m:t>dϕ</m:t>
        </m:r>
        <m:r>
          <m:rPr>
            <m:sty m:val="p"/>
          </m:rPr>
          <m:t>(</m:t>
        </m:r>
        <m:r>
          <m:rPr/>
          <m:t>ω</m:t>
        </m:r>
        <m:r>
          <m:rPr>
            <m:sty m:val="p"/>
          </m:rPr>
          <m:t>)/</m:t>
        </m:r>
        <m:r>
          <m:rPr/>
          <m:t>dω</m:t>
        </m:r>
      </m:oMath>
      <w:r>
        <w:rPr>
          <w:rFonts w:hint="eastAsia"/>
        </w:rPr>
        <w:t>。对于N阶切比雪夫滤波器，其低通原型到带通结构的频率映射以及复传递函数构建均属于标准过程，本文不再展开基础推导，仅保留数值实现后的群时延模型</w:t>
      </w:r>
      <m:oMath>
        <m:sSubSup>
          <m:sSubSupPr/>
          <m:e>
            <m:r>
              <m:rPr/>
              <m:t>τ</m:t>
            </m:r>
          </m:e>
          <m:sub>
            <m:r>
              <m:rPr/>
              <m:t>g</m:t>
            </m:r>
          </m:sub>
          <m:sup>
            <m:r>
              <m:rPr/>
              <m:t>theory</m:t>
            </m:r>
          </m:sup>
        </m:sSubSup>
        <m:r>
          <m:rPr>
            <m:sty m:val="p"/>
          </m:rPr>
          <m:t>(</m:t>
        </m:r>
        <m:r>
          <m:rPr/>
          <m:t>f</m:t>
        </m:r>
        <m:r>
          <m:rPr>
            <m:sty m:val="p"/>
          </m:rPr>
          <m:t>;</m:t>
        </m:r>
        <m:sSub>
          <m:sSubPr/>
          <m:e>
            <m:r>
              <m:rPr/>
              <m:t>F</m:t>
            </m:r>
          </m:e>
          <m:sub>
            <m:r>
              <m:rPr/>
              <m:t>0</m:t>
            </m:r>
          </m:sub>
        </m:sSub>
        <m:r>
          <m:rPr>
            <m:sty m:val="p"/>
          </m:rPr>
          <m:t>,</m:t>
        </m:r>
        <m:r>
          <m:rPr/>
          <m:t>BW</m:t>
        </m:r>
        <m:r>
          <m:rPr>
            <m:sty m:val="p"/>
          </m:rPr>
          <m:t>,</m:t>
        </m:r>
        <m:r>
          <m:rPr/>
          <m:t>N</m:t>
        </m:r>
        <m:r>
          <m:rPr>
            <m:sty m:val="p"/>
          </m:rPr>
          <m:t>,</m:t>
        </m:r>
        <m:sSub>
          <m:sSubPr/>
          <m:e>
            <m:r>
              <m:rPr/>
              <m:t>R</m:t>
            </m:r>
          </m:e>
          <m:sub>
            <m:r>
              <m:rPr/>
              <m:t>p</m:t>
            </m:r>
          </m:sub>
        </m:sSub>
        <m:r>
          <m:rPr>
            <m:sty m:val="p"/>
          </m:rPr>
          <m:t>)</m:t>
        </m:r>
      </m:oMath>
      <w:r>
        <w:rPr>
          <w:rFonts w:hint="eastAsia"/>
        </w:rPr>
        <w:t>，作为后续验证中的理论真值。</w:t>
      </w:r>
    </w:p>
    <w:p w14:paraId="1EA795A6">
      <w:r>
        <w:rPr>
          <w:rFonts w:hint="eastAsia"/>
        </w:rPr>
        <w:t>在标称参数</w:t>
      </w:r>
      <m:oMath>
        <m:r>
          <m:rPr>
            <m:sty m:val="p"/>
          </m:rPr>
          <m:t>(</m:t>
        </m:r>
        <m:sSub>
          <m:sSubPr/>
          <m:e>
            <m:r>
              <m:rPr/>
              <m:t>F</m:t>
            </m:r>
          </m:e>
          <m:sub>
            <m:r>
              <m:rPr/>
              <m:t>0</m:t>
            </m:r>
          </m:sub>
        </m:sSub>
        <m:r>
          <m:rPr>
            <m:sty m:val="p"/>
          </m:rPr>
          <m:t>=</m:t>
        </m:r>
        <m:r>
          <m:rPr/>
          <m:t>37</m:t>
        </m:r>
      </m:oMath>
      <w:r>
        <w:t xml:space="preserve"> </w:t>
      </w:r>
      <w:r>
        <w:rPr>
          <w:rFonts w:hint="eastAsia"/>
        </w:rPr>
        <w:t>GHz，</w:t>
      </w:r>
      <m:oMath>
        <m:r>
          <m:rPr/>
          <m:t>BW</m:t>
        </m:r>
        <m:r>
          <m:rPr>
            <m:sty m:val="p"/>
          </m:rPr>
          <m:t>=</m:t>
        </m:r>
        <m:r>
          <m:rPr/>
          <m:t>1</m:t>
        </m:r>
      </m:oMath>
      <w:r>
        <w:t xml:space="preserve"> </w:t>
      </w:r>
      <w:r>
        <w:rPr>
          <w:rFonts w:hint="eastAsia"/>
        </w:rPr>
        <w:t>GHz，</w:t>
      </w:r>
      <m:oMath>
        <m:r>
          <m:rPr/>
          <m:t>N</m:t>
        </m:r>
        <m:r>
          <m:rPr>
            <m:sty m:val="p"/>
          </m:rPr>
          <m:t>=</m:t>
        </m:r>
        <m:r>
          <m:rPr/>
          <m:t>5</m:t>
        </m:r>
      </m:oMath>
      <w:r>
        <w:rPr>
          <w:rFonts w:hint="eastAsia"/>
        </w:rPr>
        <w:t>，</w:t>
      </w:r>
      <m:oMath>
        <m:sSub>
          <m:sSubPr/>
          <m:e>
            <m:r>
              <m:rPr/>
              <m:t>R</m:t>
            </m:r>
          </m:e>
          <m:sub>
            <m:r>
              <m:rPr/>
              <m:t>p</m:t>
            </m:r>
          </m:sub>
        </m:sSub>
        <m:r>
          <m:rPr>
            <m:sty m:val="p"/>
          </m:rPr>
          <m:t>=</m:t>
        </m:r>
        <m:r>
          <m:rPr/>
          <m:t>0.5</m:t>
        </m:r>
      </m:oMath>
      <w:r>
        <w:t xml:space="preserve"> dB</w:t>
      </w:r>
      <m:oMath>
        <m:r>
          <m:rPr>
            <m:sty m:val="p"/>
          </m:rPr>
          <m:t>)</m:t>
        </m:r>
      </m:oMath>
      <w:r>
        <w:rPr>
          <w:rFonts w:hint="eastAsia"/>
        </w:rPr>
        <w:t>下，模型可产生典型的双峰群时延结构：通带上下边缘附近分别出现峰值，通带中央则形成较平坦的时延基线。该模型能够为后续的特征提取误差分析和参数一致性检查提供稳定的参考曲线。</w:t>
      </w:r>
    </w:p>
    <w:bookmarkEnd w:id="102"/>
    <w:p w14:paraId="3A4296BF">
      <w:pPr>
        <w:pStyle w:val="4"/>
      </w:pPr>
      <w:bookmarkStart w:id="103" w:name="前向物理模型参数敏感度分析"/>
      <w:r>
        <w:rPr>
          <w:rFonts w:hint="eastAsia"/>
        </w:rPr>
        <w:t>前向物理模型参数敏感度分析</w:t>
      </w:r>
    </w:p>
    <w:p w14:paraId="382F1F86">
      <w:r>
        <w:rPr>
          <w:rFonts w:hint="eastAsia"/>
        </w:rPr>
        <w:t>在建立正向模型后，还需分析各参数对群时延拓扑结构的控制作用，以判断哪些参数在后续拟合中具有较高可观测性。由于纹波深度</w:t>
      </w:r>
      <m:oMath>
        <m:sSub>
          <m:sSubPr/>
          <m:e>
            <m:r>
              <m:rPr/>
              <m:t>R</m:t>
            </m:r>
          </m:e>
          <m:sub>
            <m:r>
              <m:rPr/>
              <m:t>p</m:t>
            </m:r>
          </m:sub>
        </m:sSub>
      </m:oMath>
      <w:r>
        <w:rPr>
          <w:rFonts w:hint="eastAsia"/>
        </w:rPr>
        <w:t>较小，其主要影响通带内的细微波动，因此此处主要考察</w:t>
      </w:r>
      <m:oMath>
        <m:sSub>
          <m:sSubPr/>
          <m:e>
            <m:r>
              <m:rPr/>
              <m:t>F</m:t>
            </m:r>
          </m:e>
          <m:sub>
            <m:r>
              <m:rPr/>
              <m:t>0</m:t>
            </m:r>
          </m:sub>
        </m:sSub>
      </m:oMath>
      <w:r>
        <w:t>、</w:t>
      </w:r>
      <m:oMath>
        <m:r>
          <m:rPr/>
          <m:t>BW</m:t>
        </m:r>
      </m:oMath>
      <w:r>
        <w:rPr>
          <w:rFonts w:hint="eastAsia"/>
        </w:rPr>
        <w:t>和</w:t>
      </w:r>
      <m:oMath>
        <m:r>
          <m:rPr/>
          <m:t>N</m:t>
        </m:r>
      </m:oMath>
      <w:r>
        <w:rPr>
          <w:rFonts w:hint="eastAsia"/>
        </w:rPr>
        <w:t>三项。</w:t>
      </w:r>
    </w:p>
    <w:p w14:paraId="6478F3B8">
      <w:r>
        <w:rPr>
          <w:rFonts w:hint="eastAsia"/>
        </w:rPr>
        <w:t>以基准参数</w:t>
      </w:r>
      <m:oMath>
        <m:sSub>
          <m:sSubPr/>
          <m:e>
            <m:r>
              <m:rPr/>
              <m:t>F</m:t>
            </m:r>
          </m:e>
          <m:sub>
            <m:r>
              <m:rPr/>
              <m:t>0</m:t>
            </m:r>
          </m:sub>
        </m:sSub>
        <m:r>
          <m:rPr>
            <m:sty m:val="p"/>
          </m:rPr>
          <m:t>=</m:t>
        </m:r>
        <m:r>
          <m:rPr/>
          <m:t>37</m:t>
        </m:r>
      </m:oMath>
      <w:r>
        <w:t xml:space="preserve"> GHz、</w:t>
      </w:r>
      <m:oMath>
        <m:r>
          <m:rPr/>
          <m:t>BW</m:t>
        </m:r>
        <m:r>
          <m:rPr>
            <m:sty m:val="p"/>
          </m:rPr>
          <m:t>=</m:t>
        </m:r>
        <m:r>
          <m:rPr/>
          <m:t>1</m:t>
        </m:r>
      </m:oMath>
      <w:r>
        <w:t xml:space="preserve"> GHz、</w:t>
      </w:r>
      <m:oMath>
        <m:r>
          <m:rPr/>
          <m:t>N</m:t>
        </m:r>
        <m:r>
          <m:rPr>
            <m:sty m:val="p"/>
          </m:rPr>
          <m:t>=</m:t>
        </m:r>
        <m:r>
          <m:rPr/>
          <m:t>5</m:t>
        </m:r>
      </m:oMath>
      <w:r>
        <w:rPr>
          <w:rFonts w:hint="eastAsia"/>
        </w:rPr>
        <w:t>为例，图5-3展示了群时延曲线随不同参数变化的定性演化结果。结果表明：中心频率</w:t>
      </w:r>
      <m:oMath>
        <m:sSub>
          <m:sSubPr/>
          <m:e>
            <m:r>
              <m:rPr/>
              <m:t>F</m:t>
            </m:r>
          </m:e>
          <m:sub>
            <m:r>
              <m:rPr/>
              <m:t>0</m:t>
            </m:r>
          </m:sub>
        </m:sSub>
      </m:oMath>
      <w:r>
        <w:rPr>
          <w:rFonts w:hint="eastAsia"/>
        </w:rPr>
        <w:t>主要控制双峰在频率轴上的整体位置；带宽</w:t>
      </w:r>
      <m:oMath>
        <m:r>
          <m:rPr/>
          <m:t>BW</m:t>
        </m:r>
      </m:oMath>
      <w:r>
        <w:rPr>
          <w:rFonts w:hint="eastAsia"/>
        </w:rPr>
        <w:t>主要控制双峰间距及峰值结构的横向展开范围；而阶数</w:t>
      </w:r>
      <m:oMath>
        <m:r>
          <m:rPr/>
          <m:t>N</m:t>
        </m:r>
      </m:oMath>
      <w:r>
        <w:rPr>
          <w:rFonts w:hint="eastAsia"/>
        </w:rPr>
        <w:t>更多影响边缘陡度和局部纹波细节。</w:t>
      </w:r>
    </w:p>
    <w:p w14:paraId="6990D5DF">
      <w:r>
        <w:rPr>
          <w:rFonts w:hint="eastAsia"/>
        </w:rPr>
        <w:t>因此，从可观测性角度看，群时延主拓扑对</w:t>
      </w:r>
      <m:oMath>
        <m:sSub>
          <m:sSubPr/>
          <m:e>
            <m:r>
              <m:rPr/>
              <m:t>F</m:t>
            </m:r>
          </m:e>
          <m:sub>
            <m:r>
              <m:rPr/>
              <m:t>0</m:t>
            </m:r>
          </m:sub>
        </m:sSub>
      </m:oMath>
      <w:r>
        <w:rPr>
          <w:rFonts w:hint="eastAsia"/>
        </w:rPr>
        <w:t>和</w:t>
      </w:r>
      <m:oMath>
        <m:r>
          <m:rPr/>
          <m:t>BW</m:t>
        </m:r>
      </m:oMath>
      <w:r>
        <w:rPr>
          <w:rFonts w:hint="eastAsia"/>
        </w:rPr>
        <w:t>最为敏感，而对</w:t>
      </w:r>
      <m:oMath>
        <m:r>
          <m:rPr/>
          <m:t>N</m:t>
        </m:r>
      </m:oMath>
      <w:r>
        <w:rPr>
          <w:rFonts w:hint="eastAsia"/>
        </w:rPr>
        <w:t>的响应相对较弱。基于这一点，后续一致性检查中固定</w:t>
      </w:r>
      <m:oMath>
        <m:r>
          <m:rPr/>
          <m:t>N</m:t>
        </m:r>
        <m:r>
          <m:rPr>
            <m:sty m:val="p"/>
          </m:rPr>
          <m:t>=</m:t>
        </m:r>
        <m:r>
          <m:rPr/>
          <m:t>5</m:t>
        </m:r>
      </m:oMath>
      <w:r>
        <w:rPr>
          <w:rFonts w:hint="eastAsia"/>
        </w:rPr>
        <w:t>，仅对决定主拓扑位置和尺度的</w:t>
      </w:r>
      <m:oMath>
        <m:sSub>
          <m:sSubPr/>
          <m:e>
            <m:r>
              <m:rPr/>
              <m:t>F</m:t>
            </m:r>
          </m:e>
          <m:sub>
            <m:r>
              <m:rPr/>
              <m:t>0</m:t>
            </m:r>
          </m:sub>
        </m:sSub>
      </m:oMath>
      <w:r>
        <w:rPr>
          <w:rFonts w:hint="eastAsia"/>
        </w:rPr>
        <w:t>与</w:t>
      </w:r>
      <m:oMath>
        <m:r>
          <m:rPr/>
          <m:t>BW</m:t>
        </m:r>
      </m:oMath>
      <w:r>
        <w:rPr>
          <w:rFonts w:hint="eastAsia"/>
        </w:rPr>
        <w:t>进行联合估计。</w:t>
      </w:r>
    </w:p>
    <w:bookmarkEnd w:id="100"/>
    <w:bookmarkEnd w:id="103"/>
    <w:p w14:paraId="20C5D1A5">
      <w:pPr>
        <w:pStyle w:val="3"/>
      </w:pPr>
      <w:bookmarkStart w:id="104" w:name="色散等效介质的时延轨迹提取与物理映射机理"/>
      <w:r>
        <w:rPr>
          <w:rFonts w:hint="eastAsia"/>
        </w:rPr>
        <w:t>色散等效介质的时延轨迹提取与物理映射机理</w:t>
      </w:r>
    </w:p>
    <w:p w14:paraId="7506422C">
      <w:r>
        <w:rPr>
          <w:rFonts w:hint="eastAsia"/>
        </w:rPr>
        <w:t>5.3节已经确立了微波带通滤波器作为等效验证载体的作用。本节将在此基础上检验两个核心问题：LFMCW差频信号中能否稳定提取色散介质的时延轨迹特征点，以及在正向模型已知的条件下，这些特征点是否足以驱动后续参数估计。只要这两个问题得到肯定回答，前文形成的特征提取与估计思路便可自洽地从滤波器场景泛化到Drude等离子体场景。</w:t>
      </w:r>
    </w:p>
    <w:p w14:paraId="16955226">
      <w:r>
        <w:rPr>
          <w:rFonts w:hint="eastAsia"/>
        </w:rPr>
        <w:t>围绕这一目标，本节主要完成以下论证：在ADS中搭建与前文硬件链路保持一致的全链路仿真平台，并通过去嵌入剥离系统固有延迟；建立从滑动窗口差频估计到频率-时延散点的物理映射关系，并结合物理约束完成数据清洗；在已知切比雪夫正向模型条件下进行MCMC一致性检查，评估散点集合的信息承载能力与后验收敛性。</w:t>
      </w:r>
    </w:p>
    <w:p w14:paraId="062B8981">
      <w:pPr>
        <w:pStyle w:val="4"/>
      </w:pPr>
      <w:bookmarkStart w:id="105" w:name="全链路联合仿真与色散基准去嵌入"/>
      <w:r>
        <w:rPr>
          <w:rFonts w:hint="eastAsia"/>
        </w:rPr>
        <w:t>全链路联合仿真与色散基准去嵌入</w:t>
      </w:r>
    </w:p>
    <w:p w14:paraId="339E9E4F">
      <w:r>
        <w:rPr>
          <w:rFonts w:hint="eastAsia"/>
        </w:rPr>
        <w:t>为在受控条件下复现5.2节硬件系统的工作方式，本文在ADS中建立了与实际射频前端相对应的电路级瞬态模型。信号流程包括基带扫频、初级变频、三级二倍频、二次上变频、功分以及自混频解调。仿真扫频范围设为</w:t>
      </w:r>
      <m:oMath>
        <m:sSub>
          <m:sSubPr/>
          <m:e>
            <m:r>
              <m:rPr/>
              <m:t>f</m:t>
            </m:r>
          </m:e>
          <m:sub>
            <m:r>
              <m:rPr/>
              <m:t>start</m:t>
            </m:r>
          </m:sub>
        </m:sSub>
        <m:r>
          <m:rPr>
            <m:sty m:val="p"/>
          </m:rPr>
          <m:t>=</m:t>
        </m:r>
        <m:r>
          <m:rPr/>
          <m:t>34.4</m:t>
        </m:r>
      </m:oMath>
      <w:r>
        <w:t xml:space="preserve"> </w:t>
      </w:r>
      <w:r>
        <w:rPr>
          <w:rFonts w:hint="eastAsia"/>
        </w:rPr>
        <w:t>GHz至</w:t>
      </w:r>
      <m:oMath>
        <m:sSub>
          <m:sSubPr/>
          <m:e>
            <m:r>
              <m:rPr/>
              <m:t>f</m:t>
            </m:r>
          </m:e>
          <m:sub>
            <m:r>
              <m:rPr/>
              <m:t>end</m:t>
            </m:r>
          </m:sub>
        </m:sSub>
        <m:r>
          <m:rPr>
            <m:sty m:val="p"/>
          </m:rPr>
          <m:t>=</m:t>
        </m:r>
        <m:r>
          <m:rPr/>
          <m:t>37.61</m:t>
        </m:r>
      </m:oMath>
      <w:r>
        <w:t xml:space="preserve"> </w:t>
      </w:r>
      <w:r>
        <w:rPr>
          <w:rFonts w:hint="eastAsia"/>
        </w:rPr>
        <w:t>GHz，工作频段覆盖目标滤波器的色散区间。瞬态仿真采用自适应变步长时间网格，最小步长5</w:t>
      </w:r>
      <w:r>
        <w:t xml:space="preserve"> </w:t>
      </w:r>
      <w:r>
        <w:rPr>
          <w:rFonts w:hint="eastAsia"/>
        </w:rPr>
        <w:t>fs，最大步长0.5</w:t>
      </w:r>
      <w:r>
        <w:t xml:space="preserve"> </w:t>
      </w:r>
      <w:r>
        <w:rPr>
          <w:rFonts w:hint="eastAsia"/>
        </w:rPr>
        <w:t>ps，总时长</w:t>
      </w:r>
      <m:oMath>
        <m:sSub>
          <m:sSubPr/>
          <m:e>
            <m:r>
              <m:rPr/>
              <m:t>T</m:t>
            </m:r>
          </m:e>
          <m:sub>
            <m:r>
              <m:rPr/>
              <m:t>stop</m:t>
            </m:r>
          </m:sub>
        </m:sSub>
        <m:r>
          <m:rPr>
            <m:sty m:val="p"/>
          </m:rPr>
          <m:t>=</m:t>
        </m:r>
        <m:r>
          <m:rPr/>
          <m:t>0.55 μ</m:t>
        </m:r>
      </m:oMath>
      <w:r>
        <w:rPr>
          <w:rFonts w:hint="eastAsia"/>
        </w:rPr>
        <w:t>s，以保证至少覆盖一个完整扫频周期。</w:t>
      </w:r>
    </w:p>
    <w:p w14:paraId="2656BEBD">
      <w:r>
        <w:rPr>
          <w:rFonts w:hint="eastAsia"/>
        </w:rPr>
        <w:t>目标色散介质选用5阶切比雪夫Type-I带通滤波器BPF11，其参数与5.3节正向模型保持一致：</w:t>
      </w:r>
      <m:oMath>
        <m:sSub>
          <m:sSubPr/>
          <m:e>
            <m:r>
              <m:rPr/>
              <m:t>F</m:t>
            </m:r>
          </m:e>
          <m:sub>
            <m:r>
              <m:rPr/>
              <m:t>0</m:t>
            </m:r>
          </m:sub>
        </m:sSub>
        <m:r>
          <m:rPr>
            <m:sty m:val="p"/>
          </m:rPr>
          <m:t>=</m:t>
        </m:r>
        <m:r>
          <m:rPr/>
          <m:t>37</m:t>
        </m:r>
      </m:oMath>
      <w:r>
        <w:t xml:space="preserve"> </w:t>
      </w:r>
      <w:r>
        <w:rPr>
          <w:rFonts w:hint="eastAsia"/>
        </w:rPr>
        <w:t>GHz，</w:t>
      </w:r>
      <m:oMath>
        <m:r>
          <m:rPr/>
          <m:t>BW</m:t>
        </m:r>
        <m:r>
          <m:rPr>
            <m:sty m:val="p"/>
          </m:rPr>
          <m:t>=</m:t>
        </m:r>
        <m:r>
          <m:rPr/>
          <m:t>1</m:t>
        </m:r>
      </m:oMath>
      <w:r>
        <w:t xml:space="preserve"> </w:t>
      </w:r>
      <w:r>
        <w:rPr>
          <w:rFonts w:hint="eastAsia"/>
        </w:rPr>
        <w:t>GHz，</w:t>
      </w:r>
      <m:oMath>
        <m:sSub>
          <m:sSubPr/>
          <m:e>
            <m:r>
              <m:rPr/>
              <m:t>R</m:t>
            </m:r>
          </m:e>
          <m:sub>
            <m:r>
              <m:rPr/>
              <m:t>p</m:t>
            </m:r>
          </m:sub>
        </m:sSub>
        <m:r>
          <m:rPr>
            <m:sty m:val="p"/>
          </m:rPr>
          <m:t>=</m:t>
        </m:r>
        <m:r>
          <m:rPr/>
          <m:t>0.5</m:t>
        </m:r>
      </m:oMath>
      <w:r>
        <w:t xml:space="preserve"> </w:t>
      </w:r>
      <w:r>
        <w:rPr>
          <w:rFonts w:hint="eastAsia"/>
        </w:rPr>
        <w:t>dB，阻带衰减大于90</w:t>
      </w:r>
      <w:r>
        <w:t xml:space="preserve"> </w:t>
      </w:r>
      <w:r>
        <w:rPr>
          <w:rFonts w:hint="eastAsia"/>
        </w:rPr>
        <w:t>dB。滤波器置于功分后的测量通路中，用于模拟色散介质对LFMCW信号的群时延调制。图5-5给出了ADS全链路拓扑，其结构与实际射频前端保持一致，是后续信号分析与去嵌入处理的基础。</w:t>
      </w:r>
    </w:p>
    <w:p w14:paraId="339DE4F9">
      <w:r>
        <w:drawing>
          <wp:inline distT="0" distB="0" distL="114300" distR="114300">
            <wp:extent cx="5753100" cy="3261995"/>
            <wp:effectExtent l="0" t="0" r="0" b="0"/>
            <wp:docPr id="2120017870" name="Picture" descr="图5-5 LFMCW诊断系统ADS电路级全链路仿真拓扑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17870" name="Picture" descr="图5-5 LFMCW诊断系统ADS电路级全链路仿真拓扑架构"/>
                    <pic:cNvPicPr>
                      <a:picLocks noChangeAspect="1" noChangeArrowheads="1"/>
                    </pic:cNvPicPr>
                  </pic:nvPicPr>
                  <pic:blipFill>
                    <a:blip r:embed="rId33"/>
                    <a:stretch>
                      <a:fillRect/>
                    </a:stretch>
                  </pic:blipFill>
                  <pic:spPr>
                    <a:xfrm>
                      <a:off x="0" y="0"/>
                      <a:ext cx="5753100" cy="3262264"/>
                    </a:xfrm>
                    <a:prstGeom prst="rect">
                      <a:avLst/>
                    </a:prstGeom>
                    <a:noFill/>
                    <a:ln w="9525">
                      <a:noFill/>
                    </a:ln>
                  </pic:spPr>
                </pic:pic>
              </a:graphicData>
            </a:graphic>
          </wp:inline>
        </w:drawing>
      </w:r>
    </w:p>
    <w:p w14:paraId="0A9057DE">
      <w:r>
        <w:rPr>
          <w:rFonts w:hint="eastAsia"/>
        </w:rPr>
        <w:t>图5-5</w:t>
      </w:r>
      <w:r>
        <w:t xml:space="preserve"> </w:t>
      </w:r>
      <w:r>
        <w:rPr>
          <w:rFonts w:hint="eastAsia"/>
        </w:rPr>
        <w:t>LFMCW诊断系统ADS电路级全链路仿真拓扑架构</w:t>
      </w:r>
    </w:p>
    <w:p w14:paraId="56C1061C">
      <w:r>
        <w:rPr>
          <w:rFonts w:hint="eastAsia"/>
        </w:rPr>
        <w:t>图5-6和图5-7展示了全链路中的信号演化过程。结果表明，发射信号在34~38</w:t>
      </w:r>
      <w:r>
        <w:t xml:space="preserve"> </w:t>
      </w:r>
      <w:r>
        <w:rPr>
          <w:rFonts w:hint="eastAsia"/>
        </w:rPr>
        <w:t>GHz范围内连续覆盖；经过目标滤波器后，接收信号在通带内保持较强响应、在阻带区域明显衰减；差频信号则因边缘群时延突变而出现展宽。进一步分析可见，能够稳定映射群时延轨迹的主干相干能量主要集中在0~200</w:t>
      </w:r>
      <w:r>
        <w:t xml:space="preserve"> </w:t>
      </w:r>
      <w:r>
        <w:rPr>
          <w:rFonts w:hint="eastAsia"/>
        </w:rPr>
        <w:t>MHz范围内，因此后续特征提取保留该频段作为有效观测带宽。</w:t>
      </w:r>
    </w:p>
    <w:p w14:paraId="71E89A33">
      <w:r>
        <w:drawing>
          <wp:inline distT="0" distB="0" distL="114300" distR="114300">
            <wp:extent cx="4352290" cy="3034030"/>
            <wp:effectExtent l="0" t="0" r="0" b="0"/>
            <wp:docPr id="2120017872" name="Picture" descr="图5-6 ADS全链路仿真信号演化过程（发射、接收与差频信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17872" name="Picture" descr="图5-6 ADS全链路仿真信号演化过程（发射、接收与差频信号）"/>
                    <pic:cNvPicPr>
                      <a:picLocks noChangeAspect="1" noChangeArrowheads="1"/>
                    </pic:cNvPicPr>
                  </pic:nvPicPr>
                  <pic:blipFill>
                    <a:blip r:embed="rId34"/>
                    <a:stretch>
                      <a:fillRect/>
                    </a:stretch>
                  </pic:blipFill>
                  <pic:spPr>
                    <a:xfrm>
                      <a:off x="0" y="0"/>
                      <a:ext cx="4352544" cy="3034284"/>
                    </a:xfrm>
                    <a:prstGeom prst="rect">
                      <a:avLst/>
                    </a:prstGeom>
                    <a:noFill/>
                    <a:ln w="9525">
                      <a:noFill/>
                    </a:ln>
                  </pic:spPr>
                </pic:pic>
              </a:graphicData>
            </a:graphic>
          </wp:inline>
        </w:drawing>
      </w:r>
    </w:p>
    <w:p w14:paraId="603D3129">
      <w:r>
        <w:rPr>
          <w:rFonts w:hint="eastAsia"/>
        </w:rPr>
        <w:t>图5-6</w:t>
      </w:r>
      <w:r>
        <w:t xml:space="preserve"> </w:t>
      </w:r>
      <w:r>
        <w:rPr>
          <w:rFonts w:hint="eastAsia"/>
        </w:rPr>
        <w:t>ADS全链路仿真信号演化过程（发射、接收与差频信号）</w:t>
      </w:r>
    </w:p>
    <w:p w14:paraId="35396AE4">
      <w:r>
        <w:drawing>
          <wp:inline distT="0" distB="0" distL="114300" distR="114300">
            <wp:extent cx="4474210" cy="3035300"/>
            <wp:effectExtent l="0" t="0" r="0" b="0"/>
            <wp:docPr id="2120017874" name="Picture" descr="图5-7 差频信号离散频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17874" name="Picture" descr="图5-7 差频信号离散频谱"/>
                    <pic:cNvPicPr>
                      <a:picLocks noChangeAspect="1" noChangeArrowheads="1"/>
                    </pic:cNvPicPr>
                  </pic:nvPicPr>
                  <pic:blipFill>
                    <a:blip r:embed="rId35"/>
                    <a:stretch>
                      <a:fillRect/>
                    </a:stretch>
                  </pic:blipFill>
                  <pic:spPr>
                    <a:xfrm>
                      <a:off x="0" y="0"/>
                      <a:ext cx="4474464" cy="3035808"/>
                    </a:xfrm>
                    <a:prstGeom prst="rect">
                      <a:avLst/>
                    </a:prstGeom>
                    <a:noFill/>
                    <a:ln w="9525">
                      <a:noFill/>
                    </a:ln>
                  </pic:spPr>
                </pic:pic>
              </a:graphicData>
            </a:graphic>
          </wp:inline>
        </w:drawing>
      </w:r>
    </w:p>
    <w:p w14:paraId="40BA828C">
      <w:r>
        <w:rPr>
          <w:rFonts w:hint="eastAsia"/>
        </w:rPr>
        <w:t>图5-7</w:t>
      </w:r>
      <w:r>
        <w:t xml:space="preserve"> </w:t>
      </w:r>
      <w:r>
        <w:rPr>
          <w:rFonts w:hint="eastAsia"/>
        </w:rPr>
        <w:t>差频信号离散频谱</w:t>
      </w:r>
    </w:p>
    <w:p w14:paraId="665EEDD9">
      <w:r>
        <w:rPr>
          <w:rFonts w:hint="eastAsia"/>
        </w:rPr>
        <w:t>图5-8和图5-9分别给出了目标滤波器的幅度响应与群时延真值曲线。后续特征点提取精度的评价，均以图5-9所对应的群时延真值作为比较基准。</w:t>
      </w:r>
    </w:p>
    <w:p w14:paraId="31F57DD6">
      <w:r>
        <w:drawing>
          <wp:inline distT="0" distB="0" distL="114300" distR="114300">
            <wp:extent cx="4255770" cy="2471420"/>
            <wp:effectExtent l="0" t="0" r="0" b="0"/>
            <wp:docPr id="2120017876" name="Picture" descr="图5-8 目标色散介质（5阶切比雪夫带通滤波器）的|S_{21}|幅度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17876" name="Picture" descr="图5-8 目标色散介质（5阶切比雪夫带通滤波器）的|S_{21}|幅度响应"/>
                    <pic:cNvPicPr>
                      <a:picLocks noChangeAspect="1" noChangeArrowheads="1"/>
                    </pic:cNvPicPr>
                  </pic:nvPicPr>
                  <pic:blipFill>
                    <a:blip r:embed="rId36"/>
                    <a:stretch>
                      <a:fillRect/>
                    </a:stretch>
                  </pic:blipFill>
                  <pic:spPr>
                    <a:xfrm>
                      <a:off x="0" y="0"/>
                      <a:ext cx="4256116" cy="2471650"/>
                    </a:xfrm>
                    <a:prstGeom prst="rect">
                      <a:avLst/>
                    </a:prstGeom>
                    <a:noFill/>
                    <a:ln w="9525">
                      <a:noFill/>
                    </a:ln>
                  </pic:spPr>
                </pic:pic>
              </a:graphicData>
            </a:graphic>
          </wp:inline>
        </w:drawing>
      </w:r>
    </w:p>
    <w:p w14:paraId="4F92BBF8">
      <w:r>
        <w:rPr>
          <w:rFonts w:hint="eastAsia"/>
        </w:rPr>
        <w:t>图5-8</w:t>
      </w:r>
      <w:r>
        <w:t xml:space="preserve"> </w:t>
      </w:r>
      <w:r>
        <w:rPr>
          <w:rFonts w:hint="eastAsia"/>
        </w:rPr>
        <w:t>目标色散介质（5阶切比雪夫带通滤波器）的</w:t>
      </w:r>
      <m:oMath>
        <m:r>
          <m:rPr>
            <m:sty m:val="p"/>
          </m:rPr>
          <m:t>|</m:t>
        </m:r>
        <m:sSub>
          <m:sSubPr/>
          <m:e>
            <m:r>
              <m:rPr/>
              <m:t>S</m:t>
            </m:r>
          </m:e>
          <m:sub>
            <m:r>
              <m:rPr/>
              <m:t>21</m:t>
            </m:r>
          </m:sub>
        </m:sSub>
        <m:r>
          <m:rPr>
            <m:sty m:val="p"/>
          </m:rPr>
          <m:t>|</m:t>
        </m:r>
      </m:oMath>
      <w:r>
        <w:rPr>
          <w:rFonts w:hint="eastAsia"/>
        </w:rPr>
        <w:t>幅度响应</w:t>
      </w:r>
    </w:p>
    <w:p w14:paraId="6F4036F5">
      <w:r>
        <w:drawing>
          <wp:inline distT="0" distB="0" distL="114300" distR="114300">
            <wp:extent cx="4103370" cy="2288540"/>
            <wp:effectExtent l="0" t="0" r="0" b="0"/>
            <wp:docPr id="2120017878" name="Picture" descr="图5-9 目标色散介质的群时延\tau_g(f)理论真值曲线（ADS S参数导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17878" name="Picture" descr="图5-9 目标色散介质的群时延\tau_g(f)理论真值曲线（ADS S参数导出）"/>
                    <pic:cNvPicPr>
                      <a:picLocks noChangeAspect="1" noChangeArrowheads="1"/>
                    </pic:cNvPicPr>
                  </pic:nvPicPr>
                  <pic:blipFill>
                    <a:blip r:embed="rId37"/>
                    <a:stretch>
                      <a:fillRect/>
                    </a:stretch>
                  </pic:blipFill>
                  <pic:spPr>
                    <a:xfrm>
                      <a:off x="0" y="0"/>
                      <a:ext cx="4103716" cy="2288770"/>
                    </a:xfrm>
                    <a:prstGeom prst="rect">
                      <a:avLst/>
                    </a:prstGeom>
                    <a:noFill/>
                    <a:ln w="9525">
                      <a:noFill/>
                    </a:ln>
                  </pic:spPr>
                </pic:pic>
              </a:graphicData>
            </a:graphic>
          </wp:inline>
        </w:drawing>
      </w:r>
    </w:p>
    <w:p w14:paraId="145F2839">
      <w:r>
        <w:rPr>
          <w:rFonts w:hint="eastAsia"/>
        </w:rPr>
        <w:t>图5-9</w:t>
      </w:r>
      <w:r>
        <w:t xml:space="preserve"> </w:t>
      </w:r>
      <w:r>
        <w:rPr>
          <w:rFonts w:hint="eastAsia"/>
        </w:rPr>
        <w:t>目标色散介质的群时延</w:t>
      </w:r>
      <m:oMath>
        <m:sSub>
          <m:sSubPr/>
          <m:e>
            <m:r>
              <m:rPr/>
              <m:t>τ</m:t>
            </m:r>
          </m:e>
          <m:sub>
            <m:r>
              <m:rPr/>
              <m:t>g</m:t>
            </m:r>
          </m:sub>
        </m:sSub>
        <m:r>
          <m:rPr>
            <m:sty m:val="p"/>
          </m:rPr>
          <m:t>(</m:t>
        </m:r>
        <m:r>
          <m:rPr/>
          <m:t>f</m:t>
        </m:r>
        <m:r>
          <m:rPr>
            <m:sty m:val="p"/>
          </m:rPr>
          <m:t>)</m:t>
        </m:r>
      </m:oMath>
      <w:r>
        <w:rPr>
          <w:rFonts w:hint="eastAsia"/>
        </w:rPr>
        <w:t>理论真值曲线（ADS</w:t>
      </w:r>
      <w:r>
        <w:t xml:space="preserve"> </w:t>
      </w:r>
      <w:r>
        <w:rPr>
          <w:rFonts w:hint="eastAsia"/>
        </w:rPr>
        <w:t>S参数导出）</w:t>
      </w:r>
    </w:p>
    <w:p w14:paraId="1F9D2898">
      <w:r>
        <w:rPr>
          <w:rFonts w:hint="eastAsia"/>
        </w:rPr>
        <w:t>进一步地，还需对系统固有延迟进行去嵌入标定。差频信号中不仅包含目标滤波器引入的群时延，也叠加了前端走线、功分器、衰减器与混频器带来的系统固定延迟</w:t>
      </w:r>
      <m:oMath>
        <m:sSub>
          <m:sSubPr/>
          <m:e>
            <m:r>
              <m:rPr/>
              <m:t>τ</m:t>
            </m:r>
          </m:e>
          <m:sub>
            <m:r>
              <m:rPr/>
              <m:t>sys</m:t>
            </m:r>
          </m:sub>
        </m:sSub>
      </m:oMath>
      <w:r>
        <w:rPr>
          <w:rFonts w:hint="eastAsia"/>
        </w:rPr>
        <w:t>。若不先剥离这一部分，后续得到的时延散点会整体偏移，尤其会影响通带平坦区的精度评价。</w:t>
      </w:r>
    </w:p>
    <w:p w14:paraId="52CF70A2">
      <w:r>
        <w:rPr>
          <w:rFonts w:hint="eastAsia"/>
        </w:rPr>
        <w:t>去嵌入采用直通参考测量实现。在不接入目标滤波器时，差频信号仅由系统固有延迟决定。根据LFMCW差频与时延的基本关系</w:t>
      </w:r>
      <m:oMath>
        <m:sSub>
          <m:sSubPr/>
          <m:e>
            <m:r>
              <m:rPr/>
              <m:t>f</m:t>
            </m:r>
          </m:e>
          <m:sub>
            <m:r>
              <m:rPr/>
              <m:t>D</m:t>
            </m:r>
          </m:sub>
        </m:sSub>
        <m:r>
          <m:rPr>
            <m:sty m:val="p"/>
          </m:rPr>
          <m:t>=</m:t>
        </m:r>
        <m:r>
          <m:rPr/>
          <m:t>Bτ</m:t>
        </m:r>
        <m:r>
          <m:rPr>
            <m:sty m:val="p"/>
          </m:rPr>
          <m:t>/</m:t>
        </m:r>
        <m:sSub>
          <m:sSubPr/>
          <m:e>
            <m:r>
              <m:rPr/>
              <m:t>T</m:t>
            </m:r>
          </m:e>
          <m:sub>
            <m:r>
              <m:rPr/>
              <m:t>m</m:t>
            </m:r>
          </m:sub>
        </m:sSub>
      </m:oMath>
      <w:r>
        <w:rPr>
          <w:rFonts w:hint="eastAsia"/>
        </w:rPr>
        <w:t>，可由参考条件下的差频峰值频率</w:t>
      </w:r>
      <m:oMath>
        <m:sSub>
          <m:sSubPr/>
          <m:e>
            <m:r>
              <m:rPr/>
              <m:t>f</m:t>
            </m:r>
          </m:e>
          <m:sub>
            <m:r>
              <m:rPr/>
              <m:t>D</m:t>
            </m:r>
            <m:r>
              <m:rPr>
                <m:sty m:val="p"/>
              </m:rPr>
              <m:t>,</m:t>
            </m:r>
            <m:r>
              <m:rPr/>
              <m:t>thru</m:t>
            </m:r>
          </m:sub>
        </m:sSub>
      </m:oMath>
      <w:r>
        <w:rPr>
          <w:rFonts w:hint="eastAsia"/>
        </w:rPr>
        <w:t>反推出系统基准延迟：</w:t>
      </w:r>
    </w:p>
    <w:p w14:paraId="6C3BAE26">
      <w:r>
        <w:t xml:space="preserve"> </w:t>
      </w:r>
    </w:p>
    <w:p w14:paraId="69B293EB">
      <w:pPr>
        <w:pStyle w:val="44"/>
        <w:spacing w:before="0" w:after="0" w:line="400" w:lineRule="atLeast"/>
      </w:pPr>
      <w:r>
        <w:tab/>
      </w:r>
      <m:oMath>
        <m:sSub>
          <m:sSubPr/>
          <m:e>
            <m:r>
              <m:rPr/>
              <m:t>τ</m:t>
            </m:r>
          </m:e>
          <m:sub>
            <m:r>
              <m:rPr/>
              <m:t>sys</m:t>
            </m:r>
          </m:sub>
        </m:sSub>
        <m:r>
          <m:rPr>
            <m:sty m:val="p"/>
          </m:rPr>
          <m:t>=</m:t>
        </m:r>
        <m:f>
          <m:fPr/>
          <m:num>
            <m:sSub>
              <m:sSubPr/>
              <m:e>
                <m:r>
                  <m:rPr/>
                  <m:t>f</m:t>
                </m:r>
              </m:e>
              <m:sub>
                <m:r>
                  <m:rPr/>
                  <m:t>D</m:t>
                </m:r>
                <m:r>
                  <m:rPr>
                    <m:sty m:val="p"/>
                  </m:rPr>
                  <m:t>,</m:t>
                </m:r>
                <m:r>
                  <m:rPr/>
                  <m:t>thru</m:t>
                </m:r>
              </m:sub>
            </m:sSub>
            <m:r>
              <m:rPr>
                <m:sty m:val="p"/>
              </m:rPr>
              <m:t>⋅</m:t>
            </m:r>
            <m:sSub>
              <m:sSubPr/>
              <m:e>
                <m:r>
                  <m:rPr/>
                  <m:t>T</m:t>
                </m:r>
              </m:e>
              <m:sub>
                <m:r>
                  <m:rPr/>
                  <m:t>m</m:t>
                </m:r>
              </m:sub>
            </m:sSub>
          </m:num>
          <m:den>
            <m:r>
              <m:rPr/>
              <m:t>B</m:t>
            </m:r>
          </m:den>
        </m:f>
      </m:oMath>
      <w:r>
        <w:tab/>
      </w:r>
      <w:r>
        <w:t>(5</w:t>
      </w:r>
      <w:r>
        <w:noBreakHyphen/>
      </w:r>
      <w:r>
        <w:t>5)</w:t>
      </w:r>
    </w:p>
    <w:p w14:paraId="34F5CA98">
      <w:r>
        <w:t xml:space="preserve"> </w:t>
      </w:r>
    </w:p>
    <w:p w14:paraId="058B1105">
      <w:r>
        <w:rPr>
          <w:rFonts w:hint="eastAsia"/>
        </w:rPr>
        <w:t>为避免多级混频和倍频链路中的互调杂散影响峰值搜索，频谱搜索窗限定在0~5</w:t>
      </w:r>
      <w:r>
        <w:t xml:space="preserve"> </w:t>
      </w:r>
      <w:r>
        <w:rPr>
          <w:rFonts w:hint="eastAsia"/>
        </w:rPr>
        <w:t>MHz范围内，并结合汉宁窗FFT与三角插值进行精细估计。最终得到系统基准延迟为</w:t>
      </w:r>
    </w:p>
    <w:p w14:paraId="1A587CB3">
      <w:r>
        <w:t xml:space="preserve"> </w:t>
      </w:r>
    </w:p>
    <w:p w14:paraId="1A789A8D">
      <w:pPr>
        <w:pStyle w:val="44"/>
        <w:spacing w:before="0" w:after="0" w:line="400" w:lineRule="atLeast"/>
      </w:pPr>
      <w:r>
        <w:tab/>
      </w:r>
      <m:oMath>
        <m:sSub>
          <m:sSubPr/>
          <m:e>
            <m:r>
              <m:rPr/>
              <m:t>τ</m:t>
            </m:r>
          </m:e>
          <m:sub>
            <m:r>
              <m:rPr/>
              <m:t>sys</m:t>
            </m:r>
          </m:sub>
        </m:sSub>
        <m:r>
          <m:rPr>
            <m:sty m:val="p"/>
          </m:rPr>
          <m:t>=</m:t>
        </m:r>
        <m:r>
          <m:rPr/>
          <m:t>0.2470 </m:t>
        </m:r>
        <m:r>
          <m:rPr>
            <m:nor/>
            <m:sty m:val="p"/>
          </m:rPr>
          <w:rPr>
            <w:b w:val="0"/>
            <w:i w:val="0"/>
          </w:rPr>
          <m:t>ns</m:t>
        </m:r>
      </m:oMath>
      <w:r>
        <w:tab/>
      </w:r>
      <w:r>
        <w:t>(5</w:t>
      </w:r>
      <w:r>
        <w:noBreakHyphen/>
      </w:r>
      <w:r>
        <w:t>6)</w:t>
      </w:r>
    </w:p>
    <w:p w14:paraId="33565EB2">
      <w:r>
        <w:t xml:space="preserve"> </w:t>
      </w:r>
    </w:p>
    <w:p w14:paraId="07065C53">
      <w:r>
        <w:rPr>
          <w:rFonts w:hint="eastAsia"/>
        </w:rPr>
        <w:t>后续所有含滤波器的群时延估计均以该值作为去嵌入校正常数。</w:t>
      </w:r>
    </w:p>
    <w:bookmarkEnd w:id="105"/>
    <w:p w14:paraId="65D353C9">
      <w:pPr>
        <w:pStyle w:val="4"/>
      </w:pPr>
      <w:bookmarkStart w:id="106" w:name="离散时延特征点与连续演化曲线的物理映射关系"/>
      <w:r>
        <w:rPr>
          <w:rFonts w:hint="eastAsia"/>
        </w:rPr>
        <w:t>离散时延特征点与连续演化曲线的物理映射关系</w:t>
      </w:r>
    </w:p>
    <w:p w14:paraId="74F23A8A">
      <w:r>
        <w:rPr>
          <w:rFonts w:hint="eastAsia"/>
        </w:rPr>
        <w:t>滑动窗口方法的物理含义，是将时间轴上的局部差频估计映射回扫频过程中的瞬时探测频率。LFMCW发射信号的瞬时频率如式(5-7)所示</w:t>
      </w:r>
    </w:p>
    <w:p w14:paraId="24AA28F8">
      <w:r>
        <w:t xml:space="preserve"> </w:t>
      </w:r>
    </w:p>
    <w:p w14:paraId="73B86740">
      <w:pPr>
        <w:pStyle w:val="44"/>
        <w:spacing w:before="0" w:after="0" w:line="400" w:lineRule="atLeast"/>
      </w:pPr>
      <w:r>
        <w:tab/>
      </w:r>
      <m:oMath>
        <m:sSub>
          <m:sSubPr/>
          <m:e>
            <m:r>
              <m:rPr/>
              <m:t>f</m:t>
            </m:r>
          </m:e>
          <m:sub>
            <m:r>
              <m:rPr/>
              <m:t>tx</m:t>
            </m:r>
          </m:sub>
        </m:sSub>
        <m:r>
          <m:rPr>
            <m:sty m:val="p"/>
          </m:rPr>
          <m:t>(</m:t>
        </m:r>
        <m:r>
          <m:rPr/>
          <m:t>t</m:t>
        </m:r>
        <m:r>
          <m:rPr>
            <m:sty m:val="p"/>
          </m:rPr>
          <m:t>)=</m:t>
        </m:r>
        <m:sSub>
          <m:sSubPr/>
          <m:e>
            <m:r>
              <m:rPr/>
              <m:t>f</m:t>
            </m:r>
          </m:e>
          <m:sub>
            <m:r>
              <m:rPr/>
              <m:t>start</m:t>
            </m:r>
          </m:sub>
        </m:sSub>
        <m:r>
          <m:rPr>
            <m:sty m:val="p"/>
          </m:rPr>
          <m:t>+</m:t>
        </m:r>
        <m:r>
          <m:rPr/>
          <m:t>Kt</m:t>
        </m:r>
      </m:oMath>
      <w:r>
        <w:tab/>
      </w:r>
      <w:r>
        <w:t>(5</w:t>
      </w:r>
      <w:r>
        <w:noBreakHyphen/>
      </w:r>
      <w:r>
        <w:t>7)</w:t>
      </w:r>
    </w:p>
    <w:p w14:paraId="137FA815">
      <w:r>
        <w:t xml:space="preserve"> </w:t>
      </w:r>
    </w:p>
    <w:p w14:paraId="1F8AE794">
      <w:r>
        <w:rPr>
          <w:rFonts w:hint="eastAsia"/>
        </w:rPr>
        <w:t>其中</w:t>
      </w:r>
      <m:oMath>
        <m:r>
          <m:rPr/>
          <m:t>K</m:t>
        </m:r>
      </m:oMath>
      <w:r>
        <w:rPr>
          <w:rFonts w:hint="eastAsia"/>
        </w:rPr>
        <w:t>为扫频斜率。以窗口中心时刻</w:t>
      </w:r>
      <m:oMath>
        <m:sSub>
          <m:sSubPr/>
          <m:e>
            <m:r>
              <m:rPr/>
              <m:t>t</m:t>
            </m:r>
          </m:e>
          <m:sub>
            <m:r>
              <m:rPr/>
              <m:t>c</m:t>
            </m:r>
          </m:sub>
        </m:sSub>
      </m:oMath>
      <w:r>
        <w:rPr>
          <w:rFonts w:hint="eastAsia"/>
        </w:rPr>
        <w:t>对应的差频估计值</w:t>
      </w:r>
      <m:oMath>
        <m:sSub>
          <m:sSubPr/>
          <m:e>
            <m:r>
              <m:rPr/>
              <m:t>f</m:t>
            </m:r>
          </m:e>
          <m:sub>
            <m:r>
              <m:rPr/>
              <m:t>IF</m:t>
            </m:r>
          </m:sub>
        </m:sSub>
        <m:r>
          <m:rPr>
            <m:sty m:val="p"/>
          </m:rPr>
          <m:t>(</m:t>
        </m:r>
        <m:sSub>
          <m:sSubPr/>
          <m:e>
            <m:r>
              <m:rPr/>
              <m:t>t</m:t>
            </m:r>
          </m:e>
          <m:sub>
            <m:r>
              <m:rPr/>
              <m:t>c</m:t>
            </m:r>
          </m:sub>
        </m:sSub>
        <m:r>
          <m:rPr>
            <m:sty m:val="p"/>
          </m:rPr>
          <m:t>)</m:t>
        </m:r>
      </m:oMath>
      <w:r>
        <w:rPr>
          <w:rFonts w:hint="eastAsia"/>
        </w:rPr>
        <w:t>为例，该频率对应的探测频率为式(5-8)</w:t>
      </w:r>
    </w:p>
    <w:p w14:paraId="10543629">
      <w:r>
        <w:t xml:space="preserve"> </w:t>
      </w:r>
    </w:p>
    <w:p w14:paraId="18D0421D">
      <w:pPr>
        <w:pStyle w:val="44"/>
        <w:spacing w:before="0" w:after="0" w:line="400" w:lineRule="atLeast"/>
      </w:pPr>
      <w:r>
        <w:tab/>
      </w:r>
      <m:oMath>
        <m:sSub>
          <m:sSubPr/>
          <m:e>
            <m:r>
              <m:rPr/>
              <m:t>f</m:t>
            </m:r>
          </m:e>
          <m:sub>
            <m:r>
              <m:rPr/>
              <m:t>probe</m:t>
            </m:r>
          </m:sub>
        </m:sSub>
        <m:r>
          <m:rPr>
            <m:sty m:val="p"/>
          </m:rPr>
          <m:t>(</m:t>
        </m:r>
        <m:sSub>
          <m:sSubPr/>
          <m:e>
            <m:r>
              <m:rPr/>
              <m:t>t</m:t>
            </m:r>
          </m:e>
          <m:sub>
            <m:r>
              <m:rPr/>
              <m:t>c</m:t>
            </m:r>
          </m:sub>
        </m:sSub>
        <m:r>
          <m:rPr>
            <m:sty m:val="p"/>
          </m:rPr>
          <m:t>)=</m:t>
        </m:r>
        <m:sSub>
          <m:sSubPr/>
          <m:e>
            <m:r>
              <m:rPr/>
              <m:t>f</m:t>
            </m:r>
          </m:e>
          <m:sub>
            <m:r>
              <m:rPr/>
              <m:t>start</m:t>
            </m:r>
          </m:sub>
        </m:sSub>
        <m:r>
          <m:rPr>
            <m:sty m:val="p"/>
          </m:rPr>
          <m:t>+</m:t>
        </m:r>
        <m:r>
          <m:rPr/>
          <m:t>K</m:t>
        </m:r>
        <m:sSub>
          <m:sSubPr/>
          <m:e>
            <m:r>
              <m:rPr/>
              <m:t>t</m:t>
            </m:r>
          </m:e>
          <m:sub>
            <m:r>
              <m:rPr/>
              <m:t>c</m:t>
            </m:r>
          </m:sub>
        </m:sSub>
      </m:oMath>
      <w:r>
        <w:tab/>
      </w:r>
      <w:r>
        <w:t>(5</w:t>
      </w:r>
      <w:r>
        <w:noBreakHyphen/>
      </w:r>
      <w:r>
        <w:t>8)</w:t>
      </w:r>
    </w:p>
    <w:p w14:paraId="2339C795">
      <w:r>
        <w:t xml:space="preserve"> </w:t>
      </w:r>
    </w:p>
    <w:p w14:paraId="33B59E15">
      <w:r>
        <w:rPr>
          <w:rFonts w:hint="eastAsia"/>
        </w:rPr>
        <w:t>在该频率点，差频与群时延满足式(5-9)</w:t>
      </w:r>
    </w:p>
    <w:p w14:paraId="0BBF63C1">
      <w:r>
        <w:t xml:space="preserve"> </w:t>
      </w:r>
    </w:p>
    <w:p w14:paraId="1D3C045B">
      <w:pPr>
        <w:pStyle w:val="44"/>
        <w:spacing w:before="0" w:after="0" w:line="400" w:lineRule="atLeast"/>
      </w:pPr>
      <w:r>
        <w:tab/>
      </w:r>
      <m:oMath>
        <m:sSub>
          <m:sSubPr/>
          <m:e>
            <m:r>
              <m:rPr/>
              <m:t>f</m:t>
            </m:r>
          </m:e>
          <m:sub>
            <m:r>
              <m:rPr/>
              <m:t>IF</m:t>
            </m:r>
          </m:sub>
        </m:sSub>
        <m:r>
          <m:rPr>
            <m:sty m:val="p"/>
          </m:rPr>
          <m:t>(</m:t>
        </m:r>
        <m:sSub>
          <m:sSubPr/>
          <m:e>
            <m:r>
              <m:rPr/>
              <m:t>t</m:t>
            </m:r>
          </m:e>
          <m:sub>
            <m:r>
              <m:rPr/>
              <m:t>c</m:t>
            </m:r>
          </m:sub>
        </m:sSub>
        <m:r>
          <m:rPr>
            <m:sty m:val="p"/>
          </m:rPr>
          <m:t>)=</m:t>
        </m:r>
        <m:r>
          <m:rPr/>
          <m:t>K</m:t>
        </m:r>
        <m:r>
          <m:rPr>
            <m:sty m:val="p"/>
          </m:rPr>
          <m:t>[</m:t>
        </m:r>
        <m:sSub>
          <m:sSubPr/>
          <m:e>
            <m:r>
              <m:rPr/>
              <m:t>τ</m:t>
            </m:r>
          </m:e>
          <m:sub>
            <m:r>
              <m:rPr/>
              <m:t>sys</m:t>
            </m:r>
          </m:sub>
        </m:sSub>
        <m:r>
          <m:rPr>
            <m:sty m:val="p"/>
          </m:rPr>
          <m:t>+</m:t>
        </m:r>
        <m:sSub>
          <m:sSubPr/>
          <m:e>
            <m:r>
              <m:rPr/>
              <m:t>τ</m:t>
            </m:r>
          </m:e>
          <m:sub>
            <m:r>
              <m:rPr/>
              <m:t>g</m:t>
            </m:r>
          </m:sub>
        </m:sSub>
        <m:r>
          <m:rPr>
            <m:sty m:val="p"/>
          </m:rPr>
          <m:t>(</m:t>
        </m:r>
        <m:sSub>
          <m:sSubPr/>
          <m:e>
            <m:r>
              <m:rPr/>
              <m:t>f</m:t>
            </m:r>
          </m:e>
          <m:sub>
            <m:r>
              <m:rPr/>
              <m:t>probe</m:t>
            </m:r>
          </m:sub>
        </m:sSub>
        <m:r>
          <m:rPr>
            <m:sty m:val="p"/>
          </m:rPr>
          <m:t>)]</m:t>
        </m:r>
      </m:oMath>
      <w:r>
        <w:tab/>
      </w:r>
      <w:r>
        <w:t>(5</w:t>
      </w:r>
      <w:r>
        <w:noBreakHyphen/>
      </w:r>
      <w:r>
        <w:t>9)</w:t>
      </w:r>
    </w:p>
    <w:p w14:paraId="5CB478AC">
      <w:r>
        <w:t xml:space="preserve"> </w:t>
      </w:r>
    </w:p>
    <w:p w14:paraId="18CC198F">
      <w:r>
        <w:rPr>
          <w:rFonts w:hint="eastAsia"/>
        </w:rPr>
        <w:t>因而去嵌入后的群时延估计可写为式(5-10)</w:t>
      </w:r>
    </w:p>
    <w:p w14:paraId="7E4AC81B">
      <w:r>
        <w:t xml:space="preserve"> </w:t>
      </w:r>
    </w:p>
    <w:p w14:paraId="4531666A">
      <w:pPr>
        <w:pStyle w:val="44"/>
        <w:spacing w:before="0" w:after="0" w:line="400" w:lineRule="atLeast"/>
      </w:pPr>
      <w:r>
        <w:tab/>
      </w:r>
      <m:oMath>
        <m:sSub>
          <m:sSubPr/>
          <m:e>
            <m:acc>
              <m:accPr/>
              <m:e>
                <m:r>
                  <m:rPr/>
                  <m:t>τ</m:t>
                </m:r>
              </m:e>
            </m:acc>
          </m:e>
          <m:sub>
            <m:r>
              <m:rPr/>
              <m:t>g</m:t>
            </m:r>
          </m:sub>
        </m:sSub>
        <m:r>
          <m:rPr>
            <m:sty m:val="p"/>
          </m:rPr>
          <m:t>(</m:t>
        </m:r>
        <m:sSub>
          <m:sSubPr/>
          <m:e>
            <m:r>
              <m:rPr/>
              <m:t>f</m:t>
            </m:r>
          </m:e>
          <m:sub>
            <m:r>
              <m:rPr/>
              <m:t>probe</m:t>
            </m:r>
          </m:sub>
        </m:sSub>
        <m:r>
          <m:rPr>
            <m:sty m:val="p"/>
          </m:rPr>
          <m:t>)=</m:t>
        </m:r>
        <m:f>
          <m:fPr/>
          <m:num>
            <m:sSub>
              <m:sSubPr/>
              <m:e>
                <m:r>
                  <m:rPr/>
                  <m:t>f</m:t>
                </m:r>
              </m:e>
              <m:sub>
                <m:r>
                  <m:rPr/>
                  <m:t>IF</m:t>
                </m:r>
              </m:sub>
            </m:sSub>
            <m:r>
              <m:rPr>
                <m:sty m:val="p"/>
              </m:rPr>
              <m:t>(</m:t>
            </m:r>
            <m:sSub>
              <m:sSubPr/>
              <m:e>
                <m:r>
                  <m:rPr/>
                  <m:t>t</m:t>
                </m:r>
              </m:e>
              <m:sub>
                <m:r>
                  <m:rPr/>
                  <m:t>c</m:t>
                </m:r>
              </m:sub>
            </m:sSub>
            <m:r>
              <m:rPr>
                <m:sty m:val="p"/>
              </m:rPr>
              <m:t>)</m:t>
            </m:r>
          </m:num>
          <m:den>
            <m:r>
              <m:rPr/>
              <m:t>K</m:t>
            </m:r>
          </m:den>
        </m:f>
        <m:r>
          <m:rPr>
            <m:sty m:val="p"/>
          </m:rPr>
          <m:t>−</m:t>
        </m:r>
        <m:sSub>
          <m:sSubPr/>
          <m:e>
            <m:r>
              <m:rPr/>
              <m:t>τ</m:t>
            </m:r>
          </m:e>
          <m:sub>
            <m:r>
              <m:rPr/>
              <m:t>sys</m:t>
            </m:r>
          </m:sub>
        </m:sSub>
      </m:oMath>
      <w:r>
        <w:tab/>
      </w:r>
      <w:r>
        <w:t>(5</w:t>
      </w:r>
      <w:r>
        <w:noBreakHyphen/>
      </w:r>
      <w:r>
        <w:t>10)</w:t>
      </w:r>
    </w:p>
    <w:p w14:paraId="7E0B179E">
      <w:r>
        <w:t xml:space="preserve"> </w:t>
      </w:r>
    </w:p>
    <w:p w14:paraId="4E9DF0A6">
      <w:r>
        <w:rPr>
          <w:rFonts w:hint="eastAsia"/>
        </w:rPr>
        <w:t>随着滑动窗口沿时间轴推进，便可获得一组离散观测点</w:t>
      </w:r>
      <m:oMath>
        <m:r>
          <m:rPr>
            <m:sty m:val="p"/>
          </m:rPr>
          <m:t>{(</m:t>
        </m:r>
        <m:sSub>
          <m:sSubPr/>
          <m:e>
            <m:r>
              <m:rPr/>
              <m:t>f</m:t>
            </m:r>
          </m:e>
          <m:sub>
            <m:r>
              <m:rPr/>
              <m:t>k</m:t>
            </m:r>
          </m:sub>
        </m:sSub>
        <m:r>
          <m:rPr>
            <m:sty m:val="p"/>
          </m:rPr>
          <m:t>,</m:t>
        </m:r>
        <m:sSub>
          <m:sSubPr/>
          <m:e>
            <m:acc>
              <m:accPr/>
              <m:e>
                <m:r>
                  <m:rPr/>
                  <m:t>τ</m:t>
                </m:r>
              </m:e>
            </m:acc>
          </m:e>
          <m:sub>
            <m:r>
              <m:rPr/>
              <m:t>k</m:t>
            </m:r>
          </m:sub>
        </m:sSub>
        <m:r>
          <m:rPr>
            <m:sty m:val="p"/>
          </m:rPr>
          <m:t>)}</m:t>
        </m:r>
      </m:oMath>
      <w:r>
        <w:rPr>
          <w:rFonts w:hint="eastAsia"/>
        </w:rPr>
        <w:t>。这组散点在通带平坦区应聚集于约2</w:t>
      </w:r>
      <w:r>
        <w:t xml:space="preserve"> </w:t>
      </w:r>
      <w:r>
        <w:rPr>
          <w:rFonts w:hint="eastAsia"/>
        </w:rPr>
        <w:t>ns的基线附近，在通带边缘则向双峰区上升。若散点能够连续覆盖这一演化过程，说明LFMCW差频信号已经承载了色散曲线的主拓扑信息。</w:t>
      </w:r>
    </w:p>
    <w:bookmarkEnd w:id="106"/>
    <w:p w14:paraId="2A0B622D">
      <w:pPr>
        <w:pStyle w:val="4"/>
      </w:pPr>
      <w:bookmarkStart w:id="107" w:name="强色散时延轨迹特征提取与物理约束清洗策略"/>
      <w:r>
        <w:rPr>
          <w:rFonts w:hint="eastAsia"/>
        </w:rPr>
        <w:t>强色散时延轨迹特征提取与物理约束清洗策略</w:t>
      </w:r>
    </w:p>
    <w:p w14:paraId="36BF4C2D">
      <w:r>
        <w:rPr>
          <w:rFonts w:hint="eastAsia"/>
        </w:rPr>
        <w:t>ADS输出的中频信号采用自适应变步长网格，因此首先需要重采样到均匀时间轴。本文以4</w:t>
      </w:r>
      <w:r>
        <w:t xml:space="preserve"> </w:t>
      </w:r>
      <w:r>
        <w:rPr>
          <w:rFonts w:hint="eastAsia"/>
        </w:rPr>
        <w:t>GHz采样率进行样条插值重采样，再通过4阶Butterworth低通滤波器保留200</w:t>
      </w:r>
      <w:r>
        <w:t xml:space="preserve"> </w:t>
      </w:r>
      <w:r>
        <w:rPr>
          <w:rFonts w:hint="eastAsia"/>
        </w:rPr>
        <w:t>MHz以内的差频主分量，并做2倍抽取，最终工作采样率为2</w:t>
      </w:r>
      <w:r>
        <w:t xml:space="preserve"> </w:t>
      </w:r>
      <w:r>
        <w:rPr>
          <w:rFonts w:hint="eastAsia"/>
        </w:rPr>
        <w:t>GHz。在预处理后的差频信号上，采用第四章建立的滑动窗口ESPRIT方法提取频率—时延散点。窗口长度设为总信号长度的3%，且不少于64个采样点；步进长度取窗口长度的</w:t>
      </w:r>
      <m:oMath>
        <m:r>
          <m:rPr/>
          <m:t>1</m:t>
        </m:r>
        <m:r>
          <m:rPr>
            <m:sty m:val="p"/>
          </m:rPr>
          <m:t>/</m:t>
        </m:r>
        <m:r>
          <m:rPr/>
          <m:t>8</m:t>
        </m:r>
      </m:oMath>
      <w:r>
        <w:rPr>
          <w:rFonts w:hint="eastAsia"/>
        </w:rPr>
        <w:t>；子空间维度</w:t>
      </w:r>
      <m:oMath>
        <m:sSub>
          <m:sSubPr/>
          <m:e>
            <m:r>
              <m:rPr/>
              <m:t>L</m:t>
            </m:r>
          </m:e>
          <m:sub>
            <m:r>
              <m:rPr/>
              <m:t>sub</m:t>
            </m:r>
          </m:sub>
        </m:sSub>
      </m:oMath>
      <w:r>
        <w:rPr>
          <w:rFonts w:hint="eastAsia"/>
        </w:rPr>
        <w:t>取窗口长度的</w:t>
      </w:r>
      <m:oMath>
        <m:r>
          <m:rPr/>
          <m:t>1</m:t>
        </m:r>
        <m:r>
          <m:rPr>
            <m:sty m:val="p"/>
          </m:rPr>
          <m:t>/</m:t>
        </m:r>
        <m:r>
          <m:rPr/>
          <m:t>2</m:t>
        </m:r>
      </m:oMath>
      <w:r>
        <w:rPr>
          <w:rFonts w:hint="eastAsia"/>
        </w:rPr>
        <w:t>；信号源数由MDL准则自动判定，上限设为3。每个窗口输出瞬时差频</w:t>
      </w:r>
      <m:oMath>
        <m:sSub>
          <m:sSubPr/>
          <m:e>
            <m:acc>
              <m:accPr/>
              <m:e>
                <m:r>
                  <m:rPr/>
                  <m:t>f</m:t>
                </m:r>
              </m:e>
            </m:acc>
          </m:e>
          <m:sub>
            <m:r>
              <m:rPr/>
              <m:t>IF</m:t>
            </m:r>
          </m:sub>
        </m:sSub>
      </m:oMath>
      <w:r>
        <w:rPr>
          <w:rFonts w:hint="eastAsia"/>
        </w:rPr>
        <w:t>、对应探测频率</w:t>
      </w:r>
      <m:oMath>
        <m:sSub>
          <m:sSubPr/>
          <m:e>
            <m:r>
              <m:rPr/>
              <m:t>f</m:t>
            </m:r>
          </m:e>
          <m:sub>
            <m:r>
              <m:rPr/>
              <m:t>probe</m:t>
            </m:r>
          </m:sub>
        </m:sSub>
      </m:oMath>
      <w:r>
        <w:rPr>
          <w:rFonts w:hint="eastAsia"/>
        </w:rPr>
        <w:t>和局部RMS幅度</w:t>
      </w:r>
      <m:oMath>
        <m:sSub>
          <m:sSubPr/>
          <m:e>
            <m:r>
              <m:rPr/>
              <m:t>A</m:t>
            </m:r>
          </m:e>
          <m:sub>
            <m:r>
              <m:rPr/>
              <m:t>rms</m:t>
            </m:r>
          </m:sub>
        </m:sSub>
      </m:oMath>
      <w:r>
        <w:t>。</w:t>
      </w:r>
    </w:p>
    <w:p w14:paraId="1772E628">
      <w:r>
        <w:rPr>
          <w:rFonts w:hint="eastAsia"/>
        </w:rPr>
        <w:t>第一层清洗采用基于幅度的自适应阈值：</w:t>
      </w:r>
    </w:p>
    <w:p w14:paraId="30C2C7D3">
      <w:r>
        <w:t xml:space="preserve"> </w:t>
      </w:r>
    </w:p>
    <w:p w14:paraId="68DAD264">
      <w:pPr>
        <w:pStyle w:val="44"/>
        <w:spacing w:before="0" w:after="0" w:line="400" w:lineRule="atLeast"/>
      </w:pPr>
      <w:r>
        <w:tab/>
      </w:r>
      <m:oMath>
        <m:sSub>
          <m:sSubPr/>
          <m:e>
            <m:r>
              <m:rPr/>
              <m:t>A</m:t>
            </m:r>
          </m:e>
          <m:sub>
            <m:r>
              <m:rPr/>
              <m:t>rms</m:t>
            </m:r>
          </m:sub>
        </m:sSub>
        <m:r>
          <m:rPr>
            <m:sty m:val="p"/>
          </m:rPr>
          <m:t>(</m:t>
        </m:r>
        <m:sSub>
          <m:sSubPr/>
          <m:e>
            <m:r>
              <m:rPr/>
              <m:t>f</m:t>
            </m:r>
          </m:e>
          <m:sub>
            <m:r>
              <m:rPr/>
              <m:t>k</m:t>
            </m:r>
          </m:sub>
        </m:sSub>
        <m:r>
          <m:rPr>
            <m:sty m:val="p"/>
          </m:rPr>
          <m:t>)&gt;</m:t>
        </m:r>
        <m:r>
          <m:rPr/>
          <m:t>0.20</m:t>
        </m:r>
        <m:r>
          <m:rPr>
            <m:sty m:val="p"/>
          </m:rPr>
          <m:t>×max{</m:t>
        </m:r>
        <m:sSub>
          <m:sSubPr/>
          <m:e>
            <m:r>
              <m:rPr/>
              <m:t>A</m:t>
            </m:r>
          </m:e>
          <m:sub>
            <m:r>
              <m:rPr/>
              <m:t>rms</m:t>
            </m:r>
          </m:sub>
        </m:sSub>
        <m:r>
          <m:rPr>
            <m:sty m:val="p"/>
          </m:rPr>
          <m:t>}</m:t>
        </m:r>
      </m:oMath>
      <w:r>
        <w:tab/>
      </w:r>
      <w:r>
        <w:t>(5</w:t>
      </w:r>
      <w:r>
        <w:noBreakHyphen/>
      </w:r>
      <w:r>
        <w:t>11)</w:t>
      </w:r>
    </w:p>
    <w:p w14:paraId="685792ED">
      <w:r>
        <w:t xml:space="preserve"> </w:t>
      </w:r>
    </w:p>
    <w:p w14:paraId="1869CA13">
      <w:r>
        <w:rPr>
          <w:rFonts w:hint="eastAsia"/>
        </w:rPr>
        <w:t>该阈值对应约-14</w:t>
      </w:r>
      <w:r>
        <w:t xml:space="preserve"> </w:t>
      </w:r>
      <w:r>
        <w:rPr>
          <w:rFonts w:hint="eastAsia"/>
        </w:rPr>
        <w:t>dB的相对幅度门限，用于剔除阻带边缘因信号严重衰减而产生的不稳定估计点。</w:t>
      </w:r>
    </w:p>
    <w:p w14:paraId="2B3B3B8F">
      <w:r>
        <w:rPr>
          <w:rFonts w:hint="eastAsia"/>
        </w:rPr>
        <w:t>第二层清洗采用四分位距门限：</w:t>
      </w:r>
    </w:p>
    <w:p w14:paraId="05DC4ACF">
      <w:r>
        <w:t xml:space="preserve"> </w:t>
      </w:r>
    </w:p>
    <w:p w14:paraId="6B356203">
      <w:pPr>
        <w:pStyle w:val="44"/>
        <w:spacing w:before="0" w:after="0" w:line="400" w:lineRule="atLeast"/>
      </w:pPr>
      <w:r>
        <w:tab/>
      </w:r>
      <m:oMath>
        <m:sSub>
          <m:sSubPr/>
          <m:e>
            <m:r>
              <m:rPr/>
              <m:t>τ</m:t>
            </m:r>
          </m:e>
          <m:sub>
            <m:r>
              <m:rPr/>
              <m:t>lb</m:t>
            </m:r>
          </m:sub>
        </m:sSub>
        <m:r>
          <m:rPr>
            <m:sty m:val="p"/>
          </m:rPr>
          <m:t>=</m:t>
        </m:r>
        <m:sSub>
          <m:sSubPr/>
          <m:e>
            <m:r>
              <m:rPr/>
              <m:t>Q</m:t>
            </m:r>
          </m:e>
          <m:sub>
            <m:r>
              <m:rPr/>
              <m:t>25</m:t>
            </m:r>
          </m:sub>
        </m:sSub>
        <m:r>
          <m:rPr>
            <m:sty m:val="p"/>
          </m:rPr>
          <m:t>(</m:t>
        </m:r>
        <m:sSub>
          <m:sSubPr/>
          <m:e>
            <m:r>
              <m:rPr>
                <m:sty m:val="p"/>
                <m:scr m:val="script"/>
              </m:rPr>
              <m:t>T</m:t>
            </m:r>
          </m:e>
          <m:sub>
            <m:r>
              <m:rPr/>
              <m:t>core</m:t>
            </m:r>
          </m:sub>
        </m:sSub>
        <m:r>
          <m:rPr>
            <m:sty m:val="p"/>
          </m:rPr>
          <m:t>)−</m:t>
        </m:r>
        <m:r>
          <m:rPr/>
          <m:t>1.5 </m:t>
        </m:r>
        <m:r>
          <m:rPr>
            <m:sty m:val="p"/>
          </m:rPr>
          <m:t>IQR(</m:t>
        </m:r>
        <m:sSub>
          <m:sSubPr/>
          <m:e>
            <m:r>
              <m:rPr>
                <m:sty m:val="p"/>
                <m:scr m:val="script"/>
              </m:rPr>
              <m:t>T</m:t>
            </m:r>
          </m:e>
          <m:sub>
            <m:r>
              <m:rPr/>
              <m:t>core</m:t>
            </m:r>
          </m:sub>
        </m:sSub>
        <m:r>
          <m:rPr>
            <m:sty m:val="p"/>
          </m:rPr>
          <m:t>)</m:t>
        </m:r>
      </m:oMath>
      <w:r>
        <w:tab/>
      </w:r>
      <w:r>
        <w:t>(5</w:t>
      </w:r>
      <w:r>
        <w:noBreakHyphen/>
      </w:r>
      <w:r>
        <w:t>12)</w:t>
      </w:r>
    </w:p>
    <w:p w14:paraId="6637E499">
      <w:r>
        <w:t xml:space="preserve"> </w:t>
      </w:r>
    </w:p>
    <w:p w14:paraId="20591EB4">
      <w:r>
        <w:rPr>
          <w:rFonts w:hint="eastAsia"/>
        </w:rPr>
        <w:t>其中1.5倍IQR系数采用统计学中常用的异常值识别经验规则，用于进一步剔除极少数非物理离群点。</w:t>
      </w:r>
    </w:p>
    <w:p w14:paraId="4FC7583C">
      <w:r>
        <w:t xml:space="preserve"> </w:t>
      </w:r>
    </w:p>
    <w:p w14:paraId="0D688522">
      <w:pPr>
        <w:pStyle w:val="44"/>
        <w:spacing w:before="0" w:after="0" w:line="400" w:lineRule="atLeast"/>
      </w:pPr>
      <w:r>
        <w:tab/>
      </w:r>
      <m:oMath>
        <m:sSub>
          <m:sSubPr/>
          <m:e>
            <m:acc>
              <m:accPr/>
              <m:e>
                <m:r>
                  <m:rPr/>
                  <m:t>τ</m:t>
                </m:r>
              </m:e>
            </m:acc>
          </m:e>
          <m:sub>
            <m:r>
              <m:rPr/>
              <m:t>g</m:t>
            </m:r>
          </m:sub>
        </m:sSub>
        <m:r>
          <m:rPr>
            <m:sty m:val="p"/>
          </m:rPr>
          <m:t>(</m:t>
        </m:r>
        <m:sSub>
          <m:sSubPr/>
          <m:e>
            <m:r>
              <m:rPr/>
              <m:t>f</m:t>
            </m:r>
          </m:e>
          <m:sub>
            <m:r>
              <m:rPr/>
              <m:t>k</m:t>
            </m:r>
          </m:sub>
        </m:sSub>
        <m:r>
          <m:rPr>
            <m:sty m:val="p"/>
          </m:rPr>
          <m:t>)&gt;</m:t>
        </m:r>
        <m:sSub>
          <m:sSubPr/>
          <m:e>
            <m:r>
              <m:rPr/>
              <m:t>τ</m:t>
            </m:r>
          </m:e>
          <m:sub>
            <m:r>
              <m:rPr/>
              <m:t>lb</m:t>
            </m:r>
          </m:sub>
        </m:sSub>
      </m:oMath>
      <w:r>
        <w:tab/>
      </w:r>
      <w:r>
        <w:t>(5</w:t>
      </w:r>
      <w:r>
        <w:noBreakHyphen/>
      </w:r>
      <w:r>
        <w:t>13)</w:t>
      </w:r>
    </w:p>
    <w:p w14:paraId="003CEB5A">
      <w:r>
        <w:t xml:space="preserve"> </w:t>
      </w:r>
    </w:p>
    <w:p w14:paraId="4EBE8063">
      <w:r>
        <w:rPr>
          <w:rFonts w:hint="eastAsia"/>
        </w:rPr>
        <w:t>由于锯齿扫频在斜率折返点附近会引入明显的反相交叠失真，因此按式(5-14)定义扫频边界保护区，并直接剔除位于保护区内的散点：</w:t>
      </w:r>
    </w:p>
    <w:p w14:paraId="58A4543E">
      <w:r>
        <w:t xml:space="preserve"> </w:t>
      </w:r>
    </w:p>
    <w:p w14:paraId="782CB0A5">
      <w:pPr>
        <w:pStyle w:val="44"/>
        <w:spacing w:before="0" w:after="0" w:line="400" w:lineRule="atLeast"/>
      </w:pPr>
      <w:r>
        <w:tab/>
      </w:r>
      <m:oMath>
        <m:sSub>
          <m:sSubPr/>
          <m:e>
            <m:r>
              <m:rPr/>
              <m:t>δ</m:t>
            </m:r>
          </m:e>
          <m:sub>
            <m:r>
              <m:rPr/>
              <m:t>t</m:t>
            </m:r>
          </m:sub>
        </m:sSub>
        <m:r>
          <m:rPr>
            <m:sty m:val="p"/>
          </m:rPr>
          <m:t>=max</m:t>
        </m:r>
        <m:d>
          <m:dPr>
            <m:sepChr m:val=""/>
          </m:dPr>
          <m:e>
            <m:r>
              <m:rPr/>
              <m:t>0.01</m:t>
            </m:r>
            <m:r>
              <m:rPr>
                <m:sty m:val="p"/>
              </m:rPr>
              <m:t>,</m:t>
            </m:r>
            <m:f>
              <m:fPr/>
              <m:num>
                <m:sSub>
                  <m:sSubPr/>
                  <m:e>
                    <m:r>
                      <m:rPr/>
                      <m:t>T</m:t>
                    </m:r>
                  </m:e>
                  <m:sub>
                    <m:r>
                      <m:rPr/>
                      <m:t>w</m:t>
                    </m:r>
                  </m:sub>
                </m:sSub>
              </m:num>
              <m:den>
                <m:r>
                  <m:rPr/>
                  <m:t>2</m:t>
                </m:r>
                <m:sSub>
                  <m:sSubPr/>
                  <m:e>
                    <m:r>
                      <m:rPr/>
                      <m:t>T</m:t>
                    </m:r>
                  </m:e>
                  <m:sub>
                    <m:r>
                      <m:rPr/>
                      <m:t>m</m:t>
                    </m:r>
                  </m:sub>
                </m:sSub>
              </m:den>
            </m:f>
          </m:e>
        </m:d>
        <m:r>
          <m:rPr>
            <m:sty m:val="p"/>
          </m:rPr>
          <m:t>,</m:t>
        </m:r>
        <m:sSub>
          <m:sSubPr/>
          <m:e>
            <m:r>
              <m:rPr/>
              <m:t>δ</m:t>
            </m:r>
          </m:e>
          <m:sub>
            <m:r>
              <m:rPr/>
              <m:t>t</m:t>
            </m:r>
          </m:sub>
        </m:sSub>
        <m:r>
          <m:rPr>
            <m:sty m:val="p"/>
          </m:rPr>
          <m:t>&lt;</m:t>
        </m:r>
        <m:sSub>
          <m:sSubPr/>
          <m:e>
            <m:r>
              <m:rPr/>
              <m:t>t</m:t>
            </m:r>
          </m:e>
          <m:sub>
            <m:r>
              <m:rPr/>
              <m:t>c</m:t>
            </m:r>
          </m:sub>
        </m:sSub>
        <m:r>
          <m:rPr>
            <m:sty m:val="p"/>
          </m:rPr>
          <m:t>/</m:t>
        </m:r>
        <m:sSub>
          <m:sSubPr/>
          <m:e>
            <m:r>
              <m:rPr/>
              <m:t>T</m:t>
            </m:r>
          </m:e>
          <m:sub>
            <m:r>
              <m:rPr/>
              <m:t>m</m:t>
            </m:r>
          </m:sub>
        </m:sSub>
        <m:r>
          <m:rPr>
            <m:sty m:val="p"/>
          </m:rPr>
          <m:t>&lt;</m:t>
        </m:r>
        <m:r>
          <m:rPr/>
          <m:t>1</m:t>
        </m:r>
        <m:r>
          <m:rPr>
            <m:sty m:val="p"/>
          </m:rPr>
          <m:t>−</m:t>
        </m:r>
        <m:sSub>
          <m:sSubPr/>
          <m:e>
            <m:r>
              <m:rPr/>
              <m:t>δ</m:t>
            </m:r>
          </m:e>
          <m:sub>
            <m:r>
              <m:rPr/>
              <m:t>t</m:t>
            </m:r>
          </m:sub>
        </m:sSub>
      </m:oMath>
      <w:r>
        <w:tab/>
      </w:r>
      <w:r>
        <w:t>(5</w:t>
      </w:r>
      <w:r>
        <w:noBreakHyphen/>
      </w:r>
      <w:r>
        <w:t>14)</w:t>
      </w:r>
    </w:p>
    <w:p w14:paraId="2E2B0248">
      <w:r>
        <w:t xml:space="preserve"> </w:t>
      </w:r>
    </w:p>
    <w:p w14:paraId="275389CA">
      <w:r>
        <w:rPr>
          <w:rFonts w:hint="eastAsia"/>
        </w:rPr>
        <w:t>当前参数下</w:t>
      </w:r>
      <m:oMath>
        <m:sSub>
          <m:sSubPr/>
          <m:e>
            <m:r>
              <m:rPr/>
              <m:t>δ</m:t>
            </m:r>
          </m:e>
          <m:sub>
            <m:r>
              <m:rPr/>
              <m:t>t</m:t>
            </m:r>
          </m:sub>
        </m:sSub>
        <m:r>
          <m:rPr>
            <m:sty m:val="p"/>
          </m:rPr>
          <m:t>≈</m:t>
        </m:r>
        <m:r>
          <m:rPr/>
          <m:t>0.029</m:t>
        </m:r>
      </m:oMath>
      <w:r>
        <w:rPr>
          <w:rFonts w:hint="eastAsia"/>
        </w:rPr>
        <w:t>，对应约2.9%的边界保护区。经检查，该步骤仅额外剔除了少量失锁点，保留下来的均为原始观测散点。</w:t>
      </w:r>
    </w:p>
    <w:p w14:paraId="56D3D63E">
      <w:r>
        <w:rPr>
          <w:rFonts w:hint="eastAsia"/>
        </w:rPr>
        <w:t>经去嵌入和三步清洗后，最终保留45个有效散点，频率范围为36.43~37.50</w:t>
      </w:r>
      <w:r>
        <w:t xml:space="preserve"> </w:t>
      </w:r>
      <w:r>
        <w:rPr>
          <w:rFonts w:hint="eastAsia"/>
        </w:rPr>
        <w:t>GHz，群时延范围为1.10~7.59</w:t>
      </w:r>
      <w:r>
        <w:t xml:space="preserve"> </w:t>
      </w:r>
      <w:r>
        <w:rPr>
          <w:rFonts w:hint="eastAsia"/>
        </w:rPr>
        <w:t>ns，完整覆盖双峰演化区间。图5-10给出了清洗后散点与理论真值曲线的对比结果。</w:t>
      </w:r>
    </w:p>
    <w:p w14:paraId="3A8753A1">
      <w:r>
        <w:drawing>
          <wp:inline distT="0" distB="0" distL="114300" distR="114300">
            <wp:extent cx="5753100" cy="4115435"/>
            <wp:effectExtent l="0" t="0" r="0" b="0"/>
            <wp:docPr id="2120017880" name="Picture" descr="图5-10 经去嵌入与物理约束清洗后的群时延特征散点与ADS理论真值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17880" name="Picture" descr="图5-10 经去嵌入与物理约束清洗后的群时延特征散点与ADS理论真值对比"/>
                    <pic:cNvPicPr>
                      <a:picLocks noChangeAspect="1" noChangeArrowheads="1"/>
                    </pic:cNvPicPr>
                  </pic:nvPicPr>
                  <pic:blipFill>
                    <a:blip r:embed="rId38"/>
                    <a:stretch>
                      <a:fillRect/>
                    </a:stretch>
                  </pic:blipFill>
                  <pic:spPr>
                    <a:xfrm>
                      <a:off x="0" y="0"/>
                      <a:ext cx="5753100" cy="4116058"/>
                    </a:xfrm>
                    <a:prstGeom prst="rect">
                      <a:avLst/>
                    </a:prstGeom>
                    <a:noFill/>
                    <a:ln w="9525">
                      <a:noFill/>
                    </a:ln>
                  </pic:spPr>
                </pic:pic>
              </a:graphicData>
            </a:graphic>
          </wp:inline>
        </w:drawing>
      </w:r>
    </w:p>
    <w:p w14:paraId="6200E85E">
      <w:r>
        <w:rPr>
          <w:rFonts w:hint="eastAsia"/>
        </w:rPr>
        <w:t>图5-10</w:t>
      </w:r>
      <w:r>
        <w:t xml:space="preserve"> </w:t>
      </w:r>
      <w:r>
        <w:rPr>
          <w:rFonts w:hint="eastAsia"/>
        </w:rPr>
        <w:t>经去嵌入与物理约束清洗后的群时延特征散点与ADS理论真值对比</w:t>
      </w:r>
    </w:p>
    <w:p w14:paraId="5DD3DE3B">
      <w:r>
        <w:rPr>
          <w:rFonts w:hint="eastAsia"/>
        </w:rPr>
        <w:t>为定量的评价特征轨迹提取精度，将45个有效散点与ADS导出的群时延真值逐点比较。按局部色散梯度</w:t>
      </w:r>
      <m:oMath>
        <m:r>
          <m:rPr>
            <m:sty m:val="p"/>
          </m:rPr>
          <m:t>|</m:t>
        </m:r>
        <m:r>
          <m:rPr/>
          <m:t>d</m:t>
        </m:r>
        <m:sSub>
          <m:sSubPr/>
          <m:e>
            <m:r>
              <m:rPr/>
              <m:t>τ</m:t>
            </m:r>
          </m:e>
          <m:sub>
            <m:r>
              <m:rPr/>
              <m:t>g</m:t>
            </m:r>
          </m:sub>
        </m:sSub>
        <m:r>
          <m:rPr>
            <m:sty m:val="p"/>
          </m:rPr>
          <m:t>/</m:t>
        </m:r>
        <m:r>
          <m:rPr/>
          <m:t>df</m:t>
        </m:r>
        <m:r>
          <m:rPr>
            <m:sty m:val="p"/>
          </m:rPr>
          <m:t>|</m:t>
        </m:r>
      </m:oMath>
      <w:r>
        <w:rPr>
          <w:rFonts w:hint="eastAsia"/>
        </w:rPr>
        <w:t>将频率轴划分为三个区间：通带平坦区对应</w:t>
      </w:r>
      <m:oMath>
        <m:r>
          <m:rPr>
            <m:sty m:val="p"/>
          </m:rPr>
          <m:t>|</m:t>
        </m:r>
        <m:r>
          <m:rPr/>
          <m:t>d</m:t>
        </m:r>
        <m:sSub>
          <m:sSubPr/>
          <m:e>
            <m:r>
              <m:rPr/>
              <m:t>τ</m:t>
            </m:r>
          </m:e>
          <m:sub>
            <m:r>
              <m:rPr/>
              <m:t>g</m:t>
            </m:r>
          </m:sub>
        </m:sSub>
        <m:r>
          <m:rPr>
            <m:sty m:val="p"/>
          </m:rPr>
          <m:t>/</m:t>
        </m:r>
        <m:r>
          <m:rPr/>
          <m:t>df</m:t>
        </m:r>
        <m:r>
          <m:rPr>
            <m:sty m:val="p"/>
          </m:rPr>
          <m:t>|&lt;</m:t>
        </m:r>
        <m:r>
          <m:rPr/>
          <m:t>10</m:t>
        </m:r>
      </m:oMath>
      <w:r>
        <w:t xml:space="preserve"> </w:t>
      </w:r>
      <w:r>
        <w:rPr>
          <w:rFonts w:hint="eastAsia"/>
        </w:rPr>
        <w:t>ns/GHz的低梯度区域（36.7~37.3</w:t>
      </w:r>
      <w:r>
        <w:t xml:space="preserve"> </w:t>
      </w:r>
      <w:r>
        <w:rPr>
          <w:rFonts w:hint="eastAsia"/>
        </w:rPr>
        <w:t>GHz），色散双峰陡变区对应</w:t>
      </w:r>
      <m:oMath>
        <m:r>
          <m:rPr>
            <m:sty m:val="p"/>
          </m:rPr>
          <m:t>|</m:t>
        </m:r>
        <m:r>
          <m:rPr/>
          <m:t>d</m:t>
        </m:r>
        <m:sSub>
          <m:sSubPr/>
          <m:e>
            <m:r>
              <m:rPr/>
              <m:t>τ</m:t>
            </m:r>
          </m:e>
          <m:sub>
            <m:r>
              <m:rPr/>
              <m:t>g</m:t>
            </m:r>
          </m:sub>
        </m:sSub>
        <m:r>
          <m:rPr>
            <m:sty m:val="p"/>
          </m:rPr>
          <m:t>/</m:t>
        </m:r>
        <m:r>
          <m:rPr/>
          <m:t>df</m:t>
        </m:r>
        <m:r>
          <m:rPr>
            <m:sty m:val="p"/>
          </m:rPr>
          <m:t>|&gt;</m:t>
        </m:r>
        <m:r>
          <m:rPr/>
          <m:t>50</m:t>
        </m:r>
      </m:oMath>
      <w:r>
        <w:t xml:space="preserve"> </w:t>
      </w:r>
      <w:r>
        <w:rPr>
          <w:rFonts w:hint="eastAsia"/>
        </w:rPr>
        <w:t>ns/GHz的高梯度区域（峰顶附近），色散过渡区为两者之间的中等梯度区域（过渡带）。统计结果见表5-5。</w:t>
      </w:r>
    </w:p>
    <w:p w14:paraId="528EE4DB">
      <w:r>
        <w:rPr>
          <w:rFonts w:hint="eastAsia"/>
        </w:rPr>
        <w:t>表5-5</w:t>
      </w:r>
      <w:r>
        <w:t xml:space="preserve"> </w:t>
      </w:r>
      <w:r>
        <w:rPr>
          <w:rFonts w:hint="eastAsia"/>
        </w:rPr>
        <w:t>时延特征点提取精度统计</w:t>
      </w:r>
    </w:p>
    <w:tbl>
      <w:tblPr>
        <w:tblStyle w:val="30"/>
        <w:tblW w:w="0" w:type="auto"/>
        <w:tblInd w:w="0" w:type="dxa"/>
        <w:tblLayout w:type="autofit"/>
        <w:tblCellMar>
          <w:top w:w="0" w:type="dxa"/>
          <w:left w:w="108" w:type="dxa"/>
          <w:bottom w:w="0" w:type="dxa"/>
          <w:right w:w="108" w:type="dxa"/>
        </w:tblCellMar>
      </w:tblPr>
      <w:tblGrid>
        <w:gridCol w:w="2914"/>
        <w:gridCol w:w="1230"/>
        <w:gridCol w:w="1495"/>
        <w:gridCol w:w="1615"/>
        <w:gridCol w:w="1749"/>
      </w:tblGrid>
      <w:tr w14:paraId="371E2E37">
        <w:tblPrEx>
          <w:tblCellMar>
            <w:top w:w="0" w:type="dxa"/>
            <w:left w:w="108" w:type="dxa"/>
            <w:bottom w:w="0" w:type="dxa"/>
            <w:right w:w="108" w:type="dxa"/>
          </w:tblCellMar>
        </w:tblPrEx>
        <w:trPr>
          <w:tblHeader/>
        </w:trPr>
        <w:tc>
          <w:p w14:paraId="69C8C56D">
            <w:pPr>
              <w:jc w:val="center"/>
            </w:pPr>
            <w:r>
              <w:rPr>
                <w:rFonts w:hint="eastAsia"/>
              </w:rPr>
              <w:t>频率分区</w:t>
            </w:r>
          </w:p>
        </w:tc>
        <w:tc>
          <w:p w14:paraId="7ACF0D4B">
            <w:pPr>
              <w:jc w:val="center"/>
            </w:pPr>
            <w:r>
              <w:rPr>
                <w:rFonts w:hint="eastAsia"/>
              </w:rPr>
              <w:t>散点数</w:t>
            </w:r>
          </w:p>
        </w:tc>
        <w:tc>
          <w:p w14:paraId="1917F548">
            <w:pPr>
              <w:jc w:val="center"/>
            </w:pPr>
            <w:r>
              <w:t>MAE (ns)</w:t>
            </w:r>
          </w:p>
        </w:tc>
        <w:tc>
          <w:p w14:paraId="320C9013">
            <w:pPr>
              <w:jc w:val="center"/>
            </w:pPr>
            <w:r>
              <w:t>RMSE (ns)</w:t>
            </w:r>
          </w:p>
        </w:tc>
        <w:tc>
          <w:p w14:paraId="79D1E5C7">
            <w:pPr>
              <w:jc w:val="center"/>
            </w:pPr>
            <w:r>
              <w:rPr>
                <w:rFonts w:hint="eastAsia"/>
              </w:rPr>
              <w:t>最大偏差</w:t>
            </w:r>
            <w:r>
              <w:t xml:space="preserve"> (ns)</w:t>
            </w:r>
          </w:p>
        </w:tc>
      </w:tr>
      <w:tr w14:paraId="667EFF28">
        <w:tblPrEx>
          <w:tblCellMar>
            <w:top w:w="0" w:type="dxa"/>
            <w:left w:w="108" w:type="dxa"/>
            <w:bottom w:w="0" w:type="dxa"/>
            <w:right w:w="108" w:type="dxa"/>
          </w:tblCellMar>
        </w:tblPrEx>
        <w:tc>
          <w:p w14:paraId="34DA7DEF">
            <w:pPr>
              <w:jc w:val="center"/>
            </w:pPr>
            <w:r>
              <w:rPr>
                <w:rFonts w:hint="eastAsia"/>
              </w:rPr>
              <w:t>通带平坦区（36.7~37.3</w:t>
            </w:r>
            <w:r>
              <w:t xml:space="preserve"> </w:t>
            </w:r>
            <w:r>
              <w:rPr>
                <w:rFonts w:hint="eastAsia"/>
              </w:rPr>
              <w:t>GHz）</w:t>
            </w:r>
          </w:p>
        </w:tc>
        <w:tc>
          <w:p w14:paraId="7ABC6997">
            <w:pPr>
              <w:jc w:val="center"/>
            </w:pPr>
            <w:r>
              <w:t>26</w:t>
            </w:r>
          </w:p>
        </w:tc>
        <w:tc>
          <w:p w14:paraId="31AFC804">
            <w:pPr>
              <w:jc w:val="center"/>
            </w:pPr>
            <w:r>
              <w:t>0.33</w:t>
            </w:r>
          </w:p>
        </w:tc>
        <w:tc>
          <w:p w14:paraId="792ADDC8">
            <w:pPr>
              <w:jc w:val="center"/>
            </w:pPr>
            <w:r>
              <w:t>0.40</w:t>
            </w:r>
          </w:p>
        </w:tc>
        <w:tc>
          <w:p w14:paraId="4B5BC812">
            <w:pPr>
              <w:jc w:val="center"/>
            </w:pPr>
            <w:r>
              <w:t>0.95</w:t>
            </w:r>
          </w:p>
        </w:tc>
      </w:tr>
      <w:tr w14:paraId="08BFBDE5">
        <w:tblPrEx>
          <w:tblCellMar>
            <w:top w:w="0" w:type="dxa"/>
            <w:left w:w="108" w:type="dxa"/>
            <w:bottom w:w="0" w:type="dxa"/>
            <w:right w:w="108" w:type="dxa"/>
          </w:tblCellMar>
        </w:tblPrEx>
        <w:tc>
          <w:p w14:paraId="1E3FA2FA">
            <w:pPr>
              <w:jc w:val="center"/>
            </w:pPr>
            <w:r>
              <w:rPr>
                <w:rFonts w:hint="eastAsia"/>
              </w:rPr>
              <w:t>色散过渡区（过渡带）</w:t>
            </w:r>
          </w:p>
        </w:tc>
        <w:tc>
          <w:p w14:paraId="663B8DFC">
            <w:pPr>
              <w:jc w:val="center"/>
            </w:pPr>
            <w:r>
              <w:t>15</w:t>
            </w:r>
          </w:p>
        </w:tc>
        <w:tc>
          <w:p w14:paraId="100C3DA9">
            <w:pPr>
              <w:jc w:val="center"/>
            </w:pPr>
            <w:r>
              <w:t>1.05</w:t>
            </w:r>
          </w:p>
        </w:tc>
        <w:tc>
          <w:p w14:paraId="1A0234AF">
            <w:pPr>
              <w:jc w:val="center"/>
            </w:pPr>
            <w:r>
              <w:t>1.45</w:t>
            </w:r>
          </w:p>
        </w:tc>
        <w:tc>
          <w:p w14:paraId="00CFA07C">
            <w:pPr>
              <w:jc w:val="center"/>
            </w:pPr>
            <w:r>
              <w:t>4.02</w:t>
            </w:r>
          </w:p>
        </w:tc>
      </w:tr>
      <w:tr w14:paraId="58BE0515">
        <w:tblPrEx>
          <w:tblCellMar>
            <w:top w:w="0" w:type="dxa"/>
            <w:left w:w="108" w:type="dxa"/>
            <w:bottom w:w="0" w:type="dxa"/>
            <w:right w:w="108" w:type="dxa"/>
          </w:tblCellMar>
        </w:tblPrEx>
        <w:tc>
          <w:p w14:paraId="22B84D3D">
            <w:pPr>
              <w:jc w:val="center"/>
            </w:pPr>
            <w:r>
              <w:rPr>
                <w:rFonts w:hint="eastAsia"/>
              </w:rPr>
              <w:t>色散双峰陡变区（峰顶附近）</w:t>
            </w:r>
          </w:p>
        </w:tc>
        <w:tc>
          <w:p w14:paraId="65B0A33F">
            <w:pPr>
              <w:jc w:val="center"/>
            </w:pPr>
            <w:r>
              <w:t>4</w:t>
            </w:r>
          </w:p>
        </w:tc>
        <w:tc>
          <w:p w14:paraId="7EC30E05">
            <w:pPr>
              <w:jc w:val="center"/>
            </w:pPr>
            <w:r>
              <w:t>1.67</w:t>
            </w:r>
          </w:p>
        </w:tc>
        <w:tc>
          <w:p w14:paraId="7D884444">
            <w:pPr>
              <w:jc w:val="center"/>
            </w:pPr>
            <w:r>
              <w:t>1.93</w:t>
            </w:r>
          </w:p>
        </w:tc>
        <w:tc>
          <w:p w14:paraId="15EF1411">
            <w:pPr>
              <w:jc w:val="center"/>
            </w:pPr>
            <w:r>
              <w:t>3.32</w:t>
            </w:r>
          </w:p>
        </w:tc>
      </w:tr>
      <w:tr w14:paraId="59708888">
        <w:tblPrEx>
          <w:tblCellMar>
            <w:top w:w="0" w:type="dxa"/>
            <w:left w:w="108" w:type="dxa"/>
            <w:bottom w:w="0" w:type="dxa"/>
            <w:right w:w="108" w:type="dxa"/>
          </w:tblCellMar>
        </w:tblPrEx>
        <w:tc>
          <w:p w14:paraId="28D6014D">
            <w:pPr>
              <w:jc w:val="center"/>
            </w:pPr>
            <w:r>
              <w:rPr>
                <w:rFonts w:hint="eastAsia"/>
              </w:rPr>
              <w:t>全频段综合</w:t>
            </w:r>
          </w:p>
        </w:tc>
        <w:tc>
          <w:p w14:paraId="7B11EAB2">
            <w:pPr>
              <w:jc w:val="center"/>
            </w:pPr>
            <w:r>
              <w:t>45</w:t>
            </w:r>
          </w:p>
        </w:tc>
        <w:tc>
          <w:p w14:paraId="4F5AB20C">
            <w:pPr>
              <w:jc w:val="center"/>
            </w:pPr>
            <w:r>
              <w:t>0.69</w:t>
            </w:r>
          </w:p>
        </w:tc>
        <w:tc>
          <w:p w14:paraId="1325D157">
            <w:pPr>
              <w:jc w:val="center"/>
            </w:pPr>
            <w:r>
              <w:t>1.06</w:t>
            </w:r>
          </w:p>
        </w:tc>
        <w:tc>
          <w:p w14:paraId="7AF3BC49">
            <w:pPr>
              <w:jc w:val="center"/>
            </w:pPr>
            <w:r>
              <w:t>4.02</w:t>
            </w:r>
          </w:p>
        </w:tc>
      </w:tr>
    </w:tbl>
    <w:p w14:paraId="3137CF1E">
      <w:r>
        <w:rPr>
          <w:rFonts w:hint="eastAsia"/>
        </w:rPr>
        <w:t>结果表明，通带平坦区的散点误差较小，说明ESPRIT能够较稳定地追踪群时延基线；在色散过渡区和双峰陡变区，由于梯度增大及边缘信噪比下降，绝对误差明显上升，但散点仍能保持双峰位置、峰间距和峰值包络等主拓扑信息。这说明后续拟合所需的关键信息已经由提取散点有效保留。</w:t>
      </w:r>
    </w:p>
    <w:bookmarkEnd w:id="107"/>
    <w:p w14:paraId="67E8ED57">
      <w:pPr>
        <w:pStyle w:val="4"/>
      </w:pPr>
      <w:bookmarkStart w:id="108" w:name="基于mcmc拟合的一致性检查与信息承载分析"/>
      <w:r>
        <w:rPr>
          <w:rFonts w:hint="eastAsia"/>
        </w:rPr>
        <w:t>基于MCMC拟合的一致性检查与信息承载分析</w:t>
      </w:r>
    </w:p>
    <w:p w14:paraId="03C4D05A">
      <w:r>
        <w:rPr>
          <w:rFonts w:hint="eastAsia"/>
        </w:rPr>
        <w:t>为检验上述45个有效散点是否足以支撑已知正向模型下的主导参数估计，本节构建基于MCMC的一致性检查。按照5.3节的设计信息，固定原型阶数</w:t>
      </w:r>
      <m:oMath>
        <m:r>
          <m:rPr/>
          <m:t>N</m:t>
        </m:r>
        <m:r>
          <m:rPr>
            <m:sty m:val="p"/>
          </m:rPr>
          <m:t>=</m:t>
        </m:r>
        <m:r>
          <m:rPr/>
          <m:t>5</m:t>
        </m:r>
      </m:oMath>
      <w:r>
        <w:rPr>
          <w:rFonts w:hint="eastAsia"/>
        </w:rPr>
        <w:t>和纹波</w:t>
      </w:r>
      <m:oMath>
        <m:sSub>
          <m:sSubPr/>
          <m:e>
            <m:r>
              <m:rPr/>
              <m:t>R</m:t>
            </m:r>
          </m:e>
          <m:sub>
            <m:r>
              <m:rPr/>
              <m:t>p</m:t>
            </m:r>
          </m:sub>
        </m:sSub>
        <m:r>
          <m:rPr>
            <m:sty m:val="p"/>
          </m:rPr>
          <m:t>=</m:t>
        </m:r>
        <m:r>
          <m:rPr/>
          <m:t>0.5</m:t>
        </m:r>
      </m:oMath>
      <w:r>
        <w:t xml:space="preserve"> </w:t>
      </w:r>
      <w:r>
        <w:rPr>
          <w:rFonts w:hint="eastAsia"/>
        </w:rPr>
        <w:t>dB，仅对决定主拓扑位置与尺度的中心频率</w:t>
      </w:r>
      <m:oMath>
        <m:sSub>
          <m:sSubPr/>
          <m:e>
            <m:r>
              <m:rPr/>
              <m:t>F</m:t>
            </m:r>
          </m:e>
          <m:sub>
            <m:r>
              <m:rPr/>
              <m:t>0</m:t>
            </m:r>
          </m:sub>
        </m:sSub>
      </m:oMath>
      <w:r>
        <w:rPr>
          <w:rFonts w:hint="eastAsia"/>
        </w:rPr>
        <w:t>和绝对带宽</w:t>
      </w:r>
      <m:oMath>
        <m:r>
          <m:rPr/>
          <m:t>BW</m:t>
        </m:r>
      </m:oMath>
      <w:r>
        <w:rPr>
          <w:rFonts w:hint="eastAsia"/>
        </w:rPr>
        <w:t>进行采样。设观测数据为</w:t>
      </w:r>
      <m:oMath>
        <m:sSub>
          <m:sSubPr/>
          <m:e>
            <m:r>
              <m:rPr/>
              <m:t>D</m:t>
            </m:r>
          </m:e>
          <m:sub>
            <m:r>
              <m:rPr/>
              <m:t>obs</m:t>
            </m:r>
          </m:sub>
        </m:sSub>
        <m:r>
          <m:rPr>
            <m:sty m:val="p"/>
          </m:rPr>
          <m:t>={(</m:t>
        </m:r>
        <m:sSub>
          <m:sSubPr/>
          <m:e>
            <m:r>
              <m:rPr/>
              <m:t>f</m:t>
            </m:r>
          </m:e>
          <m:sub>
            <m:r>
              <m:rPr/>
              <m:t>k</m:t>
            </m:r>
          </m:sub>
        </m:sSub>
        <m:r>
          <m:rPr>
            <m:sty m:val="p"/>
          </m:rPr>
          <m:t>,</m:t>
        </m:r>
        <m:sSub>
          <m:sSubPr/>
          <m:e>
            <m:acc>
              <m:accPr/>
              <m:e>
                <m:r>
                  <m:rPr/>
                  <m:t>τ</m:t>
                </m:r>
              </m:e>
            </m:acc>
          </m:e>
          <m:sub>
            <m:r>
              <m:rPr/>
              <m:t>k</m:t>
            </m:r>
          </m:sub>
        </m:sSub>
        <m:r>
          <m:rPr>
            <m:sty m:val="p"/>
          </m:rPr>
          <m:t>)</m:t>
        </m:r>
        <m:sSubSup>
          <m:sSubSupPr/>
          <m:e>
            <m:r>
              <m:rPr>
                <m:sty m:val="p"/>
              </m:rPr>
              <m:t>}</m:t>
            </m:r>
          </m:e>
          <m:sub>
            <m:r>
              <m:rPr/>
              <m:t>k</m:t>
            </m:r>
            <m:r>
              <m:rPr>
                <m:sty m:val="p"/>
              </m:rPr>
              <m:t>=</m:t>
            </m:r>
            <m:r>
              <m:rPr/>
              <m:t>1</m:t>
            </m:r>
          </m:sub>
          <m:sup>
            <m:r>
              <m:rPr/>
              <m:t>M</m:t>
            </m:r>
          </m:sup>
        </m:sSubSup>
      </m:oMath>
      <w:r>
        <w:rPr>
          <w:rFonts w:hint="eastAsia"/>
        </w:rPr>
        <w:t>，则后验分布满足</w:t>
      </w:r>
    </w:p>
    <w:p w14:paraId="3CF17140">
      <w:r>
        <w:t xml:space="preserve"> </w:t>
      </w:r>
    </w:p>
    <w:p w14:paraId="4CABF02A">
      <w:pPr>
        <w:pStyle w:val="44"/>
        <w:spacing w:before="0" w:after="0" w:line="400" w:lineRule="atLeast"/>
      </w:pPr>
      <w:r>
        <w:tab/>
      </w:r>
      <m:oMath>
        <m:r>
          <m:rPr/>
          <m:t>p</m:t>
        </m:r>
        <m:r>
          <m:rPr>
            <m:sty m:val="p"/>
          </m:rPr>
          <m:t>(</m:t>
        </m:r>
        <m:r>
          <m:rPr/>
          <m:t>θ</m:t>
        </m:r>
        <m:r>
          <m:rPr>
            <m:sty m:val="p"/>
          </m:rPr>
          <m:t>|</m:t>
        </m:r>
        <m:sSub>
          <m:sSubPr/>
          <m:e>
            <m:r>
              <m:rPr/>
              <m:t>D</m:t>
            </m:r>
          </m:e>
          <m:sub>
            <m:r>
              <m:rPr/>
              <m:t>obs</m:t>
            </m:r>
          </m:sub>
        </m:sSub>
        <m:r>
          <m:rPr>
            <m:sty m:val="p"/>
          </m:rPr>
          <m:t>)∝</m:t>
        </m:r>
        <m:r>
          <m:rPr/>
          <m:t>p</m:t>
        </m:r>
        <m:r>
          <m:rPr>
            <m:sty m:val="p"/>
          </m:rPr>
          <m:t>(</m:t>
        </m:r>
        <m:sSub>
          <m:sSubPr/>
          <m:e>
            <m:r>
              <m:rPr/>
              <m:t>D</m:t>
            </m:r>
          </m:e>
          <m:sub>
            <m:r>
              <m:rPr/>
              <m:t>obs</m:t>
            </m:r>
          </m:sub>
        </m:sSub>
        <m:r>
          <m:rPr>
            <m:sty m:val="p"/>
          </m:rPr>
          <m:t>|</m:t>
        </m:r>
        <m:r>
          <m:rPr/>
          <m:t>θ</m:t>
        </m:r>
        <m:r>
          <m:rPr>
            <m:sty m:val="p"/>
          </m:rPr>
          <m:t>)</m:t>
        </m:r>
        <m:r>
          <m:rPr/>
          <m:t> p</m:t>
        </m:r>
        <m:r>
          <m:rPr>
            <m:sty m:val="p"/>
          </m:rPr>
          <m:t>(</m:t>
        </m:r>
        <m:r>
          <m:rPr/>
          <m:t>θ</m:t>
        </m:r>
        <m:r>
          <m:rPr>
            <m:sty m:val="p"/>
          </m:rPr>
          <m:t>),</m:t>
        </m:r>
        <m:r>
          <m:rPr/>
          <m:t>θ</m:t>
        </m:r>
        <m:r>
          <m:rPr>
            <m:sty m:val="p"/>
          </m:rPr>
          <m:t>=[</m:t>
        </m:r>
        <m:sSub>
          <m:sSubPr/>
          <m:e>
            <m:r>
              <m:rPr/>
              <m:t>F</m:t>
            </m:r>
          </m:e>
          <m:sub>
            <m:r>
              <m:rPr/>
              <m:t>0</m:t>
            </m:r>
          </m:sub>
        </m:sSub>
        <m:r>
          <m:rPr>
            <m:sty m:val="p"/>
          </m:rPr>
          <m:t>,</m:t>
        </m:r>
        <m:r>
          <m:rPr/>
          <m:t>BW</m:t>
        </m:r>
        <m:sSup>
          <m:sSupPr/>
          <m:e>
            <m:r>
              <m:rPr>
                <m:sty m:val="p"/>
              </m:rPr>
              <m:t>]</m:t>
            </m:r>
          </m:e>
          <m:sup>
            <m:r>
              <m:rPr/>
              <m:t>T</m:t>
            </m:r>
          </m:sup>
        </m:sSup>
      </m:oMath>
      <w:r>
        <w:tab/>
      </w:r>
      <w:r>
        <w:t>(5</w:t>
      </w:r>
      <w:r>
        <w:noBreakHyphen/>
      </w:r>
      <w:r>
        <w:t>15)</w:t>
      </w:r>
    </w:p>
    <w:p w14:paraId="082455C7">
      <w:r>
        <w:t xml:space="preserve"> </w:t>
      </w:r>
    </w:p>
    <w:p w14:paraId="5FA4EB9D">
      <w:r>
        <w:rPr>
          <w:rFonts w:hint="eastAsia"/>
        </w:rPr>
        <w:t>考虑到不同频段散点的信噪比存在差异，采用基于局部幅度的权重因子</w:t>
      </w:r>
    </w:p>
    <w:p w14:paraId="27717BBC">
      <w:r>
        <w:t xml:space="preserve"> </w:t>
      </w:r>
    </w:p>
    <w:p w14:paraId="6B313614">
      <w:pPr>
        <w:pStyle w:val="44"/>
        <w:spacing w:before="0" w:after="0" w:line="400" w:lineRule="atLeast"/>
      </w:pPr>
      <w:r>
        <w:tab/>
      </w:r>
      <m:oMath>
        <m:sSub>
          <m:sSubPr/>
          <m:e>
            <m:r>
              <m:rPr/>
              <m:t>w</m:t>
            </m:r>
          </m:e>
          <m:sub>
            <m:r>
              <m:rPr/>
              <m:t>k</m:t>
            </m:r>
          </m:sub>
        </m:sSub>
        <m:r>
          <m:rPr>
            <m:sty m:val="p"/>
          </m:rPr>
          <m:t>=</m:t>
        </m:r>
        <m:sSup>
          <m:sSupPr/>
          <m:e>
            <m:d>
              <m:dPr>
                <m:sepChr m:val=""/>
              </m:dPr>
              <m:e>
                <m:f>
                  <m:fPr/>
                  <m:num>
                    <m:sSub>
                      <m:sSubPr/>
                      <m:e>
                        <m:r>
                          <m:rPr/>
                          <m:t>A</m:t>
                        </m:r>
                      </m:e>
                      <m:sub>
                        <m:r>
                          <m:rPr/>
                          <m:t>rms</m:t>
                        </m:r>
                      </m:sub>
                    </m:sSub>
                    <m:r>
                      <m:rPr>
                        <m:sty m:val="p"/>
                      </m:rPr>
                      <m:t>(</m:t>
                    </m:r>
                    <m:sSub>
                      <m:sSubPr/>
                      <m:e>
                        <m:r>
                          <m:rPr/>
                          <m:t>f</m:t>
                        </m:r>
                      </m:e>
                      <m:sub>
                        <m:r>
                          <m:rPr/>
                          <m:t>k</m:t>
                        </m:r>
                      </m:sub>
                    </m:sSub>
                    <m:r>
                      <m:rPr>
                        <m:sty m:val="p"/>
                      </m:rPr>
                      <m:t>)</m:t>
                    </m:r>
                  </m:num>
                  <m:den>
                    <m:r>
                      <m:rPr>
                        <m:sty m:val="p"/>
                      </m:rPr>
                      <m:t>max{</m:t>
                    </m:r>
                    <m:sSub>
                      <m:sSubPr/>
                      <m:e>
                        <m:r>
                          <m:rPr/>
                          <m:t>A</m:t>
                        </m:r>
                      </m:e>
                      <m:sub>
                        <m:r>
                          <m:rPr/>
                          <m:t>rms</m:t>
                        </m:r>
                      </m:sub>
                    </m:sSub>
                    <m:r>
                      <m:rPr>
                        <m:sty m:val="p"/>
                      </m:rPr>
                      <m:t>}</m:t>
                    </m:r>
                  </m:den>
                </m:f>
              </m:e>
            </m:d>
          </m:e>
          <m:sup>
            <m:r>
              <m:rPr/>
              <m:t>2</m:t>
            </m:r>
          </m:sup>
        </m:sSup>
      </m:oMath>
      <w:r>
        <w:tab/>
      </w:r>
      <w:r>
        <w:t>(5</w:t>
      </w:r>
      <w:r>
        <w:noBreakHyphen/>
      </w:r>
      <w:r>
        <w:t>16)</w:t>
      </w:r>
    </w:p>
    <w:p w14:paraId="101BDE08">
      <w:r>
        <w:t xml:space="preserve"> </w:t>
      </w:r>
    </w:p>
    <w:p w14:paraId="22D715E2">
      <w:r>
        <w:rPr>
          <w:rFonts w:hint="eastAsia"/>
        </w:rPr>
        <w:t>并构建加权对数似然函数</w:t>
      </w:r>
    </w:p>
    <w:p w14:paraId="2FB87452">
      <w:r>
        <w:t xml:space="preserve"> </w:t>
      </w:r>
    </w:p>
    <w:p w14:paraId="51B50F58">
      <w:pPr>
        <w:pStyle w:val="44"/>
        <w:spacing w:before="0" w:after="0" w:line="400" w:lineRule="atLeast"/>
      </w:pPr>
      <w:r>
        <w:tab/>
      </w:r>
      <m:oMath>
        <m:r>
          <m:rPr>
            <m:sty m:val="p"/>
          </m:rPr>
          <m:t>ln</m:t>
        </m:r>
        <m:r>
          <m:rPr/>
          <m:t>L</m:t>
        </m:r>
        <m:r>
          <m:rPr>
            <m:sty m:val="p"/>
          </m:rPr>
          <m:t>(</m:t>
        </m:r>
        <m:r>
          <m:rPr/>
          <m:t>θ</m:t>
        </m:r>
        <m:r>
          <m:rPr>
            <m:sty m:val="p"/>
          </m:rPr>
          <m:t>)=−</m:t>
        </m:r>
        <m:f>
          <m:fPr/>
          <m:num>
            <m:r>
              <m:rPr/>
              <m:t>1</m:t>
            </m:r>
          </m:num>
          <m:den>
            <m:r>
              <m:rPr/>
              <m:t>2</m:t>
            </m:r>
          </m:den>
        </m:f>
        <m:nary>
          <m:naryPr>
            <m:chr m:val="∑"/>
            <m:limLoc m:val="undOvr"/>
          </m:naryPr>
          <m:sub>
            <m:r>
              <m:rPr/>
              <m:t>k</m:t>
            </m:r>
            <m:r>
              <m:rPr>
                <m:sty m:val="p"/>
              </m:rPr>
              <m:t>=</m:t>
            </m:r>
            <m:r>
              <m:rPr/>
              <m:t>1</m:t>
            </m:r>
          </m:sub>
          <m:sup>
            <m:r>
              <m:rPr/>
              <m:t>M</m:t>
            </m:r>
          </m:sup>
          <m:e>
            <m:sSub>
              <m:sSubPr/>
              <m:e>
                <m:r>
                  <m:rPr/>
                  <m:t>w</m:t>
                </m:r>
              </m:e>
              <m:sub>
                <m:r>
                  <m:rPr/>
                  <m:t>k</m:t>
                </m:r>
              </m:sub>
            </m:sSub>
          </m:e>
        </m:nary>
        <m:sSup>
          <m:sSupPr/>
          <m:e>
            <m:d>
              <m:dPr>
                <m:sepChr m:val=""/>
              </m:dPr>
              <m:e>
                <m:f>
                  <m:fPr/>
                  <m:num>
                    <m:sSub>
                      <m:sSubPr/>
                      <m:e>
                        <m:acc>
                          <m:accPr/>
                          <m:e>
                            <m:r>
                              <m:rPr/>
                              <m:t>τ</m:t>
                            </m:r>
                          </m:e>
                        </m:acc>
                      </m:e>
                      <m:sub>
                        <m:r>
                          <m:rPr/>
                          <m:t>k</m:t>
                        </m:r>
                      </m:sub>
                    </m:sSub>
                    <m:r>
                      <m:rPr>
                        <m:sty m:val="p"/>
                      </m:rPr>
                      <m:t>−</m:t>
                    </m:r>
                    <m:sSubSup>
                      <m:sSubSupPr/>
                      <m:e>
                        <m:r>
                          <m:rPr/>
                          <m:t>τ</m:t>
                        </m:r>
                      </m:e>
                      <m:sub>
                        <m:r>
                          <m:rPr/>
                          <m:t>g</m:t>
                        </m:r>
                      </m:sub>
                      <m:sup>
                        <m:r>
                          <m:rPr/>
                          <m:t>theory</m:t>
                        </m:r>
                      </m:sup>
                    </m:sSubSup>
                    <m:r>
                      <m:rPr>
                        <m:sty m:val="p"/>
                      </m:rPr>
                      <m:t>(</m:t>
                    </m:r>
                    <m:sSub>
                      <m:sSubPr/>
                      <m:e>
                        <m:r>
                          <m:rPr/>
                          <m:t>f</m:t>
                        </m:r>
                      </m:e>
                      <m:sub>
                        <m:r>
                          <m:rPr/>
                          <m:t>k</m:t>
                        </m:r>
                      </m:sub>
                    </m:sSub>
                    <m:r>
                      <m:rPr>
                        <m:sty m:val="p"/>
                      </m:rPr>
                      <m:t>;</m:t>
                    </m:r>
                    <m:r>
                      <m:rPr/>
                      <m:t>θ</m:t>
                    </m:r>
                    <m:r>
                      <m:rPr>
                        <m:sty m:val="p"/>
                      </m:rPr>
                      <m:t>)</m:t>
                    </m:r>
                  </m:num>
                  <m:den>
                    <m:sSub>
                      <m:sSubPr/>
                      <m:e>
                        <m:r>
                          <m:rPr/>
                          <m:t>σ</m:t>
                        </m:r>
                      </m:e>
                      <m:sub>
                        <m:r>
                          <m:rPr/>
                          <m:t>meas</m:t>
                        </m:r>
                      </m:sub>
                    </m:sSub>
                  </m:den>
                </m:f>
              </m:e>
            </m:d>
          </m:e>
          <m:sup>
            <m:r>
              <m:rPr/>
              <m:t>2</m:t>
            </m:r>
          </m:sup>
        </m:sSup>
      </m:oMath>
      <w:r>
        <w:tab/>
      </w:r>
      <w:r>
        <w:t>(5</w:t>
      </w:r>
      <w:r>
        <w:noBreakHyphen/>
      </w:r>
      <w:r>
        <w:t>17)</w:t>
      </w:r>
    </w:p>
    <w:p w14:paraId="69468602">
      <w:r>
        <w:t xml:space="preserve"> </w:t>
      </w:r>
    </w:p>
    <w:p w14:paraId="4C4FE498">
      <w:r>
        <w:rPr>
          <w:rFonts w:hint="eastAsia"/>
        </w:rPr>
        <w:t>其中</w:t>
      </w:r>
      <m:oMath>
        <m:sSub>
          <m:sSubPr/>
          <m:e>
            <m:r>
              <m:rPr/>
              <m:t>σ</m:t>
            </m:r>
          </m:e>
          <m:sub>
            <m:r>
              <m:rPr/>
              <m:t>meas</m:t>
            </m:r>
          </m:sub>
        </m:sSub>
        <m:r>
          <m:rPr>
            <m:sty m:val="p"/>
          </m:rPr>
          <m:t>=</m:t>
        </m:r>
        <m:r>
          <m:rPr/>
          <m:t>0.2</m:t>
        </m:r>
      </m:oMath>
      <w:r>
        <w:t xml:space="preserve"> </w:t>
      </w:r>
      <w:r>
        <w:rPr>
          <w:rFonts w:hint="eastAsia"/>
        </w:rPr>
        <w:t>ns，用于表征观测噪声量级。为避免结果依赖过窄先验，参数先验采用宽泛的均匀分布：</w:t>
      </w:r>
    </w:p>
    <w:p w14:paraId="6630A822">
      <w:r>
        <w:t xml:space="preserve"> </w:t>
      </w:r>
    </w:p>
    <w:p w14:paraId="6CCD9479">
      <w:pPr>
        <w:pStyle w:val="44"/>
        <w:spacing w:before="0" w:after="0" w:line="400" w:lineRule="atLeast"/>
      </w:pPr>
      <w:r>
        <w:tab/>
      </w:r>
      <m:oMath>
        <m:sSub>
          <m:sSubPr/>
          <m:e>
            <m:r>
              <m:rPr/>
              <m:t>F</m:t>
            </m:r>
          </m:e>
          <m:sub>
            <m:r>
              <m:rPr/>
              <m:t>0</m:t>
            </m:r>
          </m:sub>
        </m:sSub>
        <m:r>
          <m:rPr>
            <m:sty m:val="p"/>
          </m:rPr>
          <m:t>∼</m:t>
        </m:r>
        <m:r>
          <m:rPr/>
          <m:t>U</m:t>
        </m:r>
        <m:r>
          <m:rPr>
            <m:sty m:val="p"/>
          </m:rPr>
          <m:t>(</m:t>
        </m:r>
        <m:r>
          <m:rPr/>
          <m:t>36</m:t>
        </m:r>
        <m:r>
          <m:rPr>
            <m:sty m:val="p"/>
          </m:rPr>
          <m:t>,</m:t>
        </m:r>
        <m:r>
          <m:rPr/>
          <m:t>38</m:t>
        </m:r>
        <m:r>
          <m:rPr>
            <m:sty m:val="p"/>
          </m:rPr>
          <m:t>)</m:t>
        </m:r>
        <m:r>
          <m:rPr/>
          <m:t> </m:t>
        </m:r>
        <m:r>
          <m:rPr>
            <m:nor/>
            <m:sty m:val="p"/>
          </m:rPr>
          <w:rPr>
            <w:b w:val="0"/>
            <w:i w:val="0"/>
          </w:rPr>
          <m:t>GHz</m:t>
        </m:r>
        <m:r>
          <m:rPr>
            <m:sty m:val="p"/>
          </m:rPr>
          <m:t>,</m:t>
        </m:r>
        <m:r>
          <m:rPr/>
          <m:t>BW</m:t>
        </m:r>
        <m:r>
          <m:rPr>
            <m:sty m:val="p"/>
          </m:rPr>
          <m:t>∼</m:t>
        </m:r>
        <m:r>
          <m:rPr/>
          <m:t>U</m:t>
        </m:r>
        <m:r>
          <m:rPr>
            <m:sty m:val="p"/>
          </m:rPr>
          <m:t>(</m:t>
        </m:r>
        <m:r>
          <m:rPr/>
          <m:t>0.5</m:t>
        </m:r>
        <m:r>
          <m:rPr>
            <m:sty m:val="p"/>
          </m:rPr>
          <m:t>,</m:t>
        </m:r>
        <m:r>
          <m:rPr/>
          <m:t>2.0</m:t>
        </m:r>
        <m:r>
          <m:rPr>
            <m:sty m:val="p"/>
          </m:rPr>
          <m:t>)</m:t>
        </m:r>
        <m:r>
          <m:rPr/>
          <m:t> </m:t>
        </m:r>
        <m:r>
          <m:rPr>
            <m:nor/>
            <m:sty m:val="p"/>
          </m:rPr>
          <w:rPr>
            <w:b w:val="0"/>
            <w:i w:val="0"/>
          </w:rPr>
          <m:t>GHz</m:t>
        </m:r>
      </m:oMath>
      <w:r>
        <w:tab/>
      </w:r>
      <w:r>
        <w:t>(5</w:t>
      </w:r>
      <w:r>
        <w:noBreakHyphen/>
      </w:r>
      <w:r>
        <w:t>18)</w:t>
      </w:r>
    </w:p>
    <w:p w14:paraId="15761AE9">
      <w:r>
        <w:t xml:space="preserve"> </w:t>
      </w:r>
    </w:p>
    <w:p w14:paraId="38741A3E">
      <w:r>
        <w:rPr>
          <w:rFonts w:hint="eastAsia"/>
        </w:rPr>
        <w:t>采样采用四条独立初始化的Metropolis-Hastings链，每条链长度为18000步，前6000步作为预烧期丢弃。预烧期后每链保留12000个状态，总保留样本数为48000。最终</w:t>
      </w:r>
      <m:oMath>
        <m:sSub>
          <m:sSubPr/>
          <m:e>
            <m:r>
              <m:rPr/>
              <m:t>F</m:t>
            </m:r>
          </m:e>
          <m:sub>
            <m:r>
              <m:rPr/>
              <m:t>0</m:t>
            </m:r>
          </m:sub>
        </m:sSub>
      </m:oMath>
      <w:r>
        <w:rPr>
          <w:rFonts w:hint="eastAsia"/>
        </w:rPr>
        <w:t>与</w:t>
      </w:r>
      <m:oMath>
        <m:r>
          <m:rPr/>
          <m:t>BW</m:t>
        </m:r>
      </m:oMath>
      <w:r>
        <w:rPr>
          <w:rFonts w:hint="eastAsia"/>
        </w:rPr>
        <w:t>的接受率均稳定在27%~29%区间。</w:t>
      </w:r>
    </w:p>
    <w:p w14:paraId="68DA0235">
      <w:r>
        <w:rPr>
          <w:rFonts w:hint="eastAsia"/>
        </w:rPr>
        <w:t>收敛诊断结果显示，当前两参数一致性检查可得到</w:t>
      </w:r>
      <m:oMath>
        <m:sSub>
          <m:sSubPr/>
          <m:e>
            <m:acc>
              <m:accPr/>
              <m:e>
                <m:r>
                  <m:rPr/>
                  <m:t>R</m:t>
                </m:r>
              </m:e>
            </m:acc>
          </m:e>
          <m:sub>
            <m:sSub>
              <m:sSubPr/>
              <m:e>
                <m:r>
                  <m:rPr/>
                  <m:t>F</m:t>
                </m:r>
              </m:e>
              <m:sub>
                <m:r>
                  <m:rPr/>
                  <m:t>0</m:t>
                </m:r>
              </m:sub>
            </m:sSub>
          </m:sub>
        </m:sSub>
        <m:r>
          <m:rPr>
            <m:sty m:val="p"/>
          </m:rPr>
          <m:t>=</m:t>
        </m:r>
        <m:r>
          <m:rPr/>
          <m:t>1.0004</m:t>
        </m:r>
      </m:oMath>
      <w:r>
        <w:t>、</w:t>
      </w:r>
      <m:oMath>
        <m:sSub>
          <m:sSubPr/>
          <m:e>
            <m:acc>
              <m:accPr/>
              <m:e>
                <m:r>
                  <m:rPr/>
                  <m:t>R</m:t>
                </m:r>
              </m:e>
            </m:acc>
          </m:e>
          <m:sub>
            <m:r>
              <m:rPr/>
              <m:t>BW</m:t>
            </m:r>
          </m:sub>
        </m:sSub>
        <m:r>
          <m:rPr>
            <m:sty m:val="p"/>
          </m:rPr>
          <m:t>=</m:t>
        </m:r>
        <m:r>
          <m:rPr/>
          <m:t>1.0002</m:t>
        </m:r>
      </m:oMath>
      <w:r>
        <w:rPr>
          <w:rFonts w:hint="eastAsia"/>
        </w:rPr>
        <w:t>，对应</w:t>
      </w:r>
      <m:oMath>
        <m:r>
          <m:rPr/>
          <m:t>ES</m:t>
        </m:r>
        <m:sSub>
          <m:sSubPr/>
          <m:e>
            <m:r>
              <m:rPr/>
              <m:t>S</m:t>
            </m:r>
          </m:e>
          <m:sub>
            <m:sSub>
              <m:sSubPr/>
              <m:e>
                <m:r>
                  <m:rPr/>
                  <m:t>F</m:t>
                </m:r>
              </m:e>
              <m:sub>
                <m:r>
                  <m:rPr/>
                  <m:t>0</m:t>
                </m:r>
              </m:sub>
            </m:sSub>
          </m:sub>
        </m:sSub>
        <m:r>
          <m:rPr>
            <m:sty m:val="p"/>
          </m:rPr>
          <m:t>=</m:t>
        </m:r>
        <m:r>
          <m:rPr/>
          <m:t>5809</m:t>
        </m:r>
      </m:oMath>
      <w:r>
        <w:t>、</w:t>
      </w:r>
      <m:oMath>
        <m:r>
          <m:rPr/>
          <m:t>ES</m:t>
        </m:r>
        <m:sSub>
          <m:sSubPr/>
          <m:e>
            <m:r>
              <m:rPr/>
              <m:t>S</m:t>
            </m:r>
          </m:e>
          <m:sub>
            <m:r>
              <m:rPr/>
              <m:t>BW</m:t>
            </m:r>
          </m:sub>
        </m:sSub>
        <m:r>
          <m:rPr>
            <m:sty m:val="p"/>
          </m:rPr>
          <m:t>=</m:t>
        </m:r>
        <m:r>
          <m:rPr/>
          <m:t>5776</m:t>
        </m:r>
      </m:oMath>
      <w:r>
        <w:rPr>
          <w:rFonts w:hint="eastAsia"/>
        </w:rPr>
        <w:t>，积分自相关长度分别为8.26和8.31。图5-11所示的链轨迹与一维边缘分布在预烧期后进入相同高概率区域并保持良好重叠，说明当前采样已达到较稳定的收敛状态。</w:t>
      </w:r>
    </w:p>
    <w:p w14:paraId="0DEB093B">
      <w:r>
        <w:drawing>
          <wp:inline distT="0" distB="0" distL="114300" distR="114300">
            <wp:extent cx="5753100" cy="3159760"/>
            <wp:effectExtent l="0" t="0" r="0" b="0"/>
            <wp:docPr id="2120017882" name="Picture" descr="图5-11 MCMC马尔科夫链游走轨迹与一维边缘后验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17882" name="Picture" descr="图5-11 MCMC马尔科夫链游走轨迹与一维边缘后验分布"/>
                    <pic:cNvPicPr>
                      <a:picLocks noChangeAspect="1" noChangeArrowheads="1"/>
                    </pic:cNvPicPr>
                  </pic:nvPicPr>
                  <pic:blipFill>
                    <a:blip r:embed="rId39"/>
                    <a:stretch>
                      <a:fillRect/>
                    </a:stretch>
                  </pic:blipFill>
                  <pic:spPr>
                    <a:xfrm>
                      <a:off x="0" y="0"/>
                      <a:ext cx="5753100" cy="3159949"/>
                    </a:xfrm>
                    <a:prstGeom prst="rect">
                      <a:avLst/>
                    </a:prstGeom>
                    <a:noFill/>
                    <a:ln w="9525">
                      <a:noFill/>
                    </a:ln>
                  </pic:spPr>
                </pic:pic>
              </a:graphicData>
            </a:graphic>
          </wp:inline>
        </w:drawing>
      </w:r>
    </w:p>
    <w:p w14:paraId="7880B36F">
      <w:r>
        <w:rPr>
          <w:rFonts w:hint="eastAsia"/>
        </w:rPr>
        <w:t>图5-11</w:t>
      </w:r>
      <w:r>
        <w:t xml:space="preserve"> </w:t>
      </w:r>
      <w:r>
        <w:rPr>
          <w:rFonts w:hint="eastAsia"/>
        </w:rPr>
        <w:t>MCMC马尔科夫链游走轨迹与一维边缘后验分布</w:t>
      </w:r>
    </w:p>
    <w:p w14:paraId="602F17F1">
      <w:r>
        <w:rPr>
          <w:rFonts w:hint="eastAsia"/>
        </w:rPr>
        <w:t>后验统计的全面量化评价如表5-6所示。</w:t>
      </w:r>
    </w:p>
    <w:p w14:paraId="112714FC">
      <w:r>
        <w:rPr>
          <w:rFonts w:hint="eastAsia"/>
        </w:rPr>
        <w:t>表5-6</w:t>
      </w:r>
      <w:r>
        <w:t xml:space="preserve"> </w:t>
      </w:r>
      <w:r>
        <w:rPr>
          <w:rFonts w:hint="eastAsia"/>
        </w:rPr>
        <w:t>MCMC一致性检查结果汇总</w:t>
      </w:r>
    </w:p>
    <w:tbl>
      <w:tblPr>
        <w:tblStyle w:val="30"/>
        <w:tblW w:w="5000" w:type="pct"/>
        <w:tblInd w:w="0" w:type="dxa"/>
        <w:tblLayout w:type="fixed"/>
        <w:tblCellMar>
          <w:top w:w="0" w:type="dxa"/>
          <w:left w:w="108" w:type="dxa"/>
          <w:bottom w:w="0" w:type="dxa"/>
          <w:right w:w="108" w:type="dxa"/>
        </w:tblCellMar>
      </w:tblPr>
      <w:tblGrid>
        <w:gridCol w:w="1286"/>
        <w:gridCol w:w="1286"/>
        <w:gridCol w:w="1286"/>
        <w:gridCol w:w="1286"/>
        <w:gridCol w:w="1286"/>
        <w:gridCol w:w="1286"/>
        <w:gridCol w:w="1286"/>
      </w:tblGrid>
      <w:tr w14:paraId="7D8C0B86">
        <w:tblPrEx>
          <w:tblCellMar>
            <w:top w:w="0" w:type="dxa"/>
            <w:left w:w="108" w:type="dxa"/>
            <w:bottom w:w="0" w:type="dxa"/>
            <w:right w:w="108" w:type="dxa"/>
          </w:tblCellMar>
        </w:tblPrEx>
        <w:trPr>
          <w:tblHeader/>
        </w:trPr>
        <w:tc>
          <w:p w14:paraId="5A523B99">
            <w:pPr>
              <w:jc w:val="center"/>
            </w:pPr>
            <w:r>
              <w:rPr>
                <w:rFonts w:hint="eastAsia"/>
              </w:rPr>
              <w:t>参数</w:t>
            </w:r>
          </w:p>
        </w:tc>
        <w:tc>
          <w:p w14:paraId="4D8DC404">
            <w:pPr>
              <w:jc w:val="center"/>
            </w:pPr>
            <w:r>
              <w:rPr>
                <w:rFonts w:hint="eastAsia"/>
              </w:rPr>
              <w:t>后验均值</w:t>
            </w:r>
          </w:p>
        </w:tc>
        <w:tc>
          <w:p w14:paraId="0565B641">
            <w:pPr>
              <w:jc w:val="center"/>
            </w:pPr>
            <w:r>
              <w:rPr>
                <w:rFonts w:hint="eastAsia"/>
              </w:rPr>
              <w:t>设计真值</w:t>
            </w:r>
          </w:p>
        </w:tc>
        <w:tc>
          <w:p w14:paraId="5E24306F">
            <w:pPr>
              <w:jc w:val="center"/>
            </w:pPr>
            <w:r>
              <w:rPr>
                <w:rFonts w:hint="eastAsia"/>
              </w:rPr>
              <w:t>绝对误差</w:t>
            </w:r>
          </w:p>
        </w:tc>
        <w:tc>
          <w:p w14:paraId="478911E5">
            <w:pPr>
              <w:jc w:val="center"/>
            </w:pPr>
            <w:r>
              <w:rPr>
                <w:rFonts w:hint="eastAsia"/>
              </w:rPr>
              <w:t>相对误差</w:t>
            </w:r>
          </w:p>
        </w:tc>
        <w:tc>
          <w:p w14:paraId="0079FC35">
            <w:pPr>
              <w:jc w:val="center"/>
            </w:pPr>
            <w:r>
              <w:rPr>
                <w:rFonts w:hint="eastAsia"/>
              </w:rPr>
              <w:t>95%后验区间</w:t>
            </w:r>
          </w:p>
        </w:tc>
        <w:tc>
          <w:p w14:paraId="3622E079">
            <w:pPr>
              <w:jc w:val="center"/>
            </w:pPr>
            <w:r>
              <w:rPr>
                <w:rFonts w:hint="eastAsia"/>
              </w:rPr>
              <w:t>变异系数CV</w:t>
            </w:r>
          </w:p>
        </w:tc>
      </w:tr>
      <w:tr w14:paraId="4D0E4B22">
        <w:tblPrEx>
          <w:tblCellMar>
            <w:top w:w="0" w:type="dxa"/>
            <w:left w:w="108" w:type="dxa"/>
            <w:bottom w:w="0" w:type="dxa"/>
            <w:right w:w="108" w:type="dxa"/>
          </w:tblCellMar>
        </w:tblPrEx>
        <w:tc>
          <w:p w14:paraId="1B309395">
            <w:pPr>
              <w:jc w:val="center"/>
            </w:pPr>
            <w:r>
              <w:rPr>
                <w:rFonts w:hint="eastAsia"/>
              </w:rPr>
              <w:t>中心频率</w:t>
            </w:r>
            <w:r>
              <w:t xml:space="preserve"> </w:t>
            </w:r>
            <m:oMath>
              <m:sSub>
                <m:sSubPr/>
                <m:e>
                  <m:r>
                    <m:rPr/>
                    <m:t>F</m:t>
                  </m:r>
                </m:e>
                <m:sub>
                  <m:r>
                    <m:rPr/>
                    <m:t>0</m:t>
                  </m:r>
                </m:sub>
              </m:sSub>
            </m:oMath>
          </w:p>
        </w:tc>
        <w:tc>
          <w:p w14:paraId="6ECB7B78">
            <w:pPr>
              <w:jc w:val="center"/>
            </w:pPr>
            <w:r>
              <w:t>36.9683 GHz</w:t>
            </w:r>
          </w:p>
        </w:tc>
        <w:tc>
          <w:p w14:paraId="61014739">
            <w:pPr>
              <w:jc w:val="center"/>
            </w:pPr>
            <w:r>
              <w:t>37.000 GHz</w:t>
            </w:r>
          </w:p>
        </w:tc>
        <w:tc>
          <w:p w14:paraId="43401F96">
            <w:pPr>
              <w:jc w:val="center"/>
            </w:pPr>
            <w:r>
              <w:t>32 MHz</w:t>
            </w:r>
          </w:p>
        </w:tc>
        <w:tc>
          <w:p w14:paraId="04847EC4">
            <w:pPr>
              <w:jc w:val="center"/>
            </w:pPr>
            <w:r>
              <w:t>0.086%</w:t>
            </w:r>
          </w:p>
        </w:tc>
        <w:tc>
          <w:p w14:paraId="647FE997">
            <w:pPr>
              <w:jc w:val="center"/>
            </w:pPr>
            <w:r>
              <w:t>[36.964, 36.973] GHz</w:t>
            </w:r>
          </w:p>
        </w:tc>
        <w:tc>
          <w:p w14:paraId="5727C77F">
            <w:pPr>
              <w:jc w:val="center"/>
            </w:pPr>
            <w:r>
              <w:t>0.006%</w:t>
            </w:r>
          </w:p>
        </w:tc>
      </w:tr>
      <w:tr w14:paraId="44328A24">
        <w:tblPrEx>
          <w:tblCellMar>
            <w:top w:w="0" w:type="dxa"/>
            <w:left w:w="108" w:type="dxa"/>
            <w:bottom w:w="0" w:type="dxa"/>
            <w:right w:w="108" w:type="dxa"/>
          </w:tblCellMar>
        </w:tblPrEx>
        <w:tc>
          <w:p w14:paraId="1880E75E">
            <w:pPr>
              <w:jc w:val="center"/>
            </w:pPr>
            <w:r>
              <w:rPr>
                <w:rFonts w:hint="eastAsia"/>
              </w:rPr>
              <w:t>绝对带宽</w:t>
            </w:r>
            <w:r>
              <w:t xml:space="preserve"> </w:t>
            </w:r>
            <m:oMath>
              <m:r>
                <m:rPr/>
                <m:t>BW</m:t>
              </m:r>
            </m:oMath>
          </w:p>
        </w:tc>
        <w:tc>
          <w:p w14:paraId="4D832B3C">
            <w:pPr>
              <w:jc w:val="center"/>
            </w:pPr>
            <w:r>
              <w:t>0.9862 GHz</w:t>
            </w:r>
          </w:p>
        </w:tc>
        <w:tc>
          <w:p w14:paraId="27068EC4">
            <w:pPr>
              <w:jc w:val="center"/>
            </w:pPr>
            <w:r>
              <w:t>1.000 GHz</w:t>
            </w:r>
          </w:p>
        </w:tc>
        <w:tc>
          <w:p w14:paraId="4CBAF393">
            <w:pPr>
              <w:jc w:val="center"/>
            </w:pPr>
            <w:r>
              <w:t>14 MHz</w:t>
            </w:r>
          </w:p>
        </w:tc>
        <w:tc>
          <w:p w14:paraId="476050AE">
            <w:pPr>
              <w:jc w:val="center"/>
            </w:pPr>
            <w:r>
              <w:t>1.38%</w:t>
            </w:r>
          </w:p>
        </w:tc>
        <w:tc>
          <w:p w14:paraId="10B8590C">
            <w:pPr>
              <w:jc w:val="center"/>
            </w:pPr>
            <w:r>
              <w:t>[0.978, 0.994] GHz</w:t>
            </w:r>
          </w:p>
        </w:tc>
        <w:tc>
          <w:p w14:paraId="59D628D2">
            <w:pPr>
              <w:jc w:val="center"/>
            </w:pPr>
            <w:r>
              <w:t>0.422%</w:t>
            </w:r>
          </w:p>
        </w:tc>
      </w:tr>
    </w:tbl>
    <w:p w14:paraId="3254F40E">
      <w:r>
        <w:rPr>
          <w:rFonts w:hint="eastAsia"/>
        </w:rPr>
        <w:t>表5-6显示，</w:t>
      </w:r>
      <m:oMath>
        <m:sSub>
          <m:sSubPr/>
          <m:e>
            <m:r>
              <m:rPr/>
              <m:t>F</m:t>
            </m:r>
          </m:e>
          <m:sub>
            <m:r>
              <m:rPr/>
              <m:t>0</m:t>
            </m:r>
          </m:sub>
        </m:sSub>
      </m:oMath>
      <w:r>
        <w:rPr>
          <w:rFonts w:hint="eastAsia"/>
        </w:rPr>
        <w:t>与</w:t>
      </w:r>
      <m:oMath>
        <m:r>
          <m:rPr/>
          <m:t>BW</m:t>
        </m:r>
      </m:oMath>
      <w:r>
        <w:rPr>
          <w:rFonts w:hint="eastAsia"/>
        </w:rPr>
        <w:t>的后验均值均位于设计值附近，其中</w:t>
      </w:r>
      <m:oMath>
        <m:sSub>
          <m:sSubPr/>
          <m:e>
            <m:r>
              <m:rPr/>
              <m:t>F</m:t>
            </m:r>
          </m:e>
          <m:sub>
            <m:r>
              <m:rPr/>
              <m:t>0</m:t>
            </m:r>
          </m:sub>
        </m:sSub>
      </m:oMath>
      <w:r>
        <w:rPr>
          <w:rFonts w:hint="eastAsia"/>
        </w:rPr>
        <w:t>误差为32</w:t>
      </w:r>
      <w:r>
        <w:t xml:space="preserve"> </w:t>
      </w:r>
      <w:r>
        <w:rPr>
          <w:rFonts w:hint="eastAsia"/>
        </w:rPr>
        <w:t>MHz，</w:t>
      </w:r>
      <m:oMath>
        <m:r>
          <m:rPr/>
          <m:t>BW</m:t>
        </m:r>
      </m:oMath>
      <w:r>
        <w:rPr>
          <w:rFonts w:hint="eastAsia"/>
        </w:rPr>
        <w:t>误差为14</w:t>
      </w:r>
      <w:r>
        <w:t xml:space="preserve"> </w:t>
      </w:r>
      <w:r>
        <w:rPr>
          <w:rFonts w:hint="eastAsia"/>
        </w:rPr>
        <w:t>MHz。结合表5-5可知，参与约束的主要是通带平坦区的高权重散点以及双峰位置附近的边缘信息，这说明45个有效散点已经能够为已知模型提供足够的主拓扑信息。</w:t>
      </w:r>
    </w:p>
    <w:p w14:paraId="5BCD9400">
      <w:r>
        <w:rPr>
          <w:rFonts w:hint="eastAsia"/>
        </w:rPr>
        <w:t>如图5-12所示，</w:t>
      </w:r>
      <m:oMath>
        <m:sSub>
          <m:sSubPr/>
          <m:e>
            <m:r>
              <m:rPr/>
              <m:t>F</m:t>
            </m:r>
          </m:e>
          <m:sub>
            <m:r>
              <m:rPr/>
              <m:t>0</m:t>
            </m:r>
          </m:sub>
        </m:sSub>
      </m:oMath>
      <w:r>
        <w:rPr>
          <w:rFonts w:hint="eastAsia"/>
        </w:rPr>
        <w:t>与</w:t>
      </w:r>
      <m:oMath>
        <m:r>
          <m:rPr/>
          <m:t>BW</m:t>
        </m:r>
      </m:oMath>
      <w:r>
        <w:rPr>
          <w:rFonts w:hint="eastAsia"/>
        </w:rPr>
        <w:t>的相关系数为</w:t>
      </w:r>
      <m:oMath>
        <m:r>
          <m:rPr/>
          <m:t>ρ</m:t>
        </m:r>
        <m:r>
          <m:rPr>
            <m:sty m:val="p"/>
          </m:rPr>
          <m:t>=</m:t>
        </m:r>
        <m:r>
          <m:rPr/>
          <m:t>0.217</m:t>
        </m:r>
      </m:oMath>
      <w:r>
        <w:rPr>
          <w:rFonts w:hint="eastAsia"/>
        </w:rPr>
        <w:t>，表现为弱正相关。这说明中心频率与带宽之间存在一定耦合，但整体上仍能保持较好的参数可分辨性。</w:t>
      </w:r>
    </w:p>
    <w:p w14:paraId="7DFA7B21">
      <w:r>
        <w:drawing>
          <wp:inline distT="0" distB="0" distL="114300" distR="114300">
            <wp:extent cx="5753100" cy="5476240"/>
            <wp:effectExtent l="0" t="0" r="0" b="0"/>
            <wp:docPr id="2120017884" name="Picture" descr="图5-12 联合后验分布与参数耦合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17884" name="Picture" descr="图5-12 联合后验分布与参数耦合分析"/>
                    <pic:cNvPicPr>
                      <a:picLocks noChangeAspect="1" noChangeArrowheads="1"/>
                    </pic:cNvPicPr>
                  </pic:nvPicPr>
                  <pic:blipFill>
                    <a:blip r:embed="rId40"/>
                    <a:stretch>
                      <a:fillRect/>
                    </a:stretch>
                  </pic:blipFill>
                  <pic:spPr>
                    <a:xfrm>
                      <a:off x="0" y="0"/>
                      <a:ext cx="5753100" cy="5476771"/>
                    </a:xfrm>
                    <a:prstGeom prst="rect">
                      <a:avLst/>
                    </a:prstGeom>
                    <a:noFill/>
                    <a:ln w="9525">
                      <a:noFill/>
                    </a:ln>
                  </pic:spPr>
                </pic:pic>
              </a:graphicData>
            </a:graphic>
          </wp:inline>
        </w:drawing>
      </w:r>
    </w:p>
    <w:p w14:paraId="66CBCA18">
      <w:r>
        <w:rPr>
          <w:rFonts w:hint="eastAsia"/>
        </w:rPr>
        <w:t>图5-12</w:t>
      </w:r>
      <w:r>
        <w:t xml:space="preserve"> </w:t>
      </w:r>
      <w:r>
        <w:rPr>
          <w:rFonts w:hint="eastAsia"/>
        </w:rPr>
        <w:t>联合后验分布与参数耦合分析</w:t>
      </w:r>
    </w:p>
    <w:p w14:paraId="4A58B1D5">
      <w:r>
        <w:rPr>
          <w:rFonts w:hint="eastAsia"/>
        </w:rPr>
        <w:t>将后验均值</w:t>
      </w:r>
      <m:oMath>
        <m:r>
          <m:rPr>
            <m:sty m:val="p"/>
          </m:rPr>
          <m:t>(</m:t>
        </m:r>
        <m:sSub>
          <m:sSubPr/>
          <m:e>
            <m:acc>
              <m:accPr>
                <m:chr m:val="‾"/>
              </m:accPr>
              <m:e>
                <m:r>
                  <m:rPr/>
                  <m:t>F</m:t>
                </m:r>
              </m:e>
            </m:acc>
          </m:e>
          <m:sub>
            <m:r>
              <m:rPr/>
              <m:t>0</m:t>
            </m:r>
          </m:sub>
        </m:sSub>
        <m:r>
          <m:rPr>
            <m:sty m:val="p"/>
          </m:rPr>
          <m:t>,</m:t>
        </m:r>
        <m:acc>
          <m:accPr>
            <m:chr m:val="‾"/>
          </m:accPr>
          <m:e>
            <m:r>
              <m:rPr/>
              <m:t>BW</m:t>
            </m:r>
          </m:e>
        </m:acc>
        <m:r>
          <m:rPr>
            <m:sty m:val="p"/>
          </m:rPr>
          <m:t>)</m:t>
        </m:r>
      </m:oMath>
      <w:r>
        <w:rPr>
          <w:rFonts w:hint="eastAsia"/>
        </w:rPr>
        <w:t>代入固定</w:t>
      </w:r>
      <m:oMath>
        <m:r>
          <m:rPr/>
          <m:t>N</m:t>
        </m:r>
        <m:r>
          <m:rPr>
            <m:sty m:val="p"/>
          </m:rPr>
          <m:t>=</m:t>
        </m:r>
        <m:r>
          <m:rPr/>
          <m:t>5</m:t>
        </m:r>
      </m:oMath>
      <w:r>
        <w:rPr>
          <w:rFonts w:hint="eastAsia"/>
        </w:rPr>
        <w:t>的正向模型，可得到图5-13所示的重构群时延曲线。结果显示，该重构曲线在通带平坦区能够较好贴合高密度散点中心，在双峰区域也能同时反映峰位与峰高的主要包络特征。由后验样本随机生成的100条曲线分布带较窄，说明散点集合已能够对主拓扑信息形成稳定约束。</w:t>
      </w:r>
    </w:p>
    <w:p w14:paraId="143B5346">
      <w:r>
        <w:drawing>
          <wp:inline distT="0" distB="0" distL="114300" distR="114300">
            <wp:extent cx="5753100" cy="4072255"/>
            <wp:effectExtent l="0" t="0" r="0" b="0"/>
            <wp:docPr id="2120017886" name="Picture" descr="图5-13 贝叶斯后验均值群时延重构与观测散点叠加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17886" name="Picture" descr="图5-13 贝叶斯后验均值群时延重构与观测散点叠加对比"/>
                    <pic:cNvPicPr>
                      <a:picLocks noChangeAspect="1" noChangeArrowheads="1"/>
                    </pic:cNvPicPr>
                  </pic:nvPicPr>
                  <pic:blipFill>
                    <a:blip r:embed="rId41"/>
                    <a:stretch>
                      <a:fillRect/>
                    </a:stretch>
                  </pic:blipFill>
                  <pic:spPr>
                    <a:xfrm>
                      <a:off x="0" y="0"/>
                      <a:ext cx="5753100" cy="4072582"/>
                    </a:xfrm>
                    <a:prstGeom prst="rect">
                      <a:avLst/>
                    </a:prstGeom>
                    <a:noFill/>
                    <a:ln w="9525">
                      <a:noFill/>
                    </a:ln>
                  </pic:spPr>
                </pic:pic>
              </a:graphicData>
            </a:graphic>
          </wp:inline>
        </w:drawing>
      </w:r>
    </w:p>
    <w:p w14:paraId="7FA4FD8D">
      <w:r>
        <w:rPr>
          <w:rFonts w:hint="eastAsia"/>
        </w:rPr>
        <w:t>图5-13</w:t>
      </w:r>
      <w:r>
        <w:t xml:space="preserve"> </w:t>
      </w:r>
      <w:r>
        <w:rPr>
          <w:rFonts w:hint="eastAsia"/>
        </w:rPr>
        <w:t>贝叶斯后验均值群时延重构与观测散点叠加对比</w:t>
      </w:r>
    </w:p>
    <w:p w14:paraId="4BAF2E59">
      <w:r>
        <w:rPr>
          <w:rFonts w:hint="eastAsia"/>
        </w:rPr>
        <w:t>上述结果表明，在已知正向模型形式的前提下，基于滑动窗口提取得到的时延特征散点能够对主导参数形成有效约束。即使在带通边缘存在高梯度与低信噪比干扰的情况下，基于时延轨迹的降维参数估计仍能够保持较稳定的后验收敛性与参数可分辨性。</w:t>
      </w:r>
    </w:p>
    <w:p w14:paraId="279E717B">
      <w:r>
        <w:rPr>
          <w:rFonts w:hint="eastAsia"/>
        </w:rPr>
        <w:t>因而，本章引入滤波器的意义在于提供一个色散函数形式已知、响应真值可控的验证载体，以检验LFMCW差频时延轨迹提取及模型一致性检查链路的有效性，而非将滤波器本身作为最终诊断对象。</w:t>
      </w:r>
    </w:p>
    <w:p w14:paraId="48169A74">
      <w:r>
        <w:pict>
          <v:rect id="_x0000_i1050" o:spt="1" style="height:1.5pt;width:0pt;" coordsize="21600,21600" o:hr="t" o:hrstd="t" o:hralign="center">
            <v:path/>
            <v:fill focussize="0,0"/>
            <v:stroke/>
            <v:imagedata o:title=""/>
            <o:lock v:ext="edit"/>
            <w10:wrap type="none"/>
            <w10:anchorlock/>
          </v:rect>
        </w:pict>
      </w:r>
    </w:p>
    <w:bookmarkEnd w:id="104"/>
    <w:bookmarkEnd w:id="108"/>
    <w:p w14:paraId="179E4B01">
      <w:pPr>
        <w:pStyle w:val="3"/>
      </w:pPr>
      <w:r>
        <w:rPr>
          <w:rFonts w:hint="eastAsia"/>
        </w:rPr>
        <w:t>本章小结</w:t>
      </w:r>
    </w:p>
    <w:p w14:paraId="59C0BC93">
      <w:r>
        <w:rPr>
          <w:rFonts w:hint="eastAsia"/>
        </w:rPr>
        <w:t>本章围绕前述理论与方法链路，在受控条件下完成了硬件标定与等效色散验证。实验引入结构参数已知、微波响应可稳定获取的切比雪夫带通滤波器，构建了一个不受真实等离子体瞬态波动影响的等效色散载体。</w:t>
      </w:r>
    </w:p>
    <w:p w14:paraId="387C65A9">
      <w:r>
        <w:rPr>
          <w:rFonts w:hint="eastAsia"/>
        </w:rPr>
        <w:t>在硬件层面，本章构建了基于超外差架构的Ka波段宽带LFMCW测量系统，并通过空间位移标定实验验证了其在3</w:t>
      </w:r>
      <w:r>
        <w:t xml:space="preserve"> </w:t>
      </w:r>
      <w:r>
        <w:rPr>
          <w:rFonts w:hint="eastAsia"/>
        </w:rPr>
        <w:t>GHz带宽条件下具备约3.33</w:t>
      </w:r>
      <w:r>
        <w:t xml:space="preserve"> </w:t>
      </w:r>
      <w:r>
        <w:rPr>
          <w:rFonts w:hint="eastAsia"/>
        </w:rPr>
        <w:t>ps量级的有效时延分辨能力（5.2节）；在算法验证层面，基于ADS全链路仿真、系统延迟去嵌入与物理约束清洗，提取出了与理论真值总体一致的群时延散点轨迹（5.4节）。进一步地，在已知正向模型条件下，利用MCMC对主导参数</w:t>
      </w:r>
      <m:oMath>
        <m:sSub>
          <m:sSubPr/>
          <m:e>
            <m:r>
              <m:rPr/>
              <m:t>F</m:t>
            </m:r>
          </m:e>
          <m:sub>
            <m:r>
              <m:rPr/>
              <m:t>0</m:t>
            </m:r>
          </m:sub>
        </m:sSub>
      </m:oMath>
      <w:r>
        <w:rPr>
          <w:rFonts w:hint="eastAsia"/>
        </w:rPr>
        <w:t>和</w:t>
      </w:r>
      <m:oMath>
        <m:r>
          <m:rPr/>
          <m:t>BW</m:t>
        </m:r>
      </m:oMath>
      <w:r>
        <w:rPr>
          <w:rFonts w:hint="eastAsia"/>
        </w:rPr>
        <w:t>进行一致性检查，得到与设计值接近的后验估计结果。</w:t>
      </w:r>
    </w:p>
    <w:p w14:paraId="09717234">
      <w:r>
        <w:rPr>
          <w:rFonts w:hint="eastAsia"/>
        </w:rPr>
        <w:t>第五章的结果表明，在受控等效色散场景中，本文提出的时延轨迹提取方法能够从LFMCW差频信号中恢复主拓扑信息，并为后续的参数估计提供有效支撑。这为前文方法链在强色散诊断问题中的工程应用提供了验证依据。</w:t>
      </w:r>
    </w:p>
    <w:bookmarkEnd w:id="95"/>
    <w:p w14:paraId="065251FD">
      <w:pPr>
        <w:pStyle w:val="2"/>
      </w:pPr>
      <w:bookmarkStart w:id="109" w:name="总结与展望"/>
      <w:r>
        <w:rPr>
          <w:rFonts w:hint="eastAsia"/>
        </w:rPr>
        <w:t>总结与展望</w:t>
      </w:r>
    </w:p>
    <w:p w14:paraId="12124A59">
      <w:pPr>
        <w:pStyle w:val="3"/>
      </w:pPr>
      <w:bookmarkStart w:id="110" w:name="全文总结"/>
      <w:r>
        <w:rPr>
          <w:rFonts w:hint="eastAsia"/>
        </w:rPr>
        <w:t>全文总结</w:t>
      </w:r>
    </w:p>
    <w:p w14:paraId="2790FF43">
      <w:r>
        <w:rPr>
          <w:rFonts w:hint="eastAsia"/>
        </w:rPr>
        <w:t>本文面向高超声速飞行器等离子体鞘套电子密度动态诊断问题，围绕强色散条件下传统LFMCW单峰检测链路失效这一核心问题，完成了从传播机理分析、特征提取到参数反演和工程验证的系统研究。全文工作的目标，是在强色散条件下建立一条能够稳定提取群时延轨迹并完成电子密度反演的诊断链路。</w:t>
      </w:r>
    </w:p>
    <w:p w14:paraId="3C130603">
      <w:r>
        <w:rPr>
          <w:rFonts w:hint="eastAsia"/>
        </w:rPr>
        <w:t>第二章建立了等离子体电磁特性与LFMCW诊断机理的理论基础。基于Drude模型，推导了非磁化等离子体的复介电常数、传播常数和群时延表达式，明确了截止频率、电子密度与群时延之间的关系，并给出了LFMCW差频测距机理及宽带超外差收发前端的基本架构。该章同时指出，LFMCW差频频率与传播时延之间的线性关系只在弱色散条件下成立；当截止频率逼近诊断频段时，群时延将成为频率的强非线性函数，差频信号不再保持理想的单频正弦形式，传统单峰检测和线性反演公式都会失去可靠性。这一分析为后续从单值时延测量转向群时延轨迹特征提取提供了物理依据。</w:t>
      </w:r>
    </w:p>
    <w:p w14:paraId="4790C779">
      <w:r>
        <w:rPr>
          <w:rFonts w:hint="eastAsia"/>
        </w:rPr>
        <w:t>第三章研究表明，传统LFMCW差频频率与传播时延之间的线性关系仅在弱色散条件下近似成立；当截止频率逼近诊断频段时，群时延曲线的强非线性会使差频信号转化为非稳态调频信号。针对这一变化，本文进一步建立了频率—群时延非线性映射模型，定义群时延非线性度因子，并给出了基于局部线性化与FFT分辨率约束的工程判据</w:t>
      </w:r>
      <m:oMath>
        <m:r>
          <m:rPr/>
          <m:t>χ</m:t>
        </m:r>
        <m:r>
          <m:rPr>
            <m:sty m:val="p"/>
          </m:rPr>
          <m:t>(</m:t>
        </m:r>
        <m:sSub>
          <m:sSubPr/>
          <m:e>
            <m:r>
              <m:rPr/>
              <m:t>f</m:t>
            </m:r>
          </m:e>
          <m:sub>
            <m:r>
              <m:rPr/>
              <m:t>c</m:t>
            </m:r>
          </m:sub>
        </m:sSub>
        <m:r>
          <m:rPr>
            <m:sty m:val="p"/>
          </m:rPr>
          <m:t>)=</m:t>
        </m:r>
        <m:r>
          <m:rPr/>
          <m:t>B</m:t>
        </m:r>
        <m:r>
          <m:rPr>
            <m:sty m:val="p"/>
          </m:rPr>
          <m:t>⋅</m:t>
        </m:r>
        <m:r>
          <m:rPr/>
          <m:t>η</m:t>
        </m:r>
        <m:r>
          <m:rPr>
            <m:sty m:val="p"/>
          </m:rPr>
          <m:t>(</m:t>
        </m:r>
        <m:sSub>
          <m:sSubPr/>
          <m:e>
            <m:r>
              <m:rPr/>
              <m:t>f</m:t>
            </m:r>
          </m:e>
          <m:sub>
            <m:r>
              <m:rPr/>
              <m:t>c</m:t>
            </m:r>
          </m:sub>
        </m:sSub>
        <m:r>
          <m:rPr>
            <m:sty m:val="p"/>
          </m:rPr>
          <m:t>)⋅</m:t>
        </m:r>
        <m:sSub>
          <m:sSubPr/>
          <m:e>
            <m:r>
              <m:rPr/>
              <m:t>τ</m:t>
            </m:r>
          </m:e>
          <m:sub>
            <m:r>
              <m:rPr/>
              <m:t>0</m:t>
            </m:r>
          </m:sub>
        </m:sSub>
        <m:r>
          <m:rPr>
            <m:sty m:val="p"/>
          </m:rPr>
          <m:t>≲</m:t>
        </m:r>
        <m:r>
          <m:rPr/>
          <m:t>1</m:t>
        </m:r>
      </m:oMath>
      <w:r>
        <w:rPr>
          <w:rFonts w:hint="eastAsia"/>
        </w:rPr>
        <w:t>，用于表征传统全频段FFT单峰方法的局部适用边界。结果表明，强色散条件下差频信号会出现明显的频谱散焦和系统偏差，传统单峰读数已难以稳定对应真实传播时延，诊断过程需要从单值测量转向轨迹特征提取。</w:t>
      </w:r>
    </w:p>
    <w:p w14:paraId="273C6C45">
      <w:r>
        <w:rPr>
          <w:rFonts w:hint="eastAsia"/>
        </w:rPr>
        <w:t>第四章针对强色散差频信号的非平稳特性，提出了滑动窗口、MDL、TLS-ESPRIT与MCMC相结合的处理方法。该方法先在局部时间窗口内提取瞬时差频，再重建频率—时延轨迹。鉴于碰撞频率对群时延仅表现为二阶微扰（量级为</w:t>
      </w:r>
      <m:oMath>
        <m:r>
          <m:rPr>
            <m:sty m:val="p"/>
          </m:rPr>
          <m:t>(</m:t>
        </m:r>
        <m:sSub>
          <m:sSubPr/>
          <m:e>
            <m:r>
              <m:rPr/>
              <m:t>ν</m:t>
            </m:r>
          </m:e>
          <m:sub>
            <m:r>
              <m:rPr/>
              <m:t>e</m:t>
            </m:r>
          </m:sub>
        </m:sSub>
        <m:r>
          <m:rPr>
            <m:sty m:val="p"/>
          </m:rPr>
          <m:t>/</m:t>
        </m:r>
        <m:r>
          <m:rPr/>
          <m:t>ω</m:t>
        </m:r>
        <m:sSup>
          <m:sSupPr/>
          <m:e>
            <m:r>
              <m:rPr>
                <m:sty m:val="p"/>
              </m:rPr>
              <m:t>)</m:t>
            </m:r>
          </m:e>
          <m:sup>
            <m:r>
              <m:rPr/>
              <m:t>2</m:t>
            </m:r>
          </m:sup>
        </m:sSup>
      </m:oMath>
      <w:r>
        <w:rPr>
          <w:rFonts w:hint="eastAsia"/>
        </w:rPr>
        <w:t>），本文采用固定碰撞频率、仅反演电子密度的降维策略，具有明确的物理依据。仿真结果表明，该方法在强色散条件下仍能保持较高精度，电子密度反演误差显著低于传统FFT方法；后验分布分析也表明，电子密度为强可观测参数，而碰撞频率为弱可观测参数。</w:t>
      </w:r>
    </w:p>
    <w:p w14:paraId="5F244C11">
      <w:r>
        <w:rPr>
          <w:rFonts w:hint="eastAsia"/>
        </w:rPr>
        <w:t>第五章完成了宽带LFMCW诊断系统的工程实现与等效色散验证。通过扩频链路升级，系统扫频带宽由800</w:t>
      </w:r>
      <w:r>
        <w:t xml:space="preserve"> </w:t>
      </w:r>
      <w:r>
        <w:rPr>
          <w:rFonts w:hint="eastAsia"/>
        </w:rPr>
        <w:t>MHz提升至3</w:t>
      </w:r>
      <w:r>
        <w:t xml:space="preserve"> </w:t>
      </w:r>
      <w:r>
        <w:rPr>
          <w:rFonts w:hint="eastAsia"/>
        </w:rPr>
        <w:t>GHz，并在移动靶标标定实验中实现了3.33</w:t>
      </w:r>
      <w:r>
        <w:t xml:space="preserve"> </w:t>
      </w:r>
      <w:r>
        <w:rPr>
          <w:rFonts w:hint="eastAsia"/>
        </w:rPr>
        <w:t>ps的最小时延分辨率。随后引入微波带通滤波器作为色散等效介质，在已知模型条件下对时延轨迹提取链路进行了验证。结果说明，当前系统已经具备皮秒级时延分辨能力，所提方法也能够在受控色散环境中稳定恢复特征轨迹，为后续真实等离子体实验奠定了基础。</w:t>
      </w:r>
    </w:p>
    <w:p w14:paraId="6253F5B2">
      <w:r>
        <w:rPr>
          <w:rFonts w:hint="eastAsia"/>
        </w:rPr>
        <w:t>综合全文，本文的主要结论可以概括为：强色散并不是LFMCW等离子体诊断中只能被消除的干扰，而是可以转化为可利用的物理信息；当传统全频段FFT方法失效后，基于群时延轨迹的特征提取与参数反演仍可保持稳定诊断能力；在3</w:t>
      </w:r>
      <w:r>
        <w:t xml:space="preserve"> </w:t>
      </w:r>
      <w:r>
        <w:rPr>
          <w:rFonts w:hint="eastAsia"/>
        </w:rPr>
        <w:t>GHz宽带硬件平台支持下，该方法已具备向真实等离子体实验进一步推进的基础。</w:t>
      </w:r>
    </w:p>
    <w:bookmarkEnd w:id="110"/>
    <w:p w14:paraId="50D1090C">
      <w:pPr>
        <w:pStyle w:val="3"/>
      </w:pPr>
      <w:r>
        <w:rPr>
          <w:rFonts w:hint="eastAsia"/>
        </w:rPr>
        <w:t>本文主要创新点</w:t>
      </w:r>
    </w:p>
    <w:p w14:paraId="2DA09626">
      <w:r>
        <w:rPr>
          <w:rFonts w:hint="eastAsia"/>
        </w:rPr>
        <w:t>本文的创新主要体现在以下三个方面。</w:t>
      </w:r>
    </w:p>
    <w:p w14:paraId="1C866FE7">
      <w:r>
        <w:rPr>
          <w:rFonts w:hint="eastAsia"/>
        </w:rPr>
        <w:t>一是建立了面向强色散等离子体诊断的LFMCW分析框架。本文不再将色散简单视为需要补偿的误差来源，而是从群时延轨迹出发，建立了频率与群时延之间的非线性映射关系，解释了差频信号在强色散条件下的畸变机理，并给出了传统全频段FFT单峰方法的局部工程适用判据，为后续方法设计提供了清晰的理论依据和适用范围说明。</w:t>
      </w:r>
    </w:p>
    <w:p w14:paraId="471C7D0E">
      <w:r>
        <w:rPr>
          <w:rFonts w:hint="eastAsia"/>
        </w:rPr>
        <w:t>二是提出了面向强色散非平稳差频信号的特征提取与电子密度反演方法。基于群时延对碰撞频率弱敏感这一物理特性，本文采用固定碰撞频率、仅反演电子密度的降维策略，并构建了滑动窗口、MDL、TLS-ESPRIT与MCMC组成的处理链路，实现了频率—时延轨迹提取、参数反演和不确定性量化。</w:t>
      </w:r>
    </w:p>
    <w:p w14:paraId="3E230713">
      <w:r>
        <w:rPr>
          <w:rFonts w:hint="eastAsia"/>
        </w:rPr>
        <w:t>三是完成了宽带LFMCW诊断系统的搭建，并利用色散等效介质完成了方法链路验证。系统实现了3</w:t>
      </w:r>
      <w:r>
        <w:t xml:space="preserve"> </w:t>
      </w:r>
      <w:r>
        <w:rPr>
          <w:rFonts w:hint="eastAsia"/>
        </w:rPr>
        <w:t>GHz扫频带宽和3.33</w:t>
      </w:r>
      <w:r>
        <w:t xml:space="preserve"> </w:t>
      </w:r>
      <w:r>
        <w:rPr>
          <w:rFonts w:hint="eastAsia"/>
        </w:rPr>
        <w:t>ps时延分辨率，具备较强的微小时延跟踪能力；滤波器等效实验则验证了在已知色散模型条件下，时延轨迹提取结果能够支撑后续参数计算。</w:t>
      </w:r>
    </w:p>
    <w:p w14:paraId="23126442">
      <w:pPr>
        <w:pStyle w:val="3"/>
      </w:pPr>
      <w:bookmarkStart w:id="111" w:name="研究不足与未来展望"/>
      <w:r>
        <w:rPr>
          <w:rFonts w:hint="eastAsia"/>
        </w:rPr>
        <w:t>研究不足与未来展望</w:t>
      </w:r>
    </w:p>
    <w:p w14:paraId="55C6D1CF">
      <w:r>
        <w:rPr>
          <w:rFonts w:hint="eastAsia"/>
        </w:rPr>
        <w:t>本文已经完成理论分析、方法构建和等效验证，但距离真实复杂工况下的工程应用仍有进一步提升空间。</w:t>
      </w:r>
    </w:p>
    <w:p w14:paraId="3E68E3CE">
      <w:r>
        <w:rPr>
          <w:rFonts w:hint="eastAsia"/>
        </w:rPr>
        <w:t>目前的验证仍以Drude模型仿真和色散等效介质实验为主，尚未完成真实等离子体环境下的全链路闭环测试。后续需要结合地面等离子体实验平台，对方法在时变、非均匀和强扰动条件下的稳定性与精度进行实测评估。</w:t>
      </w:r>
    </w:p>
    <w:p w14:paraId="5F9D0D1D">
      <w:r>
        <w:rPr>
          <w:rFonts w:hint="eastAsia"/>
        </w:rPr>
        <w:t>当前反演目标主要集中在电子密度，对碰撞频率尚未开展联合反演。后续可在完善系统幅度标定和链路校准的基础上，将群时延信息与幅度衰减信息结合起来，构建多观测量联合反演方法，提升对等离子体多参数的估计能力。</w:t>
      </w:r>
    </w:p>
    <w:p w14:paraId="5A65D33E">
      <w:r>
        <w:rPr>
          <w:rFonts w:hint="eastAsia"/>
        </w:rPr>
        <w:t>本文采用的正向模型仍建立在均匀、非磁化等离子体假设之上，对分层结构、非均匀分布以及磁场作用下的传播问题考虑不足。面向更接近真实飞行环境的应用场景，后续可进一步拓展至非均匀等离子体、多层色散介质和磁化等离子体条件下的建模与反演。</w:t>
      </w:r>
    </w:p>
    <w:p w14:paraId="7BF06045">
      <w:r>
        <w:rPr>
          <w:rFonts w:hint="eastAsia"/>
        </w:rPr>
        <w:t>现有算法链路仍以离线处理为主，实时性还有提升空间。后续可围绕滑动窗口特征提取、采样策略和参数更新机制开展加速优化，结合代理模型、并行计算或轻量化后验估计方法，推动该诊断方法向在线应用发展。</w:t>
      </w:r>
    </w:p>
    <w:bookmarkEnd w:id="109"/>
    <w:bookmarkEnd w:id="111"/>
    <w:p w14:paraId="3744104E">
      <w:pPr>
        <w:pStyle w:val="41"/>
      </w:pPr>
      <w:bookmarkStart w:id="112" w:name="参考文献"/>
      <w:r>
        <w:rPr>
          <w:rFonts w:hint="eastAsia"/>
        </w:rPr>
        <w:t>参考文献</w:t>
      </w:r>
    </w:p>
    <w:p w14:paraId="40390384">
      <w:pPr>
        <w:pStyle w:val="39"/>
        <w:bidi w:val="0"/>
      </w:pPr>
      <w:r>
        <w:rPr>
          <w:rFonts w:hint="eastAsia"/>
        </w:rPr>
        <w:t>刘相坤,</w:t>
      </w:r>
      <w:r>
        <w:t xml:space="preserve"> </w:t>
      </w:r>
      <w:r>
        <w:rPr>
          <w:rFonts w:hint="eastAsia"/>
        </w:rPr>
        <w:t>等.</w:t>
      </w:r>
      <w:r>
        <w:t xml:space="preserve"> </w:t>
      </w:r>
      <w:r>
        <w:rPr>
          <w:rFonts w:hint="eastAsia"/>
        </w:rPr>
        <w:t>风洞模拟等离子体中释放二氧化碳的电子密度耗散特性[J].</w:t>
      </w:r>
      <w:r>
        <w:t xml:space="preserve"> </w:t>
      </w:r>
      <w:r>
        <w:rPr>
          <w:rFonts w:hint="eastAsia"/>
        </w:rPr>
        <w:t>物理学报,</w:t>
      </w:r>
      <w:r>
        <w:t xml:space="preserve"> 2022, 71(14): 145204. doi:10.7498/aps.71.20220019.</w:t>
      </w:r>
    </w:p>
    <w:p w14:paraId="5E78AA07">
      <w:pPr>
        <w:pStyle w:val="39"/>
        <w:bidi w:val="0"/>
      </w:pPr>
      <w:r>
        <w:rPr>
          <w:rFonts w:hint="eastAsia"/>
        </w:rPr>
        <w:t>李小平,</w:t>
      </w:r>
      <w:r>
        <w:t xml:space="preserve"> </w:t>
      </w:r>
      <w:r>
        <w:rPr>
          <w:rFonts w:hint="eastAsia"/>
        </w:rPr>
        <w:t>等.</w:t>
      </w:r>
      <w:r>
        <w:t xml:space="preserve"> </w:t>
      </w:r>
      <w:r>
        <w:rPr>
          <w:rFonts w:hint="eastAsia"/>
        </w:rPr>
        <w:t>动态等离子鞘套信道相干时间估计算法与实验验证[J].</w:t>
      </w:r>
      <w:r>
        <w:t xml:space="preserve"> </w:t>
      </w:r>
      <w:r>
        <w:rPr>
          <w:rFonts w:hint="eastAsia"/>
        </w:rPr>
        <w:t>航空学报,</w:t>
      </w:r>
      <w:r>
        <w:t xml:space="preserve"> 2025, 46(22): 331613. doi:10.7527/S1000-6893.2025.331613.</w:t>
      </w:r>
    </w:p>
    <w:p w14:paraId="10CE0980">
      <w:pPr>
        <w:pStyle w:val="39"/>
        <w:bidi w:val="0"/>
      </w:pPr>
      <w:r>
        <w:rPr>
          <w:rFonts w:hint="eastAsia"/>
        </w:rPr>
        <w:t>马平,</w:t>
      </w:r>
      <w:r>
        <w:t xml:space="preserve"> </w:t>
      </w:r>
      <w:r>
        <w:rPr>
          <w:rFonts w:hint="eastAsia"/>
        </w:rPr>
        <w:t>等.</w:t>
      </w:r>
      <w:r>
        <w:t xml:space="preserve"> </w:t>
      </w:r>
      <w:r>
        <w:rPr>
          <w:rFonts w:hint="eastAsia"/>
        </w:rPr>
        <w:t>典型微波波段信号在模拟等离子体中的传输特性[J].</w:t>
      </w:r>
      <w:r>
        <w:t xml:space="preserve"> </w:t>
      </w:r>
      <w:r>
        <w:rPr>
          <w:rFonts w:hint="eastAsia"/>
        </w:rPr>
        <w:t>航空学报,</w:t>
      </w:r>
      <w:r>
        <w:t xml:space="preserve"> 2023, 44(S2): 729476. doi:10.7527/S1000-6893.2023.29476.</w:t>
      </w:r>
    </w:p>
    <w:p w14:paraId="3BBF7373">
      <w:pPr>
        <w:pStyle w:val="39"/>
        <w:bidi w:val="0"/>
      </w:pPr>
      <w:r>
        <w:rPr>
          <w:rFonts w:hint="eastAsia"/>
        </w:rPr>
        <w:t>陈禹旭,</w:t>
      </w:r>
      <w:r>
        <w:t xml:space="preserve"> </w:t>
      </w:r>
      <w:r>
        <w:rPr>
          <w:rFonts w:hint="eastAsia"/>
        </w:rPr>
        <w:t>等.</w:t>
      </w:r>
      <w:r>
        <w:t xml:space="preserve"> </w:t>
      </w:r>
      <w:r>
        <w:rPr>
          <w:rFonts w:hint="eastAsia"/>
        </w:rPr>
        <w:t>等离子体鞘层中电磁传输特性的数值仿真和实验验证[J].</w:t>
      </w:r>
      <w:r>
        <w:t xml:space="preserve"> </w:t>
      </w:r>
      <w:r>
        <w:rPr>
          <w:rFonts w:hint="eastAsia"/>
        </w:rPr>
        <w:t>强激光与粒子束,</w:t>
      </w:r>
      <w:r>
        <w:t xml:space="preserve"> 2015, 27: 032041. doi:10.11884/HPLPB201527.032041.</w:t>
      </w:r>
    </w:p>
    <w:p w14:paraId="21158489">
      <w:pPr>
        <w:pStyle w:val="39"/>
        <w:bidi w:val="0"/>
      </w:pPr>
      <w:r>
        <w:rPr>
          <w:rFonts w:hint="eastAsia"/>
        </w:rPr>
        <w:t>邢晓俊,</w:t>
      </w:r>
      <w:r>
        <w:t xml:space="preserve"> </w:t>
      </w:r>
      <w:r>
        <w:rPr>
          <w:rFonts w:hint="eastAsia"/>
        </w:rPr>
        <w:t>等.</w:t>
      </w:r>
      <w:r>
        <w:t xml:space="preserve"> </w:t>
      </w:r>
      <w:r>
        <w:rPr>
          <w:rFonts w:hint="eastAsia"/>
        </w:rPr>
        <w:t>磁窗减缓等离子体对天线性能的影响[J].</w:t>
      </w:r>
      <w:r>
        <w:t xml:space="preserve"> </w:t>
      </w:r>
      <w:r>
        <w:rPr>
          <w:rFonts w:hint="eastAsia"/>
        </w:rPr>
        <w:t>强激光与粒子束,</w:t>
      </w:r>
      <w:r>
        <w:t xml:space="preserve"> 2013, 25: 1965-1969. doi:10.3788/HPLPB20132508.1965.</w:t>
      </w:r>
    </w:p>
    <w:p w14:paraId="5DC9E5E7">
      <w:pPr>
        <w:pStyle w:val="39"/>
        <w:bidi w:val="0"/>
      </w:pPr>
      <w:r>
        <w:rPr>
          <w:rFonts w:hint="eastAsia"/>
        </w:rPr>
        <w:t>蒋金,</w:t>
      </w:r>
      <w:r>
        <w:t xml:space="preserve"> </w:t>
      </w:r>
      <w:r>
        <w:rPr>
          <w:rFonts w:hint="eastAsia"/>
        </w:rPr>
        <w:t>等.</w:t>
      </w:r>
      <w:r>
        <w:t xml:space="preserve"> </w:t>
      </w:r>
      <w:r>
        <w:rPr>
          <w:rFonts w:hint="eastAsia"/>
        </w:rPr>
        <w:t>等离子鞘套中毫米波大气窗口的衰减特性[J].</w:t>
      </w:r>
      <w:r>
        <w:t xml:space="preserve"> </w:t>
      </w:r>
      <w:r>
        <w:rPr>
          <w:rFonts w:hint="eastAsia"/>
        </w:rPr>
        <w:t>强激光与粒子束,</w:t>
      </w:r>
      <w:r>
        <w:t xml:space="preserve"> 2016, 28: 151073. doi:10.11884/HPLPB201628.151073.</w:t>
      </w:r>
    </w:p>
    <w:p w14:paraId="0BC25C3D">
      <w:pPr>
        <w:pStyle w:val="39"/>
        <w:bidi w:val="0"/>
      </w:pPr>
      <w:r>
        <w:rPr>
          <w:rFonts w:hint="eastAsia"/>
        </w:rPr>
        <w:t>陈伟芳,</w:t>
      </w:r>
      <w:r>
        <w:t xml:space="preserve"> </w:t>
      </w:r>
      <w:r>
        <w:rPr>
          <w:rFonts w:hint="eastAsia"/>
        </w:rPr>
        <w:t>等.</w:t>
      </w:r>
      <w:r>
        <w:t xml:space="preserve"> </w:t>
      </w:r>
      <w:r>
        <w:rPr>
          <w:rFonts w:hint="eastAsia"/>
        </w:rPr>
        <w:t>物理化学模型对流场电磁散射特性的影响[J].</w:t>
      </w:r>
      <w:r>
        <w:t xml:space="preserve"> </w:t>
      </w:r>
      <w:r>
        <w:rPr>
          <w:rFonts w:hint="eastAsia"/>
        </w:rPr>
        <w:t>航空学报,</w:t>
      </w:r>
      <w:r>
        <w:t xml:space="preserve"> 2023, 44(12): 127707. doi:10.7527/S1000-6893.2022.27707.</w:t>
      </w:r>
    </w:p>
    <w:p w14:paraId="00690A41">
      <w:pPr>
        <w:pStyle w:val="39"/>
        <w:bidi w:val="0"/>
      </w:pPr>
      <w:r>
        <w:rPr>
          <w:rFonts w:hint="eastAsia"/>
        </w:rPr>
        <w:t>满良,</w:t>
      </w:r>
      <w:r>
        <w:t xml:space="preserve"> </w:t>
      </w:r>
      <w:r>
        <w:rPr>
          <w:rFonts w:hint="eastAsia"/>
        </w:rPr>
        <w:t>等.</w:t>
      </w:r>
      <w:r>
        <w:t xml:space="preserve"> </w:t>
      </w:r>
      <w:r>
        <w:rPr>
          <w:rFonts w:hint="eastAsia"/>
        </w:rPr>
        <w:t>风洞模拟等离子体绕流场回波频谱调制特性实验研究[J].</w:t>
      </w:r>
      <w:r>
        <w:t xml:space="preserve"> </w:t>
      </w:r>
      <w:r>
        <w:rPr>
          <w:rFonts w:hint="eastAsia"/>
        </w:rPr>
        <w:t>物理学报,</w:t>
      </w:r>
      <w:r>
        <w:t xml:space="preserve"> 2022, 71(3): 035203. doi:10.7498/aps.71.20211471.</w:t>
      </w:r>
    </w:p>
    <w:p w14:paraId="4C5C4BC5">
      <w:pPr>
        <w:pStyle w:val="39"/>
        <w:bidi w:val="0"/>
      </w:pPr>
      <w:r>
        <w:rPr>
          <w:rFonts w:hint="eastAsia"/>
        </w:rPr>
        <w:t>吕春静,</w:t>
      </w:r>
      <w:r>
        <w:t xml:space="preserve"> </w:t>
      </w:r>
      <w:r>
        <w:rPr>
          <w:rFonts w:hint="eastAsia"/>
        </w:rPr>
        <w:t>等.</w:t>
      </w:r>
      <w:r>
        <w:t xml:space="preserve"> </w:t>
      </w:r>
      <w:r>
        <w:rPr>
          <w:rFonts w:hint="eastAsia"/>
        </w:rPr>
        <w:t>湍流等离子体鞘套中高斯光束的传播特性分析[J].</w:t>
      </w:r>
      <w:r>
        <w:t xml:space="preserve"> </w:t>
      </w:r>
      <w:r>
        <w:rPr>
          <w:rFonts w:hint="eastAsia"/>
        </w:rPr>
        <w:t>物理学报,</w:t>
      </w:r>
      <w:r>
        <w:t xml:space="preserve"> 2019, 68(9): 094201. doi:10.7498/aps.68.20182169.</w:t>
      </w:r>
    </w:p>
    <w:p w14:paraId="6B715BDA">
      <w:pPr>
        <w:pStyle w:val="39"/>
        <w:bidi w:val="0"/>
      </w:pPr>
      <w:r>
        <w:t>Ellis M C, et al. Radio transmission through the plasma sheath around a lifting reentry vehicle[R]. Washington, DC: National Aeronautics and Space Administration, 1960.</w:t>
      </w:r>
    </w:p>
    <w:p w14:paraId="7609B83F">
      <w:pPr>
        <w:pStyle w:val="39"/>
        <w:bidi w:val="0"/>
      </w:pPr>
      <w:r>
        <w:t>Zhao L, et al. Overview of research of plasma sheath around hypersonic vehicles[J]. Advanced Materials Research, 2014, 1049-1050: 1518-1521. doi:10.4028/www.scientific.net/AMR.1049-1050.1518.</w:t>
      </w:r>
    </w:p>
    <w:p w14:paraId="6AAD0BF3">
      <w:pPr>
        <w:pStyle w:val="39"/>
        <w:bidi w:val="0"/>
      </w:pPr>
      <w:r>
        <w:t>Tan Z, et al. Numerical study on plasma layer manipulation for blackout mitigation by pulsed magnetic field[J]. Aerospace Science and Technology, 2025, 160: 110039. doi:10.1016/j.ast.2025.110039.</w:t>
      </w:r>
    </w:p>
    <w:p w14:paraId="5F9B5E49">
      <w:pPr>
        <w:pStyle w:val="39"/>
        <w:bidi w:val="0"/>
      </w:pPr>
      <w:r>
        <w:t>Gallo A, et al. Magnetohydrodynamic effects on radio signal propagation in a plasma flow[J]. Experiments in Fluids, 2025, 66: 211. doi:10.1007/s00348-025-03939-z.</w:t>
      </w:r>
    </w:p>
    <w:p w14:paraId="28B59E2F">
      <w:pPr>
        <w:pStyle w:val="39"/>
        <w:bidi w:val="0"/>
      </w:pPr>
      <w:r>
        <w:rPr>
          <w:rFonts w:hint="eastAsia"/>
        </w:rPr>
        <w:t>朱家健,</w:t>
      </w:r>
      <w:r>
        <w:t xml:space="preserve"> </w:t>
      </w:r>
      <w:r>
        <w:rPr>
          <w:rFonts w:hint="eastAsia"/>
        </w:rPr>
        <w:t>等.</w:t>
      </w:r>
      <w:r>
        <w:t xml:space="preserve"> </w:t>
      </w:r>
      <w:r>
        <w:rPr>
          <w:rFonts w:hint="eastAsia"/>
        </w:rPr>
        <w:t>多通道滑动弧等离子体与燃料喷注协同强化超燃冲压发动机点火方法[J].</w:t>
      </w:r>
      <w:r>
        <w:t xml:space="preserve"> </w:t>
      </w:r>
      <w:r>
        <w:rPr>
          <w:rFonts w:hint="eastAsia"/>
        </w:rPr>
        <w:t>航空学报,</w:t>
      </w:r>
      <w:r>
        <w:t xml:space="preserve"> 2025, 46(7): 131037. doi:10.7527/S1000-6893.2024.31037.</w:t>
      </w:r>
    </w:p>
    <w:p w14:paraId="6FE72427">
      <w:pPr>
        <w:pStyle w:val="39"/>
        <w:bidi w:val="0"/>
      </w:pPr>
      <w:r>
        <w:rPr>
          <w:rFonts w:hint="eastAsia"/>
        </w:rPr>
        <w:t>杨敏,</w:t>
      </w:r>
      <w:r>
        <w:t xml:space="preserve"> </w:t>
      </w:r>
      <w:r>
        <w:rPr>
          <w:rFonts w:hint="eastAsia"/>
        </w:rPr>
        <w:t>等.</w:t>
      </w:r>
      <w:r>
        <w:t xml:space="preserve"> </w:t>
      </w:r>
      <w:r>
        <w:rPr>
          <w:rFonts w:hint="eastAsia"/>
        </w:rPr>
        <w:t>等离子体鞘套宽带微波反射诊断方法[J].</w:t>
      </w:r>
      <w:r>
        <w:t xml:space="preserve"> </w:t>
      </w:r>
      <w:r>
        <w:rPr>
          <w:rFonts w:hint="eastAsia"/>
        </w:rPr>
        <w:t>物理学报,</w:t>
      </w:r>
      <w:r>
        <w:t xml:space="preserve"> 2022, 71(23): 235201. doi:10.7498/aps.71.20221179.</w:t>
      </w:r>
    </w:p>
    <w:p w14:paraId="63B7FEFB">
      <w:pPr>
        <w:pStyle w:val="39"/>
        <w:bidi w:val="0"/>
      </w:pPr>
      <w:r>
        <w:rPr>
          <w:rFonts w:hint="eastAsia"/>
        </w:rPr>
        <w:t>薄勇,</w:t>
      </w:r>
      <w:r>
        <w:t xml:space="preserve"> </w:t>
      </w:r>
      <w:r>
        <w:rPr>
          <w:rFonts w:hint="eastAsia"/>
        </w:rPr>
        <w:t>等.</w:t>
      </w:r>
      <w:r>
        <w:t xml:space="preserve"> </w:t>
      </w:r>
      <w:r>
        <w:rPr>
          <w:rFonts w:hint="eastAsia"/>
        </w:rPr>
        <w:t>电磁波在非均匀磁化的等离子体鞘套中传输特性研究[J].</w:t>
      </w:r>
      <w:r>
        <w:t xml:space="preserve"> </w:t>
      </w:r>
      <w:r>
        <w:rPr>
          <w:rFonts w:hint="eastAsia"/>
        </w:rPr>
        <w:t>物理学报,</w:t>
      </w:r>
      <w:r>
        <w:t xml:space="preserve"> 2016, 65(3): 035201. doi:10.7498/aps.65.035201.</w:t>
      </w:r>
    </w:p>
    <w:p w14:paraId="4885585D">
      <w:pPr>
        <w:pStyle w:val="39"/>
        <w:bidi w:val="0"/>
      </w:pPr>
      <w:r>
        <w:rPr>
          <w:rFonts w:hint="eastAsia"/>
        </w:rPr>
        <w:t>刘惠平,</w:t>
      </w:r>
      <w:r>
        <w:t xml:space="preserve"> </w:t>
      </w:r>
      <w:r>
        <w:rPr>
          <w:rFonts w:hint="eastAsia"/>
        </w:rPr>
        <w:t>等.</w:t>
      </w:r>
      <w:r>
        <w:t xml:space="preserve"> </w:t>
      </w:r>
      <w:r>
        <w:rPr>
          <w:rFonts w:hint="eastAsia"/>
        </w:rPr>
        <w:t>碰撞参数对磁化电负性等离子体鞘层结构的影响[J].</w:t>
      </w:r>
      <w:r>
        <w:t xml:space="preserve"> </w:t>
      </w:r>
      <w:r>
        <w:rPr>
          <w:rFonts w:hint="eastAsia"/>
        </w:rPr>
        <w:t>物理学报,</w:t>
      </w:r>
      <w:r>
        <w:t xml:space="preserve"> 2016, 65(24): 245201. doi:10.7498/aps.65.245201.</w:t>
      </w:r>
    </w:p>
    <w:p w14:paraId="40706360">
      <w:pPr>
        <w:pStyle w:val="39"/>
        <w:bidi w:val="0"/>
      </w:pPr>
      <w:r>
        <w:rPr>
          <w:rFonts w:hint="eastAsia"/>
        </w:rPr>
        <w:t>林敏,</w:t>
      </w:r>
      <w:r>
        <w:t xml:space="preserve"> </w:t>
      </w:r>
      <w:r>
        <w:rPr>
          <w:rFonts w:hint="eastAsia"/>
        </w:rPr>
        <w:t>等.</w:t>
      </w:r>
      <w:r>
        <w:t xml:space="preserve"> </w:t>
      </w:r>
      <w:r>
        <w:rPr>
          <w:rFonts w:hint="eastAsia"/>
        </w:rPr>
        <w:t>电磁波在非磁化等离子体中衰减效应的实验研究[J].</w:t>
      </w:r>
      <w:r>
        <w:t xml:space="preserve"> </w:t>
      </w:r>
      <w:r>
        <w:rPr>
          <w:rFonts w:hint="eastAsia"/>
        </w:rPr>
        <w:t>物理学报,</w:t>
      </w:r>
      <w:r>
        <w:t xml:space="preserve"> 2015, 64(5): 055201. doi:10.7498/aps.64.055201.</w:t>
      </w:r>
    </w:p>
    <w:p w14:paraId="7FD2579F">
      <w:pPr>
        <w:pStyle w:val="39"/>
        <w:bidi w:val="0"/>
      </w:pPr>
      <w:r>
        <w:rPr>
          <w:rFonts w:hint="eastAsia"/>
        </w:rPr>
        <w:t>聂勇,</w:t>
      </w:r>
      <w:r>
        <w:t xml:space="preserve"> </w:t>
      </w:r>
      <w:r>
        <w:rPr>
          <w:rFonts w:hint="eastAsia"/>
        </w:rPr>
        <w:t>等.</w:t>
      </w:r>
      <w:r>
        <w:t xml:space="preserve"> </w:t>
      </w:r>
      <w:r>
        <w:rPr>
          <w:rFonts w:hint="eastAsia"/>
        </w:rPr>
        <w:t>电磁波在非均匀碰撞等离子体中的透射增强效应[J].</w:t>
      </w:r>
      <w:r>
        <w:t xml:space="preserve"> </w:t>
      </w:r>
      <w:r>
        <w:rPr>
          <w:rFonts w:hint="eastAsia"/>
        </w:rPr>
        <w:t>强激光与粒子束,</w:t>
      </w:r>
      <w:r>
        <w:t xml:space="preserve"> 2021, 33: 023003. doi:10.11884/HPLPB202133.200233.</w:t>
      </w:r>
    </w:p>
    <w:p w14:paraId="7BB7FF2D">
      <w:pPr>
        <w:pStyle w:val="39"/>
        <w:bidi w:val="0"/>
      </w:pPr>
      <w:r>
        <w:rPr>
          <w:rFonts w:hint="eastAsia"/>
        </w:rPr>
        <w:t>吴曦光,</w:t>
      </w:r>
      <w:r>
        <w:t xml:space="preserve"> </w:t>
      </w:r>
      <w:r>
        <w:rPr>
          <w:rFonts w:hint="eastAsia"/>
        </w:rPr>
        <w:t>等.</w:t>
      </w:r>
      <w:r>
        <w:t xml:space="preserve"> </w:t>
      </w:r>
      <w:r>
        <w:rPr>
          <w:rFonts w:hint="eastAsia"/>
        </w:rPr>
        <w:t>基于Z-FDTD的THz波与等离子体相互作用[J].</w:t>
      </w:r>
      <w:r>
        <w:t xml:space="preserve"> </w:t>
      </w:r>
      <w:r>
        <w:rPr>
          <w:rFonts w:hint="eastAsia"/>
        </w:rPr>
        <w:t>强激光与粒子束,</w:t>
      </w:r>
      <w:r>
        <w:t xml:space="preserve"> 2018, 30: 170309. doi:10.11884/HPLPB201830.170309.</w:t>
      </w:r>
    </w:p>
    <w:p w14:paraId="5D96A7CD">
      <w:pPr>
        <w:pStyle w:val="39"/>
        <w:bidi w:val="0"/>
      </w:pPr>
      <w:r>
        <w:rPr>
          <w:rFonts w:hint="eastAsia"/>
        </w:rPr>
        <w:t>陈春梅,</w:t>
      </w:r>
      <w:r>
        <w:t xml:space="preserve"> </w:t>
      </w:r>
      <w:r>
        <w:rPr>
          <w:rFonts w:hint="eastAsia"/>
        </w:rPr>
        <w:t>等.</w:t>
      </w:r>
      <w:r>
        <w:t xml:space="preserve"> </w:t>
      </w:r>
      <w:r>
        <w:rPr>
          <w:rFonts w:hint="eastAsia"/>
        </w:rPr>
        <w:t>太赫兹波斜入射到磁化等离子体的数值研究[J].</w:t>
      </w:r>
      <w:r>
        <w:t xml:space="preserve"> </w:t>
      </w:r>
      <w:r>
        <w:rPr>
          <w:rFonts w:hint="eastAsia"/>
        </w:rPr>
        <w:t>强激光与粒子束,</w:t>
      </w:r>
      <w:r>
        <w:t xml:space="preserve"> 2018, 30: 013101. doi:10.11884/HPLPB201830.170276.</w:t>
      </w:r>
    </w:p>
    <w:p w14:paraId="4781855E">
      <w:pPr>
        <w:pStyle w:val="39"/>
        <w:bidi w:val="0"/>
      </w:pPr>
      <w:r>
        <w:rPr>
          <w:rFonts w:hint="eastAsia"/>
        </w:rPr>
        <w:t>耿兴宁,</w:t>
      </w:r>
      <w:r>
        <w:t xml:space="preserve"> </w:t>
      </w:r>
      <w:r>
        <w:rPr>
          <w:rFonts w:hint="eastAsia"/>
        </w:rPr>
        <w:t>等.</w:t>
      </w:r>
      <w:r>
        <w:t xml:space="preserve"> </w:t>
      </w:r>
      <w:r>
        <w:rPr>
          <w:rFonts w:hint="eastAsia"/>
        </w:rPr>
        <w:t>太赫兹波在飞行器等离子体鞘套中的传输特性[J].</w:t>
      </w:r>
      <w:r>
        <w:t xml:space="preserve"> </w:t>
      </w:r>
      <w:r>
        <w:rPr>
          <w:rFonts w:hint="eastAsia"/>
        </w:rPr>
        <w:t>强激光与粒子束,</w:t>
      </w:r>
      <w:r>
        <w:t xml:space="preserve"> 2020, 32: 190291. doi:10.11884/HPLPB202032.190291.</w:t>
      </w:r>
    </w:p>
    <w:p w14:paraId="7372F49C">
      <w:pPr>
        <w:pStyle w:val="39"/>
        <w:bidi w:val="0"/>
      </w:pPr>
      <w:r>
        <w:rPr>
          <w:rFonts w:hint="eastAsia"/>
        </w:rPr>
        <w:t>李文秋,</w:t>
      </w:r>
      <w:r>
        <w:t xml:space="preserve"> </w:t>
      </w:r>
      <w:r>
        <w:rPr>
          <w:rFonts w:hint="eastAsia"/>
        </w:rPr>
        <w:t>等.</w:t>
      </w:r>
      <w:r>
        <w:t xml:space="preserve"> </w:t>
      </w:r>
      <w:r>
        <w:rPr>
          <w:rFonts w:hint="eastAsia"/>
        </w:rPr>
        <w:t>各向同性等离子体覆盖金属天线辐射增强现象[J].</w:t>
      </w:r>
      <w:r>
        <w:t xml:space="preserve"> </w:t>
      </w:r>
      <w:r>
        <w:rPr>
          <w:rFonts w:hint="eastAsia"/>
        </w:rPr>
        <w:t>物理学报,</w:t>
      </w:r>
      <w:r>
        <w:t xml:space="preserve"> 2023, 72(13): 135202. doi:10.7498/aps.72.20230101.</w:t>
      </w:r>
    </w:p>
    <w:p w14:paraId="034583C6">
      <w:pPr>
        <w:pStyle w:val="39"/>
        <w:bidi w:val="0"/>
      </w:pPr>
      <w:r>
        <w:rPr>
          <w:rFonts w:hint="eastAsia"/>
        </w:rPr>
        <w:t>张西旺,</w:t>
      </w:r>
      <w:r>
        <w:t xml:space="preserve"> </w:t>
      </w:r>
      <w:r>
        <w:rPr>
          <w:rFonts w:hint="eastAsia"/>
        </w:rPr>
        <w:t>等.</w:t>
      </w:r>
      <w:r>
        <w:t xml:space="preserve"> </w:t>
      </w:r>
      <w:r>
        <w:rPr>
          <w:rFonts w:hint="eastAsia"/>
        </w:rPr>
        <w:t>霍尔推力器等离子体鞘层特性对电子温度的影响[J].</w:t>
      </w:r>
      <w:r>
        <w:t xml:space="preserve"> </w:t>
      </w:r>
      <w:r>
        <w:rPr>
          <w:rFonts w:hint="eastAsia"/>
        </w:rPr>
        <w:t>物理学报,</w:t>
      </w:r>
      <w:r>
        <w:t xml:space="preserve"> 2013, 62(10): 105202. doi:10.7498/aps.62.105202.</w:t>
      </w:r>
    </w:p>
    <w:p w14:paraId="4F3C4450">
      <w:pPr>
        <w:pStyle w:val="39"/>
        <w:bidi w:val="0"/>
      </w:pPr>
      <w:r>
        <w:t>Mascali D, et al. Microwave techniques for electron cyclotron resonance plasma diagnostics[J]. Review of Scientific Instruments, 2022, 93(3): 033302. doi:10.1063/5.0075496.</w:t>
      </w:r>
    </w:p>
    <w:p w14:paraId="2406A98D">
      <w:pPr>
        <w:pStyle w:val="39"/>
        <w:bidi w:val="0"/>
      </w:pPr>
      <w:r>
        <w:t>Dittmann K, et al. 160 GHz Gaussian beam microwave interferometry in low-density rf plasmas[J]. Plasma Sources Science and Technology, 2012, 21(2): 024001. doi:10.1088/0963-0252/21/2/024001.</w:t>
      </w:r>
    </w:p>
    <w:p w14:paraId="5F652BFC">
      <w:pPr>
        <w:pStyle w:val="39"/>
        <w:bidi w:val="0"/>
      </w:pPr>
      <w:r>
        <w:t>Wu X, et al. Characteristics of the electromagnetic wave propagation in magnetized plasma sheath and practical method for blackout mitigation[J]. Chinese Physics B, 2024, 33(5): 055201. doi:10.1088/1674-1056/ad24d4.</w:t>
      </w:r>
    </w:p>
    <w:p w14:paraId="717AF5BA">
      <w:pPr>
        <w:pStyle w:val="39"/>
        <w:bidi w:val="0"/>
      </w:pPr>
      <w:r>
        <w:t>Zhou H, et al. Density reduction on plasma sheath in high velocity flow field by traveling magnetic field[J]. Engineering Research Express, 2025, 7(2): 025021. doi:10.1088/2058-6272/adcf80.</w:t>
      </w:r>
    </w:p>
    <w:p w14:paraId="42F76BBA">
      <w:pPr>
        <w:pStyle w:val="39"/>
        <w:bidi w:val="0"/>
      </w:pPr>
      <w:r>
        <w:t>Stix T H. Waves in Plasmas[M]. New York: American Institute of Physics, 1992.</w:t>
      </w:r>
    </w:p>
    <w:p w14:paraId="68E94136">
      <w:pPr>
        <w:pStyle w:val="39"/>
        <w:bidi w:val="0"/>
      </w:pPr>
      <w:r>
        <w:rPr>
          <w:rFonts w:hint="eastAsia"/>
        </w:rPr>
        <w:t>李雄飞,</w:t>
      </w:r>
      <w:r>
        <w:t xml:space="preserve"> </w:t>
      </w:r>
      <w:r>
        <w:rPr>
          <w:rFonts w:hint="eastAsia"/>
        </w:rPr>
        <w:t>等.</w:t>
      </w:r>
      <w:r>
        <w:t xml:space="preserve"> </w:t>
      </w:r>
      <w:r>
        <w:rPr>
          <w:rFonts w:hint="eastAsia"/>
        </w:rPr>
        <w:t>面向卫星直扩通信体制性能分析的群时延波动建模研究[J].</w:t>
      </w:r>
      <w:r>
        <w:t xml:space="preserve"> </w:t>
      </w:r>
      <w:r>
        <w:rPr>
          <w:rFonts w:hint="eastAsia"/>
        </w:rPr>
        <w:t>西北工业大学学报,</w:t>
      </w:r>
      <w:r>
        <w:t xml:space="preserve"> 2025, 43(1): 92-98. doi:10.1051/jnwpu/20254310092.</w:t>
      </w:r>
    </w:p>
    <w:p w14:paraId="2CA0AE50">
      <w:pPr>
        <w:pStyle w:val="39"/>
        <w:bidi w:val="0"/>
      </w:pPr>
      <w:r>
        <w:rPr>
          <w:rFonts w:hint="eastAsia"/>
        </w:rPr>
        <w:t>包玉,</w:t>
      </w:r>
      <w:r>
        <w:t xml:space="preserve"> </w:t>
      </w:r>
      <w:r>
        <w:rPr>
          <w:rFonts w:hint="eastAsia"/>
        </w:rPr>
        <w:t>等.</w:t>
      </w:r>
      <w:r>
        <w:t xml:space="preserve"> </w:t>
      </w:r>
      <w:r>
        <w:rPr>
          <w:rFonts w:hint="eastAsia"/>
        </w:rPr>
        <w:t>等离子体对高频微波传输特性的影响[J].</w:t>
      </w:r>
      <w:r>
        <w:t xml:space="preserve"> </w:t>
      </w:r>
      <w:r>
        <w:rPr>
          <w:rFonts w:hint="eastAsia"/>
        </w:rPr>
        <w:t>强激光与粒子束,</w:t>
      </w:r>
      <w:r>
        <w:t xml:space="preserve"> 2025, 37: 013003. doi:10.11884/HPLPB202537.240296.</w:t>
      </w:r>
    </w:p>
    <w:p w14:paraId="74E42F15">
      <w:pPr>
        <w:pStyle w:val="39"/>
        <w:bidi w:val="0"/>
      </w:pPr>
      <w:r>
        <w:rPr>
          <w:rFonts w:hint="eastAsia"/>
        </w:rPr>
        <w:t>陈俊霖,</w:t>
      </w:r>
      <w:r>
        <w:t xml:space="preserve"> </w:t>
      </w:r>
      <w:r>
        <w:rPr>
          <w:rFonts w:hint="eastAsia"/>
        </w:rPr>
        <w:t>等.</w:t>
      </w:r>
      <w:r>
        <w:t xml:space="preserve"> </w:t>
      </w:r>
      <w:r>
        <w:rPr>
          <w:rFonts w:hint="eastAsia"/>
        </w:rPr>
        <w:t>感性耦合夹层等离子体隐身天线罩电磁散射分析[J].</w:t>
      </w:r>
      <w:r>
        <w:t xml:space="preserve"> </w:t>
      </w:r>
      <w:r>
        <w:rPr>
          <w:rFonts w:hint="eastAsia"/>
        </w:rPr>
        <w:t>航空学报,</w:t>
      </w:r>
      <w:r>
        <w:t xml:space="preserve"> 2018, 39(3): 321472. doi:10.7527/S1000-6893.2017.21472.</w:t>
      </w:r>
    </w:p>
    <w:p w14:paraId="7DEC4B60">
      <w:pPr>
        <w:pStyle w:val="39"/>
        <w:bidi w:val="0"/>
      </w:pPr>
      <w:r>
        <w:rPr>
          <w:rFonts w:hint="eastAsia"/>
        </w:rPr>
        <w:t>杨利鑫,</w:t>
      </w:r>
      <w:r>
        <w:t xml:space="preserve"> </w:t>
      </w:r>
      <w:r>
        <w:rPr>
          <w:rFonts w:hint="eastAsia"/>
        </w:rPr>
        <w:t>等.</w:t>
      </w:r>
      <w:r>
        <w:t xml:space="preserve"> </w:t>
      </w:r>
      <w:r>
        <w:rPr>
          <w:rFonts w:hint="eastAsia"/>
        </w:rPr>
        <w:t>空天飞行器电磁功能结构研究进展及展望[J].</w:t>
      </w:r>
      <w:r>
        <w:t xml:space="preserve"> </w:t>
      </w:r>
      <w:r>
        <w:rPr>
          <w:rFonts w:hint="eastAsia"/>
        </w:rPr>
        <w:t>航空学报,</w:t>
      </w:r>
      <w:r>
        <w:t xml:space="preserve"> 2025, 46(18): 331808. doi:10.7527/S1000-6893.2025.31808.</w:t>
      </w:r>
    </w:p>
    <w:p w14:paraId="41624E0A">
      <w:pPr>
        <w:pStyle w:val="39"/>
        <w:bidi w:val="0"/>
      </w:pPr>
      <w:r>
        <w:rPr>
          <w:rFonts w:hint="eastAsia"/>
        </w:rPr>
        <w:t>郝国成,</w:t>
      </w:r>
      <w:r>
        <w:t xml:space="preserve"> </w:t>
      </w:r>
      <w:r>
        <w:rPr>
          <w:rFonts w:hint="eastAsia"/>
        </w:rPr>
        <w:t>等.</w:t>
      </w:r>
      <w:r>
        <w:t xml:space="preserve"> </w:t>
      </w:r>
      <w:r>
        <w:rPr>
          <w:rFonts w:hint="eastAsia"/>
        </w:rPr>
        <w:t>高质量LMSCT时频分析算法及其在雷达信号目标检测中的应用[J].</w:t>
      </w:r>
      <w:r>
        <w:t xml:space="preserve"> </w:t>
      </w:r>
      <w:r>
        <w:rPr>
          <w:rFonts w:hint="eastAsia"/>
        </w:rPr>
        <w:t>上海交通大学学报(自然版),</w:t>
      </w:r>
      <w:r>
        <w:t xml:space="preserve"> 2022, 56(2): 231-241. doi:10.16183/j.cnki.jsjtu.2020.432.</w:t>
      </w:r>
    </w:p>
    <w:p w14:paraId="104D85A6">
      <w:pPr>
        <w:pStyle w:val="39"/>
        <w:bidi w:val="0"/>
      </w:pPr>
      <w:r>
        <w:rPr>
          <w:rFonts w:hint="eastAsia"/>
        </w:rPr>
        <w:t>祁萍萍,</w:t>
      </w:r>
      <w:r>
        <w:t xml:space="preserve"> </w:t>
      </w:r>
      <w:r>
        <w:rPr>
          <w:rFonts w:hint="eastAsia"/>
        </w:rPr>
        <w:t>等.</w:t>
      </w:r>
      <w:r>
        <w:t xml:space="preserve"> </w:t>
      </w:r>
      <w:r>
        <w:rPr>
          <w:rFonts w:hint="eastAsia"/>
        </w:rPr>
        <w:t>基于RFT的随机调频周期LFMCW雷达微弱目标检测[J].</w:t>
      </w:r>
      <w:r>
        <w:t xml:space="preserve"> </w:t>
      </w:r>
      <w:r>
        <w:rPr>
          <w:rFonts w:hint="eastAsia"/>
        </w:rPr>
        <w:t>无线电工程,</w:t>
      </w:r>
      <w:r>
        <w:t xml:space="preserve"> 2022, 52(6): 996-1003.</w:t>
      </w:r>
    </w:p>
    <w:p w14:paraId="6C6CF0D9">
      <w:pPr>
        <w:pStyle w:val="39"/>
        <w:bidi w:val="0"/>
      </w:pPr>
      <w:r>
        <w:rPr>
          <w:rFonts w:hint="eastAsia"/>
        </w:rPr>
        <w:t>马文起,</w:t>
      </w:r>
      <w:r>
        <w:t xml:space="preserve"> </w:t>
      </w:r>
      <w:r>
        <w:rPr>
          <w:rFonts w:hint="eastAsia"/>
        </w:rPr>
        <w:t>等.</w:t>
      </w:r>
      <w:r>
        <w:t xml:space="preserve"> </w:t>
      </w:r>
      <w:r>
        <w:rPr>
          <w:rFonts w:hint="eastAsia"/>
        </w:rPr>
        <w:t>一种基于FPGA和Matlab的时延测量方法[J].</w:t>
      </w:r>
      <w:r>
        <w:t xml:space="preserve"> </w:t>
      </w:r>
      <w:r>
        <w:rPr>
          <w:rFonts w:hint="eastAsia"/>
        </w:rPr>
        <w:t>无线电工程,</w:t>
      </w:r>
      <w:r>
        <w:t xml:space="preserve"> 2014, 44(11): 38-40.</w:t>
      </w:r>
    </w:p>
    <w:p w14:paraId="26E0516E">
      <w:pPr>
        <w:pStyle w:val="39"/>
        <w:bidi w:val="0"/>
      </w:pPr>
      <w:r>
        <w:rPr>
          <w:rFonts w:hint="eastAsia"/>
        </w:rPr>
        <w:t>谷一英.</w:t>
      </w:r>
      <w:r>
        <w:t xml:space="preserve"> </w:t>
      </w:r>
      <w:r>
        <w:rPr>
          <w:rFonts w:hint="eastAsia"/>
        </w:rPr>
        <w:t>基于光子混频的微波频率测量技术[J].</w:t>
      </w:r>
      <w:r>
        <w:t xml:space="preserve"> </w:t>
      </w:r>
      <w:r>
        <w:rPr>
          <w:rFonts w:hint="eastAsia"/>
        </w:rPr>
        <w:t>光电子·激光,</w:t>
      </w:r>
      <w:r>
        <w:t xml:space="preserve"> 2014, 25(1): 123-127.</w:t>
      </w:r>
    </w:p>
    <w:p w14:paraId="045A8A67">
      <w:pPr>
        <w:pStyle w:val="39"/>
        <w:bidi w:val="0"/>
      </w:pPr>
      <w:r>
        <w:rPr>
          <w:rFonts w:hint="eastAsia"/>
        </w:rPr>
        <w:t>张锐,</w:t>
      </w:r>
      <w:r>
        <w:t xml:space="preserve"> </w:t>
      </w:r>
      <w:r>
        <w:rPr>
          <w:rFonts w:hint="eastAsia"/>
        </w:rPr>
        <w:t>等.</w:t>
      </w:r>
      <w:r>
        <w:t xml:space="preserve"> </w:t>
      </w:r>
      <w:r>
        <w:rPr>
          <w:rFonts w:hint="eastAsia"/>
        </w:rPr>
        <w:t>基于线性调频脉冲的光谱色散平滑技术实验研究[J].</w:t>
      </w:r>
      <w:r>
        <w:t xml:space="preserve"> </w:t>
      </w:r>
      <w:r>
        <w:rPr>
          <w:rFonts w:hint="eastAsia"/>
        </w:rPr>
        <w:t>物理学报,</w:t>
      </w:r>
      <w:r>
        <w:t xml:space="preserve"> 2010, 59(2): 1088-1094. doi:10.7498/aps.59.1088.</w:t>
      </w:r>
    </w:p>
    <w:p w14:paraId="12ADDC6A">
      <w:pPr>
        <w:pStyle w:val="39"/>
        <w:bidi w:val="0"/>
      </w:pPr>
      <w:r>
        <w:t>Ding S, et al. Interference Mitigation for FMCW Radars Based on Chirp Rate Estimation[J]. Signal Processing, 2024, 219: 109369. doi:10.1016/j.sigpro.2024.109369.</w:t>
      </w:r>
    </w:p>
    <w:p w14:paraId="5D9A5D4E">
      <w:pPr>
        <w:pStyle w:val="39"/>
        <w:bidi w:val="0"/>
      </w:pPr>
      <w:r>
        <w:t>Martens A, et al. Interference Mitigation Technique for FMCW Radar in Time-Frequency Domain Based on Binary Mask and Convolutional Neural Network[J]. Sensors, 2024, 24(7): 2417. doi:10.3390/s24072417.</w:t>
      </w:r>
    </w:p>
    <w:p w14:paraId="2059D0CA">
      <w:pPr>
        <w:pStyle w:val="39"/>
        <w:bidi w:val="0"/>
      </w:pPr>
      <w:r>
        <w:t>Zhang Y, et al. Noise Radar De-Chirp Method for ADS-B Based on Instantaneous Frequency Measurement[J]. Sensors, 2024, 24(16): 5353. doi:10.3390/s24165353.</w:t>
      </w:r>
    </w:p>
    <w:p w14:paraId="020131A3">
      <w:pPr>
        <w:pStyle w:val="39"/>
        <w:bidi w:val="0"/>
      </w:pPr>
      <w:r>
        <w:t>Qian X, et al. Low Latency Time Delay Estimation for Frame Expansion-Based OFDM Systems with Orthogonal Matching Pursuit- and MUSIC-Based Super-Resolution Methods[J]. Digital Signal Processing, 2026, 148: 104430. doi:10.1016/j.dsp.2026.104430.</w:t>
      </w:r>
    </w:p>
    <w:p w14:paraId="6A888D62">
      <w:pPr>
        <w:pStyle w:val="39"/>
        <w:bidi w:val="0"/>
      </w:pPr>
      <w:r>
        <w:t>Argüelles D, et al. A Photonic-Assisted Delay-Range Relationship for Real-Time Group Delay Estimation in Ultra-Wideband Chirped Fiber-Bragg-Grating Sensor Interrogation[J]. Photonics, 2024, 11(3): 260. doi:10.3390/photonics11030260.</w:t>
      </w:r>
    </w:p>
    <w:p w14:paraId="0F73B333">
      <w:pPr>
        <w:pStyle w:val="39"/>
        <w:bidi w:val="0"/>
      </w:pPr>
      <w:r>
        <w:rPr>
          <w:rFonts w:hint="eastAsia"/>
        </w:rPr>
        <w:t>盛峥,</w:t>
      </w:r>
      <w:r>
        <w:t xml:space="preserve"> </w:t>
      </w:r>
      <w:r>
        <w:rPr>
          <w:rFonts w:hint="eastAsia"/>
        </w:rPr>
        <w:t>等.</w:t>
      </w:r>
      <w:r>
        <w:t xml:space="preserve"> </w:t>
      </w:r>
      <w:r>
        <w:rPr>
          <w:rFonts w:hint="eastAsia"/>
        </w:rPr>
        <w:t>利用Bayesian-MCMC方法从雷达回波反演海洋波导[J].</w:t>
      </w:r>
      <w:r>
        <w:t xml:space="preserve"> </w:t>
      </w:r>
      <w:r>
        <w:rPr>
          <w:rFonts w:hint="eastAsia"/>
        </w:rPr>
        <w:t>物理学报,</w:t>
      </w:r>
      <w:r>
        <w:t xml:space="preserve"> 2009, 58(6): 4335-4341. doi:10.7498/aps.58.4335.</w:t>
      </w:r>
    </w:p>
    <w:p w14:paraId="7CB68CEE">
      <w:pPr>
        <w:pStyle w:val="39"/>
        <w:bidi w:val="0"/>
      </w:pPr>
      <w:r>
        <w:rPr>
          <w:rFonts w:hint="eastAsia"/>
        </w:rPr>
        <w:t>徐子原,</w:t>
      </w:r>
      <w:r>
        <w:t xml:space="preserve"> </w:t>
      </w:r>
      <w:r>
        <w:rPr>
          <w:rFonts w:hint="eastAsia"/>
        </w:rPr>
        <w:t>等.</w:t>
      </w:r>
      <w:r>
        <w:t xml:space="preserve"> </w:t>
      </w:r>
      <w:r>
        <w:rPr>
          <w:rFonts w:hint="eastAsia"/>
        </w:rPr>
        <w:t>三维行波磁场对等离子体鞘套密度的调控作用[J].</w:t>
      </w:r>
      <w:r>
        <w:t xml:space="preserve"> </w:t>
      </w:r>
      <w:r>
        <w:rPr>
          <w:rFonts w:hint="eastAsia"/>
        </w:rPr>
        <w:t>物理学报,</w:t>
      </w:r>
      <w:r>
        <w:t xml:space="preserve"> 2024, 73(17): 175201. doi:10.7498/aps.73.20240877.</w:t>
      </w:r>
    </w:p>
    <w:p w14:paraId="7EEDBD48">
      <w:pPr>
        <w:pStyle w:val="39"/>
        <w:bidi w:val="0"/>
      </w:pPr>
      <w:r>
        <w:rPr>
          <w:rFonts w:hint="eastAsia"/>
        </w:rPr>
        <w:t>柯建林,</w:t>
      </w:r>
      <w:r>
        <w:t xml:space="preserve"> </w:t>
      </w:r>
      <w:r>
        <w:rPr>
          <w:rFonts w:hint="eastAsia"/>
        </w:rPr>
        <w:t>等.</w:t>
      </w:r>
      <w:r>
        <w:t xml:space="preserve"> </w:t>
      </w:r>
      <w:r>
        <w:rPr>
          <w:rFonts w:hint="eastAsia"/>
        </w:rPr>
        <w:t>脉冲束流引出时的等离子体鞘层变化[J].</w:t>
      </w:r>
      <w:r>
        <w:t xml:space="preserve"> </w:t>
      </w:r>
      <w:r>
        <w:rPr>
          <w:rFonts w:hint="eastAsia"/>
        </w:rPr>
        <w:t>强激光与粒子束,</w:t>
      </w:r>
      <w:r>
        <w:t xml:space="preserve"> 2015, 27: 085105. doi:10.11884/HPLPB201527.085105.</w:t>
      </w:r>
    </w:p>
    <w:p w14:paraId="211C0329">
      <w:pPr>
        <w:pStyle w:val="39"/>
        <w:bidi w:val="0"/>
      </w:pPr>
      <w:r>
        <w:rPr>
          <w:rFonts w:hint="eastAsia"/>
        </w:rPr>
        <w:t>陈磊,</w:t>
      </w:r>
      <w:r>
        <w:t xml:space="preserve"> </w:t>
      </w:r>
      <w:r>
        <w:rPr>
          <w:rFonts w:hint="eastAsia"/>
        </w:rPr>
        <w:t>等.</w:t>
      </w:r>
      <w:r>
        <w:t xml:space="preserve"> </w:t>
      </w:r>
      <w:r>
        <w:rPr>
          <w:rFonts w:hint="eastAsia"/>
        </w:rPr>
        <w:t>混合离子束阴极真空弧等离子体鞘层特性[J].</w:t>
      </w:r>
      <w:r>
        <w:t xml:space="preserve"> </w:t>
      </w:r>
      <w:r>
        <w:rPr>
          <w:rFonts w:hint="eastAsia"/>
        </w:rPr>
        <w:t>强激光与粒子束,</w:t>
      </w:r>
      <w:r>
        <w:t xml:space="preserve"> 2012, 24: 1856-1860. doi:10.3788/HPLPB20122408.1856.</w:t>
      </w:r>
    </w:p>
    <w:p w14:paraId="232E7884">
      <w:pPr>
        <w:pStyle w:val="39"/>
        <w:bidi w:val="0"/>
      </w:pPr>
      <w:r>
        <w:rPr>
          <w:rFonts w:hint="eastAsia"/>
        </w:rPr>
        <w:t>赵晓云,</w:t>
      </w:r>
      <w:r>
        <w:t xml:space="preserve"> </w:t>
      </w:r>
      <w:r>
        <w:rPr>
          <w:rFonts w:hint="eastAsia"/>
        </w:rPr>
        <w:t>等.</w:t>
      </w:r>
      <w:r>
        <w:t xml:space="preserve"> </w:t>
      </w:r>
      <w:r>
        <w:rPr>
          <w:rFonts w:hint="eastAsia"/>
        </w:rPr>
        <w:t>两种带电尘埃颗粒的等离子体鞘层玻姆判据[J].</w:t>
      </w:r>
      <w:r>
        <w:t xml:space="preserve"> </w:t>
      </w:r>
      <w:r>
        <w:rPr>
          <w:rFonts w:hint="eastAsia"/>
        </w:rPr>
        <w:t>物理学报,</w:t>
      </w:r>
      <w:r>
        <w:t xml:space="preserve"> 2013, 62(17): 175201.</w:t>
      </w:r>
    </w:p>
    <w:p w14:paraId="16684C86">
      <w:pPr>
        <w:pStyle w:val="39"/>
        <w:bidi w:val="0"/>
      </w:pPr>
      <w:r>
        <w:rPr>
          <w:rFonts w:hint="eastAsia"/>
        </w:rPr>
        <w:t>郭恒,</w:t>
      </w:r>
      <w:r>
        <w:t xml:space="preserve"> </w:t>
      </w:r>
      <w:r>
        <w:rPr>
          <w:rFonts w:hint="eastAsia"/>
        </w:rPr>
        <w:t>等.</w:t>
      </w:r>
      <w:r>
        <w:t xml:space="preserve"> </w:t>
      </w:r>
      <w:r>
        <w:rPr>
          <w:rFonts w:hint="eastAsia"/>
        </w:rPr>
        <w:t>亚大气压六相交流电弧放电等离子体射流特性数值模拟[J].</w:t>
      </w:r>
      <w:r>
        <w:t xml:space="preserve"> </w:t>
      </w:r>
      <w:r>
        <w:rPr>
          <w:rFonts w:hint="eastAsia"/>
        </w:rPr>
        <w:t>物理学报,</w:t>
      </w:r>
      <w:r>
        <w:t xml:space="preserve"> 2018, 67(5): 055201. doi:10.7498/aps.67.20172557.</w:t>
      </w:r>
    </w:p>
    <w:p w14:paraId="4DE055DC">
      <w:pPr>
        <w:pStyle w:val="39"/>
        <w:bidi w:val="0"/>
      </w:pPr>
      <w:r>
        <w:rPr>
          <w:rFonts w:hint="eastAsia"/>
        </w:rPr>
        <w:t>张廷焜,</w:t>
      </w:r>
      <w:r>
        <w:t xml:space="preserve"> </w:t>
      </w:r>
      <w:r>
        <w:rPr>
          <w:rFonts w:hint="eastAsia"/>
        </w:rPr>
        <w:t>等.</w:t>
      </w:r>
      <w:r>
        <w:t xml:space="preserve"> </w:t>
      </w:r>
      <w:r>
        <w:rPr>
          <w:rFonts w:hint="eastAsia"/>
        </w:rPr>
        <w:t>等离子鞘套包覆目标长时间能量聚焦方法[J].</w:t>
      </w:r>
      <w:r>
        <w:t xml:space="preserve"> </w:t>
      </w:r>
      <w:r>
        <w:rPr>
          <w:rFonts w:hint="eastAsia"/>
        </w:rPr>
        <w:t>航空学报,</w:t>
      </w:r>
      <w:r>
        <w:t xml:space="preserve"> 2022, 43(S2): 67-75. doi:10.7527/S1000-6893.2022.27715.</w:t>
      </w:r>
    </w:p>
    <w:p w14:paraId="6113A7E9">
      <w:pPr>
        <w:pStyle w:val="39"/>
        <w:bidi w:val="0"/>
      </w:pPr>
      <w:r>
        <w:rPr>
          <w:rFonts w:hint="eastAsia"/>
        </w:rPr>
        <w:t>马正雪,</w:t>
      </w:r>
      <w:r>
        <w:t xml:space="preserve"> </w:t>
      </w:r>
      <w:r>
        <w:rPr>
          <w:rFonts w:hint="eastAsia"/>
        </w:rPr>
        <w:t>等.</w:t>
      </w:r>
      <w:r>
        <w:t xml:space="preserve"> </w:t>
      </w:r>
      <w:r>
        <w:rPr>
          <w:rFonts w:hint="eastAsia"/>
        </w:rPr>
        <w:t>高超声速流场等离子体合成射流逆向喷流特性[J].</w:t>
      </w:r>
      <w:r>
        <w:t xml:space="preserve"> </w:t>
      </w:r>
      <w:r>
        <w:rPr>
          <w:rFonts w:hint="eastAsia"/>
        </w:rPr>
        <w:t>航空学报,</w:t>
      </w:r>
      <w:r>
        <w:t xml:space="preserve"> 2022, 43(S2): 192-203. doi:10.7527/S1000-6893.2022.27747.</w:t>
      </w:r>
    </w:p>
    <w:p w14:paraId="7D4DC789">
      <w:pPr>
        <w:pStyle w:val="39"/>
        <w:bidi w:val="0"/>
      </w:pPr>
      <w:r>
        <w:rPr>
          <w:rFonts w:hint="eastAsia"/>
        </w:rPr>
        <w:t>李辉,</w:t>
      </w:r>
      <w:r>
        <w:t xml:space="preserve"> </w:t>
      </w:r>
      <w:r>
        <w:rPr>
          <w:rFonts w:hint="eastAsia"/>
        </w:rPr>
        <w:t>等.</w:t>
      </w:r>
      <w:r>
        <w:t xml:space="preserve"> </w:t>
      </w:r>
      <w:r>
        <w:rPr>
          <w:rFonts w:hint="eastAsia"/>
        </w:rPr>
        <w:t>磁化分层等离子体中电磁波传播特性[J].</w:t>
      </w:r>
      <w:r>
        <w:t xml:space="preserve"> </w:t>
      </w:r>
      <w:r>
        <w:rPr>
          <w:rFonts w:hint="eastAsia"/>
        </w:rPr>
        <w:t>强激光与粒子束,</w:t>
      </w:r>
      <w:r>
        <w:t xml:space="preserve"> 2018, 30: 113202. doi:10.11884/HPLPB201830.180203.</w:t>
      </w:r>
    </w:p>
    <w:p w14:paraId="5B697219">
      <w:pPr>
        <w:pStyle w:val="39"/>
        <w:bidi w:val="0"/>
      </w:pPr>
      <w:r>
        <w:t>Roy R, et al. ESPRIT—Estimation of signal parameters via rotational invariance techniques[J]. IEEE Transactions on Acoustics, Speech, and Signal Processing, 1989, 37(7): 984-995. doi:10.1109/29.32276.</w:t>
      </w:r>
    </w:p>
    <w:p w14:paraId="2849D486">
      <w:pPr>
        <w:pStyle w:val="39"/>
        <w:bidi w:val="0"/>
      </w:pPr>
      <w:r>
        <w:t>Akaike H. A new look at the statistical model identification[J]. IEEE Transactions on Automatic Control, 1974, 19(6): 716-723. doi:10.1109/TAC.1974.1100705.</w:t>
      </w:r>
    </w:p>
    <w:p w14:paraId="184036D1">
      <w:pPr>
        <w:pStyle w:val="39"/>
        <w:bidi w:val="0"/>
      </w:pPr>
      <w:r>
        <w:t>Schwarz G. Estimating the dimension of a model[J]. The Annals of Statistics, 1978, 6(2): 461-464. doi:10.1214/aos/1176344136.</w:t>
      </w:r>
    </w:p>
    <w:p w14:paraId="19166089">
      <w:pPr>
        <w:pStyle w:val="39"/>
        <w:bidi w:val="0"/>
      </w:pPr>
      <w:r>
        <w:t>Rissanen J. Modeling by shortest data description[J]. Automatica, 1978, 14(5): 465-471. doi:10.1016/0005-1098(78)90005-5.</w:t>
      </w:r>
    </w:p>
    <w:p w14:paraId="6D4B383A">
      <w:pPr>
        <w:pStyle w:val="39"/>
        <w:bidi w:val="0"/>
      </w:pPr>
      <w:r>
        <w:t>Hastings W K. Monte Carlo sampling methods using Markov chains and their applications[J]. Biometrika, 1970, 57(1): 97-109.</w:t>
      </w:r>
    </w:p>
    <w:p w14:paraId="587DEACE">
      <w:pPr>
        <w:pStyle w:val="39"/>
        <w:bidi w:val="0"/>
      </w:pPr>
      <w:r>
        <w:t>Kaipio J P, et al. Statistical and Computational Inverse Problems[M]. New York: Springer, 2005.</w:t>
      </w:r>
    </w:p>
    <w:p w14:paraId="463CD74A">
      <w:pPr>
        <w:pStyle w:val="39"/>
        <w:bidi w:val="0"/>
      </w:pPr>
      <w:r>
        <w:t>Gelman A, et al. Bayesian Data Analysis[M]. 3rd ed. Boca Raton: CRC Press, 2013.</w:t>
      </w:r>
    </w:p>
    <w:p w14:paraId="4912DF1E">
      <w:pPr>
        <w:pStyle w:val="39"/>
        <w:bidi w:val="0"/>
      </w:pPr>
      <w:r>
        <w:t>Robert C P, et al. Monte Carlo Statistical Methods[M]. 2nd ed. New York: Springer, 2004.</w:t>
      </w:r>
    </w:p>
    <w:p w14:paraId="2AD4BF19">
      <w:pPr>
        <w:pStyle w:val="39"/>
        <w:bidi w:val="0"/>
      </w:pPr>
      <w:r>
        <w:rPr>
          <w:rFonts w:hint="eastAsia"/>
        </w:rPr>
        <w:t>张志聪.</w:t>
      </w:r>
      <w:r>
        <w:t xml:space="preserve"> </w:t>
      </w:r>
      <w:r>
        <w:rPr>
          <w:rFonts w:hint="eastAsia"/>
        </w:rPr>
        <w:t>基于组合方式的延时精确测量方法[J].</w:t>
      </w:r>
      <w:r>
        <w:t xml:space="preserve"> </w:t>
      </w:r>
      <w:r>
        <w:rPr>
          <w:rFonts w:hint="eastAsia"/>
        </w:rPr>
        <w:t>宇航测控,</w:t>
      </w:r>
      <w:r>
        <w:t xml:space="preserve"> 2021. doi:10.12347/j.ycyk.20211103001.</w:t>
      </w:r>
    </w:p>
    <w:p w14:paraId="46EF1EC0">
      <w:pPr>
        <w:pStyle w:val="39"/>
        <w:bidi w:val="0"/>
      </w:pPr>
      <w:r>
        <w:rPr>
          <w:rFonts w:hint="eastAsia"/>
        </w:rPr>
        <w:t>黄宇,</w:t>
      </w:r>
      <w:r>
        <w:t xml:space="preserve"> </w:t>
      </w:r>
      <w:r>
        <w:rPr>
          <w:rFonts w:hint="eastAsia"/>
        </w:rPr>
        <w:t>等.</w:t>
      </w:r>
      <w:r>
        <w:t xml:space="preserve"> </w:t>
      </w:r>
      <w:r>
        <w:rPr>
          <w:rFonts w:hint="eastAsia"/>
        </w:rPr>
        <w:t>基于周期FRFT的多分量LFMCW雷达信号分离[J].</w:t>
      </w:r>
      <w:r>
        <w:t xml:space="preserve"> </w:t>
      </w:r>
      <w:r>
        <w:rPr>
          <w:rFonts w:hint="eastAsia"/>
        </w:rPr>
        <w:t>航空学报,</w:t>
      </w:r>
      <w:r>
        <w:t xml:space="preserve"> 2013. doi:10.7527/S1000-6893.2013.0145.</w:t>
      </w:r>
    </w:p>
    <w:p w14:paraId="439829AC">
      <w:pPr>
        <w:pStyle w:val="39"/>
        <w:bidi w:val="0"/>
      </w:pPr>
      <w:r>
        <w:rPr>
          <w:rFonts w:hint="eastAsia"/>
        </w:rPr>
        <w:t>罗卫东,</w:t>
      </w:r>
      <w:r>
        <w:t xml:space="preserve"> </w:t>
      </w:r>
      <w:r>
        <w:rPr>
          <w:rFonts w:hint="eastAsia"/>
        </w:rPr>
        <w:t>等.</w:t>
      </w:r>
      <w:r>
        <w:t xml:space="preserve"> </w:t>
      </w:r>
      <w:r>
        <w:rPr>
          <w:rFonts w:hint="eastAsia"/>
        </w:rPr>
        <w:t>MHD控制微电离等离子体射流[J].</w:t>
      </w:r>
      <w:r>
        <w:t xml:space="preserve"> </w:t>
      </w:r>
      <w:r>
        <w:rPr>
          <w:rFonts w:hint="eastAsia"/>
        </w:rPr>
        <w:t>北京航空航天大学学报,</w:t>
      </w:r>
      <w:r>
        <w:t xml:space="preserve"> 2014. doi:10.13700/j.bh.1001-5965.2014.0668.</w:t>
      </w:r>
    </w:p>
    <w:p w14:paraId="3B51F852">
      <w:pPr>
        <w:pStyle w:val="39"/>
        <w:bidi w:val="0"/>
      </w:pPr>
      <w:r>
        <w:rPr>
          <w:rFonts w:hint="eastAsia"/>
        </w:rPr>
        <w:t>张鑫,</w:t>
      </w:r>
      <w:r>
        <w:t xml:space="preserve"> </w:t>
      </w:r>
      <w:r>
        <w:rPr>
          <w:rFonts w:hint="eastAsia"/>
        </w:rPr>
        <w:t>等.</w:t>
      </w:r>
      <w:r>
        <w:t xml:space="preserve"> </w:t>
      </w:r>
      <w:r>
        <w:rPr>
          <w:rFonts w:hint="eastAsia"/>
        </w:rPr>
        <w:t>超临界机翼介质阻挡放电等离子体流动控制[J].</w:t>
      </w:r>
      <w:r>
        <w:t xml:space="preserve"> </w:t>
      </w:r>
      <w:r>
        <w:rPr>
          <w:rFonts w:hint="eastAsia"/>
        </w:rPr>
        <w:t>航空学报,</w:t>
      </w:r>
      <w:r>
        <w:t xml:space="preserve"> 2016, 37(6): 1733-1742. doi:10.7527/S1000-6893.2016.0015.</w:t>
      </w:r>
    </w:p>
    <w:p w14:paraId="662868E2">
      <w:pPr>
        <w:pStyle w:val="39"/>
        <w:bidi w:val="0"/>
      </w:pPr>
      <w:r>
        <w:rPr>
          <w:rFonts w:hint="eastAsia"/>
        </w:rPr>
        <w:t>朱益飞,</w:t>
      </w:r>
      <w:r>
        <w:t xml:space="preserve"> </w:t>
      </w:r>
      <w:r>
        <w:rPr>
          <w:rFonts w:hint="eastAsia"/>
        </w:rPr>
        <w:t>等.</w:t>
      </w:r>
      <w:r>
        <w:t xml:space="preserve"> </w:t>
      </w:r>
      <w:r>
        <w:rPr>
          <w:rFonts w:hint="eastAsia"/>
        </w:rPr>
        <w:t>大气压空气纳秒脉冲等离子体气动激励特性数值模拟与实验验证[J].</w:t>
      </w:r>
      <w:r>
        <w:t xml:space="preserve"> </w:t>
      </w:r>
      <w:r>
        <w:rPr>
          <w:rFonts w:hint="eastAsia"/>
        </w:rPr>
        <w:t>航空学报,</w:t>
      </w:r>
      <w:r>
        <w:t xml:space="preserve"> 2013, 34(9): 2081-2091. doi:10.7527/S1000-6893.2013.0164.</w:t>
      </w:r>
    </w:p>
    <w:p w14:paraId="7CC1F838">
      <w:pPr>
        <w:pStyle w:val="39"/>
        <w:bidi w:val="0"/>
      </w:pPr>
      <w:r>
        <w:rPr>
          <w:rFonts w:hint="eastAsia"/>
        </w:rPr>
        <w:t>程谋森,</w:t>
      </w:r>
      <w:r>
        <w:t xml:space="preserve"> </w:t>
      </w:r>
      <w:r>
        <w:rPr>
          <w:rFonts w:hint="eastAsia"/>
        </w:rPr>
        <w:t>等.</w:t>
      </w:r>
      <w:r>
        <w:t xml:space="preserve"> </w:t>
      </w:r>
      <w:r>
        <w:rPr>
          <w:rFonts w:hint="eastAsia"/>
        </w:rPr>
        <w:t>高功率波加热磁等离子体推力器研究现状与展望[J].</w:t>
      </w:r>
      <w:r>
        <w:t xml:space="preserve"> </w:t>
      </w:r>
      <w:r>
        <w:rPr>
          <w:rFonts w:hint="eastAsia"/>
        </w:rPr>
        <w:t>航空学报,</w:t>
      </w:r>
      <w:r>
        <w:t xml:space="preserve"> 2024, 45(7): 28761-028761. doi:10.7527/S1000-6893.2023.28761.</w:t>
      </w:r>
    </w:p>
    <w:p w14:paraId="1B95E5B8">
      <w:pPr>
        <w:pStyle w:val="39"/>
        <w:bidi w:val="0"/>
      </w:pPr>
      <w:r>
        <w:rPr>
          <w:rFonts w:hint="eastAsia"/>
        </w:rPr>
        <w:t>余龙舟,</w:t>
      </w:r>
      <w:r>
        <w:t xml:space="preserve"> </w:t>
      </w:r>
      <w:r>
        <w:rPr>
          <w:rFonts w:hint="eastAsia"/>
        </w:rPr>
        <w:t>等.</w:t>
      </w:r>
      <w:r>
        <w:t xml:space="preserve"> </w:t>
      </w:r>
      <w:r>
        <w:rPr>
          <w:rFonts w:hint="eastAsia"/>
        </w:rPr>
        <w:t>电磁不连续和缺陷结构表面波散射特性[J].</w:t>
      </w:r>
      <w:r>
        <w:t xml:space="preserve"> </w:t>
      </w:r>
      <w:r>
        <w:rPr>
          <w:rFonts w:hint="eastAsia"/>
        </w:rPr>
        <w:t>航空学报,</w:t>
      </w:r>
      <w:r>
        <w:t xml:space="preserve"> 2024, 45(12): 329467. doi:10.7527/S1000-6893.2023.29467.</w:t>
      </w:r>
    </w:p>
    <w:p w14:paraId="32E5C215">
      <w:pPr>
        <w:pStyle w:val="39"/>
        <w:bidi w:val="0"/>
      </w:pPr>
      <w:r>
        <w:rPr>
          <w:rFonts w:hint="eastAsia"/>
        </w:rPr>
        <w:t>谭启龙,</w:t>
      </w:r>
      <w:r>
        <w:t xml:space="preserve"> </w:t>
      </w:r>
      <w:r>
        <w:rPr>
          <w:rFonts w:hint="eastAsia"/>
        </w:rPr>
        <w:t>等.</w:t>
      </w:r>
      <w:r>
        <w:t xml:space="preserve"> </w:t>
      </w:r>
      <w:r>
        <w:rPr>
          <w:rFonts w:hint="eastAsia"/>
        </w:rPr>
        <w:t>基于空气孔微结构光纤的表面等离子体共振折射率传感器[J].</w:t>
      </w:r>
      <w:r>
        <w:t xml:space="preserve"> </w:t>
      </w:r>
      <w:r>
        <w:rPr>
          <w:rFonts w:hint="eastAsia"/>
        </w:rPr>
        <w:t>强激光与粒子束,</w:t>
      </w:r>
      <w:r>
        <w:t xml:space="preserve"> 2022, 34: 220062. doi:10.11884/HPLPB202234.220062.</w:t>
      </w:r>
    </w:p>
    <w:p w14:paraId="18E5788E">
      <w:pPr>
        <w:pStyle w:val="39"/>
        <w:bidi w:val="0"/>
      </w:pPr>
      <w:r>
        <w:rPr>
          <w:rFonts w:hint="eastAsia"/>
        </w:rPr>
        <w:t>张旭东,</w:t>
      </w:r>
      <w:r>
        <w:t xml:space="preserve"> </w:t>
      </w:r>
      <w:r>
        <w:rPr>
          <w:rFonts w:hint="eastAsia"/>
        </w:rPr>
        <w:t>等.</w:t>
      </w:r>
      <w:r>
        <w:t xml:space="preserve"> </w:t>
      </w:r>
      <w:r>
        <w:rPr>
          <w:rFonts w:hint="eastAsia"/>
        </w:rPr>
        <w:t>高超声速流场等离子体逆向喷流减阻特性[J].</w:t>
      </w:r>
      <w:r>
        <w:t xml:space="preserve"> </w:t>
      </w:r>
      <w:r>
        <w:rPr>
          <w:rFonts w:hint="eastAsia"/>
        </w:rPr>
        <w:t>航空学报,</w:t>
      </w:r>
      <w:r>
        <w:t xml:space="preserve"> 2022, 43(S2): 115-123. doi:10.7527/S1000-6893.2022.27727.</w:t>
      </w:r>
    </w:p>
    <w:p w14:paraId="4C62BB42">
      <w:pPr>
        <w:pStyle w:val="39"/>
        <w:bidi w:val="0"/>
      </w:pPr>
      <w:r>
        <w:rPr>
          <w:rFonts w:hint="eastAsia"/>
        </w:rPr>
        <w:t>高世琦,</w:t>
      </w:r>
      <w:r>
        <w:t xml:space="preserve"> </w:t>
      </w:r>
      <w:r>
        <w:rPr>
          <w:rFonts w:hint="eastAsia"/>
        </w:rPr>
        <w:t>等.</w:t>
      </w:r>
      <w:r>
        <w:t xml:space="preserve"> </w:t>
      </w:r>
      <w:r>
        <w:rPr>
          <w:rFonts w:hint="eastAsia"/>
        </w:rPr>
        <w:t>等离子体激励在高速流动中的减阻机制[J].</w:t>
      </w:r>
      <w:r>
        <w:t xml:space="preserve"> </w:t>
      </w:r>
      <w:r>
        <w:rPr>
          <w:rFonts w:hint="eastAsia"/>
        </w:rPr>
        <w:t>航空学报,</w:t>
      </w:r>
      <w:r>
        <w:t xml:space="preserve"> 2023, 44(S2): 729373. doi:10.7527/S1000-6893.2023.29373.</w:t>
      </w:r>
    </w:p>
    <w:p w14:paraId="1A000D7F">
      <w:pPr>
        <w:pStyle w:val="39"/>
        <w:bidi w:val="0"/>
      </w:pPr>
      <w:r>
        <w:rPr>
          <w:rFonts w:hint="eastAsia"/>
        </w:rPr>
        <w:t>孙志坤,</w:t>
      </w:r>
      <w:r>
        <w:t xml:space="preserve"> </w:t>
      </w:r>
      <w:r>
        <w:rPr>
          <w:rFonts w:hint="eastAsia"/>
        </w:rPr>
        <w:t>等.</w:t>
      </w:r>
      <w:r>
        <w:t xml:space="preserve"> </w:t>
      </w:r>
      <w:r>
        <w:rPr>
          <w:rFonts w:hint="eastAsia"/>
        </w:rPr>
        <w:t>等离子体激励器对高速翼型升阻特性的影响[J].</w:t>
      </w:r>
      <w:r>
        <w:t xml:space="preserve"> </w:t>
      </w:r>
      <w:r>
        <w:rPr>
          <w:rFonts w:hint="eastAsia"/>
        </w:rPr>
        <w:t>航空学报,</w:t>
      </w:r>
      <w:r>
        <w:t xml:space="preserve"> 2022, 43(S2): 23-39. doi:10.7527/S1000-6893.2022.27705.</w:t>
      </w:r>
    </w:p>
    <w:p w14:paraId="37E58030">
      <w:pPr>
        <w:pStyle w:val="39"/>
        <w:bidi w:val="0"/>
      </w:pPr>
      <w:r>
        <w:t>Stove A G. Linear FMCW radar techniques[J]. IEE Proceedings F (Radar and Signal Processing), 1992, 139(5): 343-350. doi:10.1049/ip-f-2.1992.0048.</w:t>
      </w:r>
    </w:p>
    <w:p w14:paraId="235E8B3D">
      <w:pPr>
        <w:pStyle w:val="39"/>
        <w:bidi w:val="0"/>
      </w:pPr>
      <w:r>
        <w:t>Pozar D M. Microwave Engineering[M]. 4th ed. Hoboken: John Wiley &amp; Sons, 2011.</w:t>
      </w:r>
    </w:p>
    <w:p w14:paraId="0AA0E5A5">
      <w:pPr>
        <w:pStyle w:val="39"/>
        <w:bidi w:val="0"/>
      </w:pPr>
      <w:r>
        <w:t>Hong J S, et al. Microstrip Filters for RF/Microwave Applications[M]. 2nd ed. Hoboken: John Wiley &amp; Sons, 2011.</w:t>
      </w:r>
    </w:p>
    <w:p w14:paraId="7F9D5FE3">
      <w:pPr>
        <w:pStyle w:val="39"/>
        <w:bidi w:val="0"/>
      </w:pPr>
      <w:r>
        <w:t>Cameron R J, et al. Microwave Filters for Communication Systems: Fundamentals, Design, and Applications[M]. 2nd ed. Hoboken: John Wiley &amp; Sons, 2018.</w:t>
      </w:r>
    </w:p>
    <w:p w14:paraId="14B14868">
      <w:pPr>
        <w:pStyle w:val="39"/>
        <w:bidi w:val="0"/>
      </w:pPr>
      <w:r>
        <w:rPr>
          <w:rFonts w:hint="eastAsia"/>
        </w:rPr>
        <w:t>谢理科,</w:t>
      </w:r>
      <w:r>
        <w:t xml:space="preserve"> </w:t>
      </w:r>
      <w:r>
        <w:rPr>
          <w:rFonts w:hint="eastAsia"/>
        </w:rPr>
        <w:t>等.</w:t>
      </w:r>
      <w:r>
        <w:t xml:space="preserve"> </w:t>
      </w:r>
      <w:r>
        <w:rPr>
          <w:rFonts w:hint="eastAsia"/>
        </w:rPr>
        <w:t>等离子体激励与电加热式防冰性能对比[J].</w:t>
      </w:r>
      <w:r>
        <w:t xml:space="preserve"> </w:t>
      </w:r>
      <w:r>
        <w:rPr>
          <w:rFonts w:hint="eastAsia"/>
        </w:rPr>
        <w:t>航空学报,</w:t>
      </w:r>
      <w:r>
        <w:t xml:space="preserve"> 2023, 44(1): 627971. doi:10.7527/S1000-6893.2022.27971.</w:t>
      </w:r>
    </w:p>
    <w:p w14:paraId="40CE8A58">
      <w:pPr>
        <w:pStyle w:val="39"/>
        <w:bidi w:val="0"/>
      </w:pPr>
      <w:r>
        <w:t>Richards M A, et al. Fundamentals of Radar Signal Processing[M]. 2nd ed. New York: McGraw-Hill Education, 2014.</w:t>
      </w:r>
    </w:p>
    <w:p w14:paraId="69AAA9CB">
      <w:pPr>
        <w:pStyle w:val="39"/>
        <w:bidi w:val="0"/>
      </w:pPr>
      <w:r>
        <w:t>Skolnik M I. Radar Handbook[M]. 3rd ed. New York: McGraw-Hill, 2008.</w:t>
      </w:r>
    </w:p>
    <w:bookmarkEnd w:id="112"/>
    <w:p w14:paraId="2531AFB7">
      <w:pPr>
        <w:pStyle w:val="39"/>
        <w:numPr>
          <w:numId w:val="0"/>
        </w:numPr>
        <w:bidi w:val="0"/>
        <w:ind w:left="420" w:leftChars="0"/>
      </w:pPr>
    </w:p>
    <w:sectPr>
      <w:headerReference r:id="rId18" w:type="first"/>
      <w:footerReference r:id="rId19" w:type="first"/>
      <w:headerReference r:id="rId17" w:type="default"/>
      <w:type w:val="oddPage"/>
      <w:pgSz w:w="11907" w:h="16840"/>
      <w:pgMar w:top="1701" w:right="1418" w:bottom="1134" w:left="1418" w:header="1134" w:footer="992" w:gutter="284"/>
      <w:cols w:space="425" w:num="1"/>
      <w:docGrid w:linePitch="366" w:charSpace="743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MS Mincho">
    <w:altName w:val="黄令东齐伋体（QIJIFALLBACK）"/>
    <w:panose1 w:val="00000000000000000000"/>
    <w:charset w:val="00"/>
    <w:family w:val="auto"/>
    <w:pitch w:val="default"/>
    <w:sig w:usb0="00000000" w:usb1="00000000" w:usb2="00000000" w:usb3="00000000" w:csb0="00000000" w:csb1="00000000"/>
  </w:font>
  <w:font w:name="黄令东齐伋体（QIJIFALLBACK）">
    <w:panose1 w:val="02000509000000000000"/>
    <w:charset w:val="88"/>
    <w:family w:val="auto"/>
    <w:pitch w:val="default"/>
    <w:sig w:usb0="00000000" w:usb1="08000000" w:usb2="00000000" w:usb3="00000000" w:csb0="00100000" w:csb1="00000000"/>
  </w:font>
  <w:font w:name="@宋体">
    <w:panose1 w:val="02010600030101010101"/>
    <w:charset w:val="86"/>
    <w:family w:val="auto"/>
    <w:pitch w:val="variable"/>
    <w:sig w:usb0="00000203" w:usb1="288F0000" w:usb2="00000006" w:usb3="00000000" w:csb0="00040001" w:csb1="00000000"/>
  </w:font>
  <w:font w:name="@黑体">
    <w:panose1 w:val="02010609060101010101"/>
    <w:charset w:val="86"/>
    <w:family w:val="auto"/>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82AD5">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6F5FD">
    <w:pPr>
      <w:pStyle w:val="19"/>
      <w:ind w:firstLine="0" w:firstLineChars="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C9795">
    <w:pPr>
      <w:pStyle w:val="1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54F97">
    <w:pPr>
      <w:pStyle w:val="19"/>
      <w:ind w:firstLine="0" w:firstLineChars="0"/>
    </w:pPr>
  </w:p>
  <w:p w14:paraId="1BCB368A">
    <w:pPr>
      <w:pStyle w:val="19"/>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4A92B">
    <w:pPr>
      <w:pStyle w:val="19"/>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251AF">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E4590">
    <w:pPr>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EC631">
    <w:pPr>
      <w:pStyle w:val="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F78F4">
    <w:pPr>
      <w:pStyle w:val="20"/>
    </w:pPr>
    <w:r>
      <w:rPr>
        <w:rFonts w:hint="eastAsia"/>
      </w:rPr>
      <w:t>插图索引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FC894">
    <w:pPr>
      <w:pStyle w:val="20"/>
    </w:pPr>
    <w:r>
      <w:rPr>
        <w:rFonts w:hint="eastAsia"/>
      </w:rPr>
      <w:t>表格索引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3E9B2">
    <w:pPr>
      <w:pStyle w:val="20"/>
    </w:pPr>
    <w:r>
      <w:rPr>
        <w:rFonts w:hint="eastAsia"/>
      </w:rPr>
      <w:t>符号对照表</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9D53E">
    <w:pPr>
      <w:pStyle w:val="20"/>
    </w:pPr>
    <w:r>
      <w:rPr>
        <w:rFonts w:hint="eastAsia"/>
      </w:rPr>
      <w:t>缩略语对照表</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E72D9">
    <w:pPr>
      <w:pStyle w:val="20"/>
    </w:pPr>
    <w:r>
      <w:rPr>
        <w:rFonts w:hint="eastAsia"/>
      </w:rPr>
      <w:t>目录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39A60">
    <w:pPr>
      <w:pStyle w:val="20"/>
    </w:pPr>
    <w:r>
      <w:rPr>
        <w:rFonts w:hint="eastAsia"/>
      </w:rPr>
      <w:t>宽带信号在色散介质中的传播机理与方法失效分析</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40A11">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B37E0D"/>
    <w:multiLevelType w:val="multilevel"/>
    <w:tmpl w:val="04B37E0D"/>
    <w:lvl w:ilvl="0" w:tentative="0">
      <w:start w:val="1"/>
      <w:numFmt w:val="decimal"/>
      <w:pStyle w:val="39"/>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AB13F68"/>
    <w:multiLevelType w:val="multilevel"/>
    <w:tmpl w:val="1AB13F68"/>
    <w:lvl w:ilvl="0" w:tentative="0">
      <w:start w:val="1"/>
      <w:numFmt w:val="decimal"/>
      <w:pStyle w:val="7"/>
      <w:lvlText w:val="3.%1"/>
      <w:lvlJc w:val="left"/>
      <w:pPr>
        <w:ind w:left="420" w:hanging="420"/>
      </w:pPr>
      <w:rPr>
        <w:rFonts w:hint="default" w:ascii="Times New Roman" w:hAnsi="Times New Roman" w:eastAsia="黑体"/>
        <w:b/>
        <w:i w:val="0"/>
        <w:sz w:val="3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pStyle w:val="8"/>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A877D64"/>
    <w:multiLevelType w:val="singleLevel"/>
    <w:tmpl w:val="3A877D64"/>
    <w:lvl w:ilvl="0" w:tentative="0">
      <w:start w:val="1"/>
      <w:numFmt w:val="decimal"/>
      <w:pStyle w:val="58"/>
      <w:lvlText w:val="[%1]"/>
      <w:lvlJc w:val="left"/>
      <w:pPr>
        <w:tabs>
          <w:tab w:val="left" w:pos="360"/>
        </w:tabs>
        <w:ind w:left="360" w:hanging="360"/>
      </w:pPr>
    </w:lvl>
  </w:abstractNum>
  <w:abstractNum w:abstractNumId="3">
    <w:nsid w:val="61B35CA1"/>
    <w:multiLevelType w:val="multilevel"/>
    <w:tmpl w:val="61B35CA1"/>
    <w:lvl w:ilvl="0" w:tentative="0">
      <w:start w:val="1"/>
      <w:numFmt w:val="chineseCountingThousand"/>
      <w:pStyle w:val="2"/>
      <w:lvlText w:val="第%1章"/>
      <w:lvlJc w:val="left"/>
      <w:pPr>
        <w:ind w:left="0" w:firstLine="0"/>
      </w:pPr>
      <w:rPr>
        <w:rFonts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tentative="0">
      <w:start w:val="1"/>
      <w:numFmt w:val="decimal"/>
      <w:pStyle w:val="3"/>
      <w:isLgl/>
      <w:lvlText w:val="%1.%2"/>
      <w:lvlJc w:val="left"/>
      <w:pPr>
        <w:ind w:left="0" w:firstLine="0"/>
      </w:pPr>
      <w:rPr>
        <w:rFonts w:hint="default" w:ascii="Times New Roman" w:hAnsi="Times New Roman" w:eastAsia="黑体"/>
        <w:b/>
        <w:i w:val="0"/>
        <w:sz w:val="32"/>
      </w:rPr>
    </w:lvl>
    <w:lvl w:ilvl="2" w:tentative="0">
      <w:start w:val="1"/>
      <w:numFmt w:val="decimal"/>
      <w:pStyle w:val="4"/>
      <w:isLgl/>
      <w:lvlText w:val="%1.%2.%3"/>
      <w:lvlJc w:val="left"/>
      <w:pPr>
        <w:ind w:left="425" w:firstLine="0"/>
      </w:pPr>
      <w:rPr>
        <w:rFonts w:hint="eastAsia"/>
        <w:b/>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tentative="0">
      <w:start w:val="1"/>
      <w:numFmt w:val="decimal"/>
      <w:pStyle w:val="5"/>
      <w:isLgl/>
      <w:lvlText w:val="%1.%2.%3.%4"/>
      <w:lvlJc w:val="left"/>
      <w:pPr>
        <w:ind w:left="851" w:firstLine="0"/>
      </w:pPr>
      <w:rPr>
        <w:rFonts w:hint="eastAsia"/>
      </w:rPr>
    </w:lvl>
    <w:lvl w:ilvl="4" w:tentative="0">
      <w:start w:val="1"/>
      <w:numFmt w:val="decimal"/>
      <w:isLgl/>
      <w:lvlText w:val="%1.%2.%3.%4.%5"/>
      <w:lvlJc w:val="left"/>
      <w:pPr>
        <w:ind w:left="1276" w:firstLine="0"/>
      </w:pPr>
      <w:rPr>
        <w:rFonts w:hint="eastAsia"/>
      </w:rPr>
    </w:lvl>
    <w:lvl w:ilvl="5" w:tentative="0">
      <w:start w:val="1"/>
      <w:numFmt w:val="decimal"/>
      <w:isLgl/>
      <w:lvlText w:val="%1.%2.%3.%4.%5.%6"/>
      <w:lvlJc w:val="left"/>
      <w:pPr>
        <w:ind w:left="1701" w:firstLine="0"/>
      </w:pPr>
      <w:rPr>
        <w:rFonts w:hint="eastAsia"/>
      </w:rPr>
    </w:lvl>
    <w:lvl w:ilvl="6" w:tentative="0">
      <w:start w:val="1"/>
      <w:numFmt w:val="decimal"/>
      <w:isLgl/>
      <w:lvlText w:val="%1.%2.%3.%4.%5.%6.%7"/>
      <w:lvlJc w:val="left"/>
      <w:pPr>
        <w:ind w:left="2126" w:firstLine="0"/>
      </w:pPr>
      <w:rPr>
        <w:rFonts w:hint="eastAsia"/>
      </w:rPr>
    </w:lvl>
    <w:lvl w:ilvl="7" w:tentative="0">
      <w:start w:val="1"/>
      <w:numFmt w:val="decimal"/>
      <w:lvlRestart w:val="1"/>
      <w:pStyle w:val="42"/>
      <w:isLgl/>
      <w:lvlText w:val="表%1.%8"/>
      <w:lvlJc w:val="left"/>
      <w:pPr>
        <w:ind w:left="0" w:firstLine="0"/>
      </w:pPr>
      <w:rPr>
        <w:rFonts w:hint="eastAsia"/>
      </w:rPr>
    </w:lvl>
    <w:lvl w:ilvl="8" w:tentative="0">
      <w:start w:val="1"/>
      <w:numFmt w:val="decimal"/>
      <w:lvlRestart w:val="1"/>
      <w:pStyle w:val="43"/>
      <w:isLgl/>
      <w:lvlText w:val="图%1.%9"/>
      <w:lvlJc w:val="left"/>
      <w:pPr>
        <w:ind w:left="0" w:firstLine="0"/>
      </w:pPr>
      <w:rPr>
        <w:rFonts w:hint="eastAsia"/>
      </w:rPr>
    </w:lvl>
  </w:abstractNum>
  <w:abstractNum w:abstractNumId="4">
    <w:nsid w:val="671C75A9"/>
    <w:multiLevelType w:val="multilevel"/>
    <w:tmpl w:val="671C75A9"/>
    <w:lvl w:ilvl="0" w:tentative="0">
      <w:start w:val="1"/>
      <w:numFmt w:val="decimal"/>
      <w:pStyle w:val="6"/>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mirrorMargins w:val="1"/>
  <w:bordersDoNotSurroundHeader w:val="1"/>
  <w:bordersDoNotSurroundFooter w:val="1"/>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attachedTemplate r:id="rId1"/>
  <w:documentProtection w:enforcement="0"/>
  <w:defaultTabStop w:val="480"/>
  <w:evenAndOddHeaders w:val="1"/>
  <w:drawingGridHorizontalSpacing w:val="2"/>
  <w:drawingGridVerticalSpacing w:val="2"/>
  <w:displayHorizontalDrawingGridEvery w:val="0"/>
  <w:displayVerticalDrawingGridEvery w:val="2"/>
  <w:characterSpacingControl w:val="compressPunctuation"/>
  <w:footnotePr>
    <w:numFmt w:val="decimalEnclosedCircleChinese"/>
    <w:numRestart w:val="eachSect"/>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Q4YTg2N2U3NmMyMDQ2MDlhYWJhNjFiZTU0M2I4MmYifQ=="/>
    <w:docVar w:name="EN.InstantFormat" w:val="&lt;ENInstantFormat&gt;&lt;Enabled&gt;1&lt;/Enabled&gt;&lt;ScanUnformatted&gt;1&lt;/ScanUnformatted&gt;&lt;ScanChanges&gt;1&lt;/ScanChanges&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生物电阻抗技术2005.enl&lt;/item&gt;&lt;/Libraries&gt;&lt;/ENLibraries&gt;"/>
  </w:docVars>
  <w:rsids>
    <w:rsidRoot w:val="009E3C4E"/>
    <w:rsid w:val="00000091"/>
    <w:rsid w:val="000000DB"/>
    <w:rsid w:val="000001E2"/>
    <w:rsid w:val="00000548"/>
    <w:rsid w:val="0000064C"/>
    <w:rsid w:val="00000714"/>
    <w:rsid w:val="00000E94"/>
    <w:rsid w:val="00001517"/>
    <w:rsid w:val="000019A6"/>
    <w:rsid w:val="00001C7B"/>
    <w:rsid w:val="00001D6E"/>
    <w:rsid w:val="00001FE1"/>
    <w:rsid w:val="000024DC"/>
    <w:rsid w:val="000027BA"/>
    <w:rsid w:val="000027CB"/>
    <w:rsid w:val="00002809"/>
    <w:rsid w:val="0000303D"/>
    <w:rsid w:val="000031FE"/>
    <w:rsid w:val="000035B8"/>
    <w:rsid w:val="000036E2"/>
    <w:rsid w:val="00004506"/>
    <w:rsid w:val="0000458C"/>
    <w:rsid w:val="000045D7"/>
    <w:rsid w:val="00004D01"/>
    <w:rsid w:val="00004D43"/>
    <w:rsid w:val="00005001"/>
    <w:rsid w:val="00005D18"/>
    <w:rsid w:val="00005DCD"/>
    <w:rsid w:val="00006065"/>
    <w:rsid w:val="000064DC"/>
    <w:rsid w:val="000072DF"/>
    <w:rsid w:val="000076DB"/>
    <w:rsid w:val="00007806"/>
    <w:rsid w:val="00007957"/>
    <w:rsid w:val="00007CB7"/>
    <w:rsid w:val="000100C1"/>
    <w:rsid w:val="00010209"/>
    <w:rsid w:val="0001293C"/>
    <w:rsid w:val="00012A71"/>
    <w:rsid w:val="00012AF6"/>
    <w:rsid w:val="00012B3D"/>
    <w:rsid w:val="00012EBE"/>
    <w:rsid w:val="000131FC"/>
    <w:rsid w:val="000132BB"/>
    <w:rsid w:val="00013736"/>
    <w:rsid w:val="00013C74"/>
    <w:rsid w:val="000141FA"/>
    <w:rsid w:val="00014639"/>
    <w:rsid w:val="000148DC"/>
    <w:rsid w:val="00014AD0"/>
    <w:rsid w:val="00014AF3"/>
    <w:rsid w:val="00014F7B"/>
    <w:rsid w:val="00015361"/>
    <w:rsid w:val="00015391"/>
    <w:rsid w:val="000155CB"/>
    <w:rsid w:val="000157A1"/>
    <w:rsid w:val="000158F8"/>
    <w:rsid w:val="000159A9"/>
    <w:rsid w:val="00015A17"/>
    <w:rsid w:val="00015A94"/>
    <w:rsid w:val="00015B5B"/>
    <w:rsid w:val="00015D12"/>
    <w:rsid w:val="00016617"/>
    <w:rsid w:val="00016C69"/>
    <w:rsid w:val="00016D4D"/>
    <w:rsid w:val="00017043"/>
    <w:rsid w:val="000171F2"/>
    <w:rsid w:val="00017339"/>
    <w:rsid w:val="0001761D"/>
    <w:rsid w:val="0001795C"/>
    <w:rsid w:val="00017990"/>
    <w:rsid w:val="00020288"/>
    <w:rsid w:val="000203F2"/>
    <w:rsid w:val="00020467"/>
    <w:rsid w:val="00020933"/>
    <w:rsid w:val="00020A27"/>
    <w:rsid w:val="00021207"/>
    <w:rsid w:val="0002142B"/>
    <w:rsid w:val="00021523"/>
    <w:rsid w:val="00021761"/>
    <w:rsid w:val="00022220"/>
    <w:rsid w:val="00022221"/>
    <w:rsid w:val="000222AA"/>
    <w:rsid w:val="000227B6"/>
    <w:rsid w:val="00022E27"/>
    <w:rsid w:val="00023073"/>
    <w:rsid w:val="000234D0"/>
    <w:rsid w:val="0002374E"/>
    <w:rsid w:val="00023983"/>
    <w:rsid w:val="00023A5A"/>
    <w:rsid w:val="00023E69"/>
    <w:rsid w:val="00024734"/>
    <w:rsid w:val="00024CEE"/>
    <w:rsid w:val="00024FEE"/>
    <w:rsid w:val="00025054"/>
    <w:rsid w:val="0002539B"/>
    <w:rsid w:val="00025663"/>
    <w:rsid w:val="000259B2"/>
    <w:rsid w:val="00025BA6"/>
    <w:rsid w:val="00025D20"/>
    <w:rsid w:val="000261DB"/>
    <w:rsid w:val="000263D5"/>
    <w:rsid w:val="000263DC"/>
    <w:rsid w:val="00026C4D"/>
    <w:rsid w:val="00026CFF"/>
    <w:rsid w:val="00026E1F"/>
    <w:rsid w:val="0002711B"/>
    <w:rsid w:val="000273D2"/>
    <w:rsid w:val="0002791C"/>
    <w:rsid w:val="00027AD6"/>
    <w:rsid w:val="00027E61"/>
    <w:rsid w:val="0003048A"/>
    <w:rsid w:val="00030AE5"/>
    <w:rsid w:val="00030E95"/>
    <w:rsid w:val="0003106F"/>
    <w:rsid w:val="00031181"/>
    <w:rsid w:val="00031385"/>
    <w:rsid w:val="00031DA1"/>
    <w:rsid w:val="00031EB1"/>
    <w:rsid w:val="00031F01"/>
    <w:rsid w:val="00032064"/>
    <w:rsid w:val="00032135"/>
    <w:rsid w:val="00032428"/>
    <w:rsid w:val="0003284C"/>
    <w:rsid w:val="00032977"/>
    <w:rsid w:val="00032AD3"/>
    <w:rsid w:val="000331DE"/>
    <w:rsid w:val="00033996"/>
    <w:rsid w:val="00033A45"/>
    <w:rsid w:val="00034327"/>
    <w:rsid w:val="00034B04"/>
    <w:rsid w:val="00035278"/>
    <w:rsid w:val="00035366"/>
    <w:rsid w:val="000354AD"/>
    <w:rsid w:val="00035B87"/>
    <w:rsid w:val="00035ED5"/>
    <w:rsid w:val="00036B78"/>
    <w:rsid w:val="00036C7C"/>
    <w:rsid w:val="00036E2C"/>
    <w:rsid w:val="00037035"/>
    <w:rsid w:val="00037818"/>
    <w:rsid w:val="00040104"/>
    <w:rsid w:val="000405D3"/>
    <w:rsid w:val="00041071"/>
    <w:rsid w:val="000410AE"/>
    <w:rsid w:val="00041291"/>
    <w:rsid w:val="00041638"/>
    <w:rsid w:val="00041A23"/>
    <w:rsid w:val="00041D6C"/>
    <w:rsid w:val="000429F3"/>
    <w:rsid w:val="000429F8"/>
    <w:rsid w:val="00042C16"/>
    <w:rsid w:val="00042FAB"/>
    <w:rsid w:val="00042FD4"/>
    <w:rsid w:val="00043260"/>
    <w:rsid w:val="0004380F"/>
    <w:rsid w:val="00044204"/>
    <w:rsid w:val="00044535"/>
    <w:rsid w:val="00044953"/>
    <w:rsid w:val="000449CF"/>
    <w:rsid w:val="00044CF0"/>
    <w:rsid w:val="00044E04"/>
    <w:rsid w:val="00044FE9"/>
    <w:rsid w:val="00045089"/>
    <w:rsid w:val="00045342"/>
    <w:rsid w:val="00045CC3"/>
    <w:rsid w:val="00045E6F"/>
    <w:rsid w:val="0004608E"/>
    <w:rsid w:val="000462E8"/>
    <w:rsid w:val="00046303"/>
    <w:rsid w:val="0004648E"/>
    <w:rsid w:val="00046DB5"/>
    <w:rsid w:val="000470A4"/>
    <w:rsid w:val="00047F5A"/>
    <w:rsid w:val="00050502"/>
    <w:rsid w:val="00050652"/>
    <w:rsid w:val="00050698"/>
    <w:rsid w:val="00050E0D"/>
    <w:rsid w:val="00050FD0"/>
    <w:rsid w:val="00051BC5"/>
    <w:rsid w:val="00051D49"/>
    <w:rsid w:val="0005200E"/>
    <w:rsid w:val="0005231C"/>
    <w:rsid w:val="0005255E"/>
    <w:rsid w:val="0005305F"/>
    <w:rsid w:val="000531B6"/>
    <w:rsid w:val="000535B7"/>
    <w:rsid w:val="00053751"/>
    <w:rsid w:val="0005387B"/>
    <w:rsid w:val="00053EE4"/>
    <w:rsid w:val="00053FE0"/>
    <w:rsid w:val="00054546"/>
    <w:rsid w:val="00054A2E"/>
    <w:rsid w:val="00054C89"/>
    <w:rsid w:val="00054CF7"/>
    <w:rsid w:val="00054DD5"/>
    <w:rsid w:val="0005555A"/>
    <w:rsid w:val="00055668"/>
    <w:rsid w:val="00055CAD"/>
    <w:rsid w:val="00055F4E"/>
    <w:rsid w:val="00056231"/>
    <w:rsid w:val="000566EF"/>
    <w:rsid w:val="00056837"/>
    <w:rsid w:val="00056D47"/>
    <w:rsid w:val="00056D76"/>
    <w:rsid w:val="00057345"/>
    <w:rsid w:val="00057367"/>
    <w:rsid w:val="00057765"/>
    <w:rsid w:val="0005795A"/>
    <w:rsid w:val="00057ACD"/>
    <w:rsid w:val="00057AED"/>
    <w:rsid w:val="00057B15"/>
    <w:rsid w:val="0006020F"/>
    <w:rsid w:val="000602B6"/>
    <w:rsid w:val="00060445"/>
    <w:rsid w:val="000604D4"/>
    <w:rsid w:val="000608ED"/>
    <w:rsid w:val="00061141"/>
    <w:rsid w:val="000611D3"/>
    <w:rsid w:val="00061732"/>
    <w:rsid w:val="00061B1D"/>
    <w:rsid w:val="00061CE8"/>
    <w:rsid w:val="00062030"/>
    <w:rsid w:val="000621E5"/>
    <w:rsid w:val="000621F3"/>
    <w:rsid w:val="0006232A"/>
    <w:rsid w:val="00062374"/>
    <w:rsid w:val="0006246E"/>
    <w:rsid w:val="000626E9"/>
    <w:rsid w:val="00062B06"/>
    <w:rsid w:val="00062B9A"/>
    <w:rsid w:val="00062DD5"/>
    <w:rsid w:val="000635EB"/>
    <w:rsid w:val="0006371F"/>
    <w:rsid w:val="00063BE1"/>
    <w:rsid w:val="000644C0"/>
    <w:rsid w:val="00064597"/>
    <w:rsid w:val="000645B5"/>
    <w:rsid w:val="00064B7F"/>
    <w:rsid w:val="00064BE7"/>
    <w:rsid w:val="000651C9"/>
    <w:rsid w:val="0006542A"/>
    <w:rsid w:val="0006557A"/>
    <w:rsid w:val="0006576A"/>
    <w:rsid w:val="000657BB"/>
    <w:rsid w:val="00065B37"/>
    <w:rsid w:val="00065DA0"/>
    <w:rsid w:val="0006645F"/>
    <w:rsid w:val="000664A5"/>
    <w:rsid w:val="000664C5"/>
    <w:rsid w:val="00066597"/>
    <w:rsid w:val="0006660B"/>
    <w:rsid w:val="00066728"/>
    <w:rsid w:val="00067048"/>
    <w:rsid w:val="0006709A"/>
    <w:rsid w:val="000672F1"/>
    <w:rsid w:val="0006749F"/>
    <w:rsid w:val="00067898"/>
    <w:rsid w:val="000678B4"/>
    <w:rsid w:val="00070081"/>
    <w:rsid w:val="00070406"/>
    <w:rsid w:val="0007070F"/>
    <w:rsid w:val="00070872"/>
    <w:rsid w:val="000709E1"/>
    <w:rsid w:val="00070D75"/>
    <w:rsid w:val="00071049"/>
    <w:rsid w:val="000710C8"/>
    <w:rsid w:val="00071AF6"/>
    <w:rsid w:val="00071DB5"/>
    <w:rsid w:val="00072100"/>
    <w:rsid w:val="000725D9"/>
    <w:rsid w:val="00072A8E"/>
    <w:rsid w:val="00072ECB"/>
    <w:rsid w:val="00072FF5"/>
    <w:rsid w:val="00073106"/>
    <w:rsid w:val="000735E9"/>
    <w:rsid w:val="000736D7"/>
    <w:rsid w:val="000739E5"/>
    <w:rsid w:val="000739E8"/>
    <w:rsid w:val="00073EA6"/>
    <w:rsid w:val="00073FA1"/>
    <w:rsid w:val="0007424C"/>
    <w:rsid w:val="00074527"/>
    <w:rsid w:val="00074A04"/>
    <w:rsid w:val="00074AA6"/>
    <w:rsid w:val="00074D72"/>
    <w:rsid w:val="0007525C"/>
    <w:rsid w:val="000753D8"/>
    <w:rsid w:val="000756E8"/>
    <w:rsid w:val="000757C6"/>
    <w:rsid w:val="00075A5E"/>
    <w:rsid w:val="00075A92"/>
    <w:rsid w:val="00075AC2"/>
    <w:rsid w:val="0007690E"/>
    <w:rsid w:val="00076994"/>
    <w:rsid w:val="00076C50"/>
    <w:rsid w:val="00076D84"/>
    <w:rsid w:val="00076E58"/>
    <w:rsid w:val="00077284"/>
    <w:rsid w:val="000777BF"/>
    <w:rsid w:val="00077C33"/>
    <w:rsid w:val="00077F24"/>
    <w:rsid w:val="00080059"/>
    <w:rsid w:val="00080243"/>
    <w:rsid w:val="0008065C"/>
    <w:rsid w:val="000808E7"/>
    <w:rsid w:val="00080E58"/>
    <w:rsid w:val="00080FB0"/>
    <w:rsid w:val="00080FFD"/>
    <w:rsid w:val="00081017"/>
    <w:rsid w:val="0008262D"/>
    <w:rsid w:val="000826E6"/>
    <w:rsid w:val="00082BD6"/>
    <w:rsid w:val="00082E05"/>
    <w:rsid w:val="00083368"/>
    <w:rsid w:val="00083820"/>
    <w:rsid w:val="000838F1"/>
    <w:rsid w:val="00083B58"/>
    <w:rsid w:val="00083C87"/>
    <w:rsid w:val="00084615"/>
    <w:rsid w:val="00084A33"/>
    <w:rsid w:val="00084BC8"/>
    <w:rsid w:val="00084CAE"/>
    <w:rsid w:val="00084CD9"/>
    <w:rsid w:val="00084ED4"/>
    <w:rsid w:val="00084FE3"/>
    <w:rsid w:val="0008508D"/>
    <w:rsid w:val="00085574"/>
    <w:rsid w:val="00085734"/>
    <w:rsid w:val="00085758"/>
    <w:rsid w:val="00085C0D"/>
    <w:rsid w:val="00086013"/>
    <w:rsid w:val="0008622D"/>
    <w:rsid w:val="00086D34"/>
    <w:rsid w:val="00086E4B"/>
    <w:rsid w:val="00086EA4"/>
    <w:rsid w:val="0008718B"/>
    <w:rsid w:val="00087581"/>
    <w:rsid w:val="0008777C"/>
    <w:rsid w:val="00087D93"/>
    <w:rsid w:val="00087E5A"/>
    <w:rsid w:val="000903BD"/>
    <w:rsid w:val="00090D56"/>
    <w:rsid w:val="00090D83"/>
    <w:rsid w:val="0009108D"/>
    <w:rsid w:val="00091343"/>
    <w:rsid w:val="000914B2"/>
    <w:rsid w:val="00091830"/>
    <w:rsid w:val="0009190B"/>
    <w:rsid w:val="00091BA1"/>
    <w:rsid w:val="000921FE"/>
    <w:rsid w:val="000923C4"/>
    <w:rsid w:val="00092C45"/>
    <w:rsid w:val="00092F4D"/>
    <w:rsid w:val="000933E9"/>
    <w:rsid w:val="00093721"/>
    <w:rsid w:val="0009398B"/>
    <w:rsid w:val="000939D5"/>
    <w:rsid w:val="00093DF5"/>
    <w:rsid w:val="00093E72"/>
    <w:rsid w:val="00094105"/>
    <w:rsid w:val="00094195"/>
    <w:rsid w:val="000941B0"/>
    <w:rsid w:val="000941B4"/>
    <w:rsid w:val="000941FB"/>
    <w:rsid w:val="000945CD"/>
    <w:rsid w:val="00094C7A"/>
    <w:rsid w:val="000951EA"/>
    <w:rsid w:val="00095256"/>
    <w:rsid w:val="000952DF"/>
    <w:rsid w:val="000953ED"/>
    <w:rsid w:val="00095A10"/>
    <w:rsid w:val="000961E6"/>
    <w:rsid w:val="00096501"/>
    <w:rsid w:val="000965CF"/>
    <w:rsid w:val="000967F2"/>
    <w:rsid w:val="00096878"/>
    <w:rsid w:val="00096A73"/>
    <w:rsid w:val="00096F21"/>
    <w:rsid w:val="00096F45"/>
    <w:rsid w:val="00097334"/>
    <w:rsid w:val="00097818"/>
    <w:rsid w:val="000978BE"/>
    <w:rsid w:val="000979C4"/>
    <w:rsid w:val="000979DF"/>
    <w:rsid w:val="00097E84"/>
    <w:rsid w:val="000A039E"/>
    <w:rsid w:val="000A0702"/>
    <w:rsid w:val="000A0716"/>
    <w:rsid w:val="000A0DE6"/>
    <w:rsid w:val="000A15D9"/>
    <w:rsid w:val="000A170B"/>
    <w:rsid w:val="000A1A73"/>
    <w:rsid w:val="000A1F53"/>
    <w:rsid w:val="000A2666"/>
    <w:rsid w:val="000A2705"/>
    <w:rsid w:val="000A2921"/>
    <w:rsid w:val="000A2CF1"/>
    <w:rsid w:val="000A3720"/>
    <w:rsid w:val="000A3853"/>
    <w:rsid w:val="000A3B54"/>
    <w:rsid w:val="000A3E27"/>
    <w:rsid w:val="000A4367"/>
    <w:rsid w:val="000A47B7"/>
    <w:rsid w:val="000A482B"/>
    <w:rsid w:val="000A4857"/>
    <w:rsid w:val="000A4D4A"/>
    <w:rsid w:val="000A4F48"/>
    <w:rsid w:val="000A511F"/>
    <w:rsid w:val="000A51E1"/>
    <w:rsid w:val="000A57AA"/>
    <w:rsid w:val="000A59D4"/>
    <w:rsid w:val="000A5A6E"/>
    <w:rsid w:val="000A5BD1"/>
    <w:rsid w:val="000A6055"/>
    <w:rsid w:val="000A64F4"/>
    <w:rsid w:val="000A6870"/>
    <w:rsid w:val="000A72D4"/>
    <w:rsid w:val="000A7523"/>
    <w:rsid w:val="000A773C"/>
    <w:rsid w:val="000A7B4C"/>
    <w:rsid w:val="000A7ECF"/>
    <w:rsid w:val="000B0328"/>
    <w:rsid w:val="000B071F"/>
    <w:rsid w:val="000B087A"/>
    <w:rsid w:val="000B0928"/>
    <w:rsid w:val="000B0B8E"/>
    <w:rsid w:val="000B135F"/>
    <w:rsid w:val="000B138C"/>
    <w:rsid w:val="000B1E7D"/>
    <w:rsid w:val="000B2863"/>
    <w:rsid w:val="000B2B68"/>
    <w:rsid w:val="000B3924"/>
    <w:rsid w:val="000B3C60"/>
    <w:rsid w:val="000B3C6D"/>
    <w:rsid w:val="000B3E55"/>
    <w:rsid w:val="000B4412"/>
    <w:rsid w:val="000B4661"/>
    <w:rsid w:val="000B4C13"/>
    <w:rsid w:val="000B4C1D"/>
    <w:rsid w:val="000B4E37"/>
    <w:rsid w:val="000B51F4"/>
    <w:rsid w:val="000B5813"/>
    <w:rsid w:val="000B678A"/>
    <w:rsid w:val="000B6797"/>
    <w:rsid w:val="000B69FC"/>
    <w:rsid w:val="000B6D57"/>
    <w:rsid w:val="000B7300"/>
    <w:rsid w:val="000B7556"/>
    <w:rsid w:val="000B7E1D"/>
    <w:rsid w:val="000B7E61"/>
    <w:rsid w:val="000C016F"/>
    <w:rsid w:val="000C07A4"/>
    <w:rsid w:val="000C0AA7"/>
    <w:rsid w:val="000C137D"/>
    <w:rsid w:val="000C162D"/>
    <w:rsid w:val="000C1A1C"/>
    <w:rsid w:val="000C1A59"/>
    <w:rsid w:val="000C1A8A"/>
    <w:rsid w:val="000C1BEB"/>
    <w:rsid w:val="000C1CD0"/>
    <w:rsid w:val="000C1CF6"/>
    <w:rsid w:val="000C1D73"/>
    <w:rsid w:val="000C1DBA"/>
    <w:rsid w:val="000C1E72"/>
    <w:rsid w:val="000C1F17"/>
    <w:rsid w:val="000C2296"/>
    <w:rsid w:val="000C257D"/>
    <w:rsid w:val="000C2ABA"/>
    <w:rsid w:val="000C2CF8"/>
    <w:rsid w:val="000C2F3B"/>
    <w:rsid w:val="000C3337"/>
    <w:rsid w:val="000C39BB"/>
    <w:rsid w:val="000C3DF3"/>
    <w:rsid w:val="000C4203"/>
    <w:rsid w:val="000C430B"/>
    <w:rsid w:val="000C4A97"/>
    <w:rsid w:val="000C4BAE"/>
    <w:rsid w:val="000C5024"/>
    <w:rsid w:val="000C55ED"/>
    <w:rsid w:val="000C5768"/>
    <w:rsid w:val="000C6112"/>
    <w:rsid w:val="000C6506"/>
    <w:rsid w:val="000C6551"/>
    <w:rsid w:val="000C68E0"/>
    <w:rsid w:val="000C6B39"/>
    <w:rsid w:val="000C6B9D"/>
    <w:rsid w:val="000C722A"/>
    <w:rsid w:val="000C72E8"/>
    <w:rsid w:val="000C760C"/>
    <w:rsid w:val="000C7773"/>
    <w:rsid w:val="000C7CFE"/>
    <w:rsid w:val="000D02A1"/>
    <w:rsid w:val="000D06F7"/>
    <w:rsid w:val="000D091C"/>
    <w:rsid w:val="000D1184"/>
    <w:rsid w:val="000D1DF1"/>
    <w:rsid w:val="000D1F86"/>
    <w:rsid w:val="000D21D6"/>
    <w:rsid w:val="000D2540"/>
    <w:rsid w:val="000D2B1F"/>
    <w:rsid w:val="000D2D42"/>
    <w:rsid w:val="000D2FDE"/>
    <w:rsid w:val="000D3B31"/>
    <w:rsid w:val="000D3CFE"/>
    <w:rsid w:val="000D4021"/>
    <w:rsid w:val="000D404C"/>
    <w:rsid w:val="000D42A6"/>
    <w:rsid w:val="000D4468"/>
    <w:rsid w:val="000D448A"/>
    <w:rsid w:val="000D47B4"/>
    <w:rsid w:val="000D4B46"/>
    <w:rsid w:val="000D51B4"/>
    <w:rsid w:val="000D51C2"/>
    <w:rsid w:val="000D571A"/>
    <w:rsid w:val="000D5766"/>
    <w:rsid w:val="000D6257"/>
    <w:rsid w:val="000D63E4"/>
    <w:rsid w:val="000D6527"/>
    <w:rsid w:val="000D67D0"/>
    <w:rsid w:val="000D688E"/>
    <w:rsid w:val="000D6A79"/>
    <w:rsid w:val="000D6ACA"/>
    <w:rsid w:val="000D7B58"/>
    <w:rsid w:val="000E03D8"/>
    <w:rsid w:val="000E0419"/>
    <w:rsid w:val="000E0EFA"/>
    <w:rsid w:val="000E186A"/>
    <w:rsid w:val="000E1A41"/>
    <w:rsid w:val="000E1C0C"/>
    <w:rsid w:val="000E1DE4"/>
    <w:rsid w:val="000E1FE3"/>
    <w:rsid w:val="000E2312"/>
    <w:rsid w:val="000E2765"/>
    <w:rsid w:val="000E2BC7"/>
    <w:rsid w:val="000E328A"/>
    <w:rsid w:val="000E356E"/>
    <w:rsid w:val="000E3734"/>
    <w:rsid w:val="000E37D2"/>
    <w:rsid w:val="000E3949"/>
    <w:rsid w:val="000E3AA4"/>
    <w:rsid w:val="000E3D09"/>
    <w:rsid w:val="000E3E40"/>
    <w:rsid w:val="000E42E2"/>
    <w:rsid w:val="000E47E7"/>
    <w:rsid w:val="000E4D35"/>
    <w:rsid w:val="000E4D39"/>
    <w:rsid w:val="000E5024"/>
    <w:rsid w:val="000E5327"/>
    <w:rsid w:val="000E5339"/>
    <w:rsid w:val="000E562A"/>
    <w:rsid w:val="000E5701"/>
    <w:rsid w:val="000E587E"/>
    <w:rsid w:val="000E5D98"/>
    <w:rsid w:val="000E5EFF"/>
    <w:rsid w:val="000E62C0"/>
    <w:rsid w:val="000E63E3"/>
    <w:rsid w:val="000E644A"/>
    <w:rsid w:val="000E6B64"/>
    <w:rsid w:val="000E71FD"/>
    <w:rsid w:val="000E726D"/>
    <w:rsid w:val="000E76AF"/>
    <w:rsid w:val="000E77CF"/>
    <w:rsid w:val="000F004E"/>
    <w:rsid w:val="000F0385"/>
    <w:rsid w:val="000F0448"/>
    <w:rsid w:val="000F065C"/>
    <w:rsid w:val="000F0720"/>
    <w:rsid w:val="000F0A19"/>
    <w:rsid w:val="000F0CC0"/>
    <w:rsid w:val="000F0D2C"/>
    <w:rsid w:val="000F0E9B"/>
    <w:rsid w:val="000F0EA9"/>
    <w:rsid w:val="000F10CD"/>
    <w:rsid w:val="000F114B"/>
    <w:rsid w:val="000F18FA"/>
    <w:rsid w:val="000F2288"/>
    <w:rsid w:val="000F2A6E"/>
    <w:rsid w:val="000F2C07"/>
    <w:rsid w:val="000F2C1A"/>
    <w:rsid w:val="000F2DF6"/>
    <w:rsid w:val="000F3596"/>
    <w:rsid w:val="000F3729"/>
    <w:rsid w:val="000F3D8A"/>
    <w:rsid w:val="000F3E72"/>
    <w:rsid w:val="000F4078"/>
    <w:rsid w:val="000F4797"/>
    <w:rsid w:val="000F4A0A"/>
    <w:rsid w:val="000F4A39"/>
    <w:rsid w:val="000F4BAF"/>
    <w:rsid w:val="000F59BC"/>
    <w:rsid w:val="000F5B68"/>
    <w:rsid w:val="000F5BCC"/>
    <w:rsid w:val="000F6371"/>
    <w:rsid w:val="000F7001"/>
    <w:rsid w:val="000F7105"/>
    <w:rsid w:val="000F7191"/>
    <w:rsid w:val="000F71F5"/>
    <w:rsid w:val="000F72F6"/>
    <w:rsid w:val="000F762A"/>
    <w:rsid w:val="000F7814"/>
    <w:rsid w:val="000F7EEF"/>
    <w:rsid w:val="001000CB"/>
    <w:rsid w:val="00100627"/>
    <w:rsid w:val="00101675"/>
    <w:rsid w:val="0010171D"/>
    <w:rsid w:val="001018BD"/>
    <w:rsid w:val="00101AB8"/>
    <w:rsid w:val="00101D74"/>
    <w:rsid w:val="00102B44"/>
    <w:rsid w:val="0010319B"/>
    <w:rsid w:val="00104F57"/>
    <w:rsid w:val="001054C9"/>
    <w:rsid w:val="0010571D"/>
    <w:rsid w:val="00105933"/>
    <w:rsid w:val="00105F1B"/>
    <w:rsid w:val="00106261"/>
    <w:rsid w:val="00106526"/>
    <w:rsid w:val="0010679B"/>
    <w:rsid w:val="00106A3F"/>
    <w:rsid w:val="0010700B"/>
    <w:rsid w:val="001071AF"/>
    <w:rsid w:val="001074B7"/>
    <w:rsid w:val="001077BB"/>
    <w:rsid w:val="00107DFD"/>
    <w:rsid w:val="001101F0"/>
    <w:rsid w:val="00110830"/>
    <w:rsid w:val="00110F33"/>
    <w:rsid w:val="0011106B"/>
    <w:rsid w:val="001118C4"/>
    <w:rsid w:val="00111C08"/>
    <w:rsid w:val="00111C3A"/>
    <w:rsid w:val="00111FFF"/>
    <w:rsid w:val="00112A2E"/>
    <w:rsid w:val="00112FF7"/>
    <w:rsid w:val="00113266"/>
    <w:rsid w:val="0011329A"/>
    <w:rsid w:val="00113420"/>
    <w:rsid w:val="00113C6B"/>
    <w:rsid w:val="00113E6B"/>
    <w:rsid w:val="00113EE2"/>
    <w:rsid w:val="00114152"/>
    <w:rsid w:val="001142C5"/>
    <w:rsid w:val="00114422"/>
    <w:rsid w:val="00114C08"/>
    <w:rsid w:val="00114D80"/>
    <w:rsid w:val="00114EE6"/>
    <w:rsid w:val="00114F0F"/>
    <w:rsid w:val="00115076"/>
    <w:rsid w:val="001151F8"/>
    <w:rsid w:val="001152F2"/>
    <w:rsid w:val="0011531C"/>
    <w:rsid w:val="00115893"/>
    <w:rsid w:val="00115972"/>
    <w:rsid w:val="00115F59"/>
    <w:rsid w:val="00115F5D"/>
    <w:rsid w:val="00115FE0"/>
    <w:rsid w:val="001160C6"/>
    <w:rsid w:val="0011635D"/>
    <w:rsid w:val="00116657"/>
    <w:rsid w:val="0011683D"/>
    <w:rsid w:val="00116B1D"/>
    <w:rsid w:val="00116F11"/>
    <w:rsid w:val="00117284"/>
    <w:rsid w:val="001173EF"/>
    <w:rsid w:val="00117779"/>
    <w:rsid w:val="00117CDA"/>
    <w:rsid w:val="0012053B"/>
    <w:rsid w:val="0012059C"/>
    <w:rsid w:val="001205C4"/>
    <w:rsid w:val="0012070F"/>
    <w:rsid w:val="00120DA7"/>
    <w:rsid w:val="00120DEE"/>
    <w:rsid w:val="00121463"/>
    <w:rsid w:val="0012183B"/>
    <w:rsid w:val="0012199F"/>
    <w:rsid w:val="00121A76"/>
    <w:rsid w:val="00121E94"/>
    <w:rsid w:val="001220F5"/>
    <w:rsid w:val="00122511"/>
    <w:rsid w:val="00122741"/>
    <w:rsid w:val="00122AB6"/>
    <w:rsid w:val="00122CEF"/>
    <w:rsid w:val="0012355C"/>
    <w:rsid w:val="00123B89"/>
    <w:rsid w:val="00123EF8"/>
    <w:rsid w:val="00124509"/>
    <w:rsid w:val="00124B55"/>
    <w:rsid w:val="00124BEB"/>
    <w:rsid w:val="00124D73"/>
    <w:rsid w:val="0012512B"/>
    <w:rsid w:val="001259DF"/>
    <w:rsid w:val="00125D36"/>
    <w:rsid w:val="001263A4"/>
    <w:rsid w:val="00126587"/>
    <w:rsid w:val="00126A6A"/>
    <w:rsid w:val="00126EBE"/>
    <w:rsid w:val="00127091"/>
    <w:rsid w:val="001275EE"/>
    <w:rsid w:val="0013023C"/>
    <w:rsid w:val="001308D1"/>
    <w:rsid w:val="00130A76"/>
    <w:rsid w:val="00130AE5"/>
    <w:rsid w:val="0013108B"/>
    <w:rsid w:val="0013129E"/>
    <w:rsid w:val="0013179E"/>
    <w:rsid w:val="001319B5"/>
    <w:rsid w:val="001319BF"/>
    <w:rsid w:val="001319DA"/>
    <w:rsid w:val="00131BE7"/>
    <w:rsid w:val="001320BA"/>
    <w:rsid w:val="001322C0"/>
    <w:rsid w:val="001322CF"/>
    <w:rsid w:val="001322D8"/>
    <w:rsid w:val="00132894"/>
    <w:rsid w:val="001339F7"/>
    <w:rsid w:val="00133CDA"/>
    <w:rsid w:val="00134525"/>
    <w:rsid w:val="00134B3B"/>
    <w:rsid w:val="00134C8E"/>
    <w:rsid w:val="00134CF4"/>
    <w:rsid w:val="00134EDA"/>
    <w:rsid w:val="001354CB"/>
    <w:rsid w:val="00135845"/>
    <w:rsid w:val="00135E3B"/>
    <w:rsid w:val="00135EC0"/>
    <w:rsid w:val="00135ED3"/>
    <w:rsid w:val="0013607E"/>
    <w:rsid w:val="00136154"/>
    <w:rsid w:val="00136232"/>
    <w:rsid w:val="00136277"/>
    <w:rsid w:val="0013627A"/>
    <w:rsid w:val="0013627C"/>
    <w:rsid w:val="00136441"/>
    <w:rsid w:val="001364D4"/>
    <w:rsid w:val="001366AE"/>
    <w:rsid w:val="00136734"/>
    <w:rsid w:val="00136F23"/>
    <w:rsid w:val="00137152"/>
    <w:rsid w:val="0013756C"/>
    <w:rsid w:val="00137575"/>
    <w:rsid w:val="00137D55"/>
    <w:rsid w:val="00137EFF"/>
    <w:rsid w:val="001401CF"/>
    <w:rsid w:val="0014033B"/>
    <w:rsid w:val="00140673"/>
    <w:rsid w:val="00140844"/>
    <w:rsid w:val="00140F08"/>
    <w:rsid w:val="0014115F"/>
    <w:rsid w:val="001412CB"/>
    <w:rsid w:val="00141ADD"/>
    <w:rsid w:val="001423B8"/>
    <w:rsid w:val="00142481"/>
    <w:rsid w:val="001424A9"/>
    <w:rsid w:val="0014254F"/>
    <w:rsid w:val="0014265A"/>
    <w:rsid w:val="0014288A"/>
    <w:rsid w:val="00142C4D"/>
    <w:rsid w:val="0014304F"/>
    <w:rsid w:val="00143282"/>
    <w:rsid w:val="001433C6"/>
    <w:rsid w:val="0014366E"/>
    <w:rsid w:val="00143675"/>
    <w:rsid w:val="0014410C"/>
    <w:rsid w:val="001444FD"/>
    <w:rsid w:val="00144DDF"/>
    <w:rsid w:val="001452A6"/>
    <w:rsid w:val="00145724"/>
    <w:rsid w:val="00145922"/>
    <w:rsid w:val="0014593D"/>
    <w:rsid w:val="00145FB8"/>
    <w:rsid w:val="0014601B"/>
    <w:rsid w:val="001460B3"/>
    <w:rsid w:val="0014686A"/>
    <w:rsid w:val="00146F80"/>
    <w:rsid w:val="00146FC2"/>
    <w:rsid w:val="001473AE"/>
    <w:rsid w:val="001478D3"/>
    <w:rsid w:val="00150198"/>
    <w:rsid w:val="001502EA"/>
    <w:rsid w:val="00150586"/>
    <w:rsid w:val="0015089D"/>
    <w:rsid w:val="00150C0E"/>
    <w:rsid w:val="0015102A"/>
    <w:rsid w:val="00151878"/>
    <w:rsid w:val="00152155"/>
    <w:rsid w:val="001521B9"/>
    <w:rsid w:val="00152291"/>
    <w:rsid w:val="00152578"/>
    <w:rsid w:val="001539A5"/>
    <w:rsid w:val="00153F3F"/>
    <w:rsid w:val="00153FA5"/>
    <w:rsid w:val="00154405"/>
    <w:rsid w:val="00154523"/>
    <w:rsid w:val="0015499D"/>
    <w:rsid w:val="00154DCE"/>
    <w:rsid w:val="001553D3"/>
    <w:rsid w:val="00155A40"/>
    <w:rsid w:val="00155C8E"/>
    <w:rsid w:val="00155DE8"/>
    <w:rsid w:val="00155E19"/>
    <w:rsid w:val="00155E97"/>
    <w:rsid w:val="0015626A"/>
    <w:rsid w:val="001574B7"/>
    <w:rsid w:val="00157526"/>
    <w:rsid w:val="001575EB"/>
    <w:rsid w:val="001578B4"/>
    <w:rsid w:val="00157936"/>
    <w:rsid w:val="00157A34"/>
    <w:rsid w:val="00157A60"/>
    <w:rsid w:val="00157B06"/>
    <w:rsid w:val="00157CDB"/>
    <w:rsid w:val="00157E8E"/>
    <w:rsid w:val="00160232"/>
    <w:rsid w:val="001605FA"/>
    <w:rsid w:val="001607FC"/>
    <w:rsid w:val="00160B28"/>
    <w:rsid w:val="00161139"/>
    <w:rsid w:val="001613D5"/>
    <w:rsid w:val="0016154D"/>
    <w:rsid w:val="00161959"/>
    <w:rsid w:val="001623D5"/>
    <w:rsid w:val="0016246B"/>
    <w:rsid w:val="0016283D"/>
    <w:rsid w:val="00162EEE"/>
    <w:rsid w:val="001630E5"/>
    <w:rsid w:val="0016320C"/>
    <w:rsid w:val="001633E4"/>
    <w:rsid w:val="0016364A"/>
    <w:rsid w:val="00163656"/>
    <w:rsid w:val="001637CA"/>
    <w:rsid w:val="001637F0"/>
    <w:rsid w:val="00163C6D"/>
    <w:rsid w:val="00164222"/>
    <w:rsid w:val="001643D9"/>
    <w:rsid w:val="0016448C"/>
    <w:rsid w:val="0016491C"/>
    <w:rsid w:val="00164B7E"/>
    <w:rsid w:val="00164B8E"/>
    <w:rsid w:val="0016529D"/>
    <w:rsid w:val="001652CC"/>
    <w:rsid w:val="00165764"/>
    <w:rsid w:val="00165931"/>
    <w:rsid w:val="00165B51"/>
    <w:rsid w:val="00165F25"/>
    <w:rsid w:val="00166243"/>
    <w:rsid w:val="00166456"/>
    <w:rsid w:val="00166D4D"/>
    <w:rsid w:val="00166E38"/>
    <w:rsid w:val="00166FB2"/>
    <w:rsid w:val="001670E3"/>
    <w:rsid w:val="00167353"/>
    <w:rsid w:val="0016770A"/>
    <w:rsid w:val="001678B3"/>
    <w:rsid w:val="0016790D"/>
    <w:rsid w:val="00167960"/>
    <w:rsid w:val="00167996"/>
    <w:rsid w:val="00167A5B"/>
    <w:rsid w:val="00167CDA"/>
    <w:rsid w:val="00167F66"/>
    <w:rsid w:val="00170518"/>
    <w:rsid w:val="00170AD6"/>
    <w:rsid w:val="00170C3B"/>
    <w:rsid w:val="00171417"/>
    <w:rsid w:val="001718C0"/>
    <w:rsid w:val="001719AC"/>
    <w:rsid w:val="00171A7F"/>
    <w:rsid w:val="00171E4E"/>
    <w:rsid w:val="001723B6"/>
    <w:rsid w:val="00172710"/>
    <w:rsid w:val="00172910"/>
    <w:rsid w:val="00172D54"/>
    <w:rsid w:val="00172F4D"/>
    <w:rsid w:val="00172F4F"/>
    <w:rsid w:val="00173B21"/>
    <w:rsid w:val="001740B6"/>
    <w:rsid w:val="00174905"/>
    <w:rsid w:val="00174BC4"/>
    <w:rsid w:val="00174C0B"/>
    <w:rsid w:val="00174C71"/>
    <w:rsid w:val="0017500D"/>
    <w:rsid w:val="00175168"/>
    <w:rsid w:val="0017520C"/>
    <w:rsid w:val="00175694"/>
    <w:rsid w:val="001759F1"/>
    <w:rsid w:val="00175DB9"/>
    <w:rsid w:val="00175F3C"/>
    <w:rsid w:val="00176128"/>
    <w:rsid w:val="001762C1"/>
    <w:rsid w:val="00176591"/>
    <w:rsid w:val="00176610"/>
    <w:rsid w:val="00176825"/>
    <w:rsid w:val="00176851"/>
    <w:rsid w:val="00176996"/>
    <w:rsid w:val="001769B7"/>
    <w:rsid w:val="00176AA2"/>
    <w:rsid w:val="00176C50"/>
    <w:rsid w:val="00176CE1"/>
    <w:rsid w:val="0017723E"/>
    <w:rsid w:val="00177272"/>
    <w:rsid w:val="001773F2"/>
    <w:rsid w:val="00177AF9"/>
    <w:rsid w:val="00177C22"/>
    <w:rsid w:val="00180377"/>
    <w:rsid w:val="0018067B"/>
    <w:rsid w:val="001808C5"/>
    <w:rsid w:val="00180A31"/>
    <w:rsid w:val="00180A87"/>
    <w:rsid w:val="00180E55"/>
    <w:rsid w:val="0018120B"/>
    <w:rsid w:val="0018167E"/>
    <w:rsid w:val="00181C0F"/>
    <w:rsid w:val="00181E28"/>
    <w:rsid w:val="00181F3A"/>
    <w:rsid w:val="0018251D"/>
    <w:rsid w:val="001828FE"/>
    <w:rsid w:val="00182A5A"/>
    <w:rsid w:val="00182BA2"/>
    <w:rsid w:val="00182E66"/>
    <w:rsid w:val="001833A3"/>
    <w:rsid w:val="00183483"/>
    <w:rsid w:val="001834AE"/>
    <w:rsid w:val="00183AE4"/>
    <w:rsid w:val="00183C38"/>
    <w:rsid w:val="00183DDC"/>
    <w:rsid w:val="00184218"/>
    <w:rsid w:val="0018423E"/>
    <w:rsid w:val="001842AB"/>
    <w:rsid w:val="001842C8"/>
    <w:rsid w:val="00184801"/>
    <w:rsid w:val="00184856"/>
    <w:rsid w:val="00184B82"/>
    <w:rsid w:val="001859A9"/>
    <w:rsid w:val="0018785D"/>
    <w:rsid w:val="001878E8"/>
    <w:rsid w:val="00187DCA"/>
    <w:rsid w:val="00190AA9"/>
    <w:rsid w:val="00191191"/>
    <w:rsid w:val="001915B0"/>
    <w:rsid w:val="00191BA0"/>
    <w:rsid w:val="00191E9D"/>
    <w:rsid w:val="001920FE"/>
    <w:rsid w:val="0019233A"/>
    <w:rsid w:val="00192913"/>
    <w:rsid w:val="00192D59"/>
    <w:rsid w:val="00192F63"/>
    <w:rsid w:val="001930C0"/>
    <w:rsid w:val="00193B84"/>
    <w:rsid w:val="00193E6E"/>
    <w:rsid w:val="0019419C"/>
    <w:rsid w:val="0019458F"/>
    <w:rsid w:val="0019511E"/>
    <w:rsid w:val="00195216"/>
    <w:rsid w:val="00195265"/>
    <w:rsid w:val="0019527E"/>
    <w:rsid w:val="00195538"/>
    <w:rsid w:val="0019567C"/>
    <w:rsid w:val="00195C03"/>
    <w:rsid w:val="00195C78"/>
    <w:rsid w:val="00195DDF"/>
    <w:rsid w:val="0019664F"/>
    <w:rsid w:val="0019683A"/>
    <w:rsid w:val="00196C7C"/>
    <w:rsid w:val="00196E0E"/>
    <w:rsid w:val="00196F74"/>
    <w:rsid w:val="00196FE0"/>
    <w:rsid w:val="001970A7"/>
    <w:rsid w:val="001973E7"/>
    <w:rsid w:val="00197443"/>
    <w:rsid w:val="0019751F"/>
    <w:rsid w:val="0019754D"/>
    <w:rsid w:val="00197686"/>
    <w:rsid w:val="001A0051"/>
    <w:rsid w:val="001A06B6"/>
    <w:rsid w:val="001A0901"/>
    <w:rsid w:val="001A0BA5"/>
    <w:rsid w:val="001A0D0E"/>
    <w:rsid w:val="001A15D3"/>
    <w:rsid w:val="001A17D6"/>
    <w:rsid w:val="001A19E7"/>
    <w:rsid w:val="001A1A92"/>
    <w:rsid w:val="001A1E7A"/>
    <w:rsid w:val="001A2008"/>
    <w:rsid w:val="001A24FB"/>
    <w:rsid w:val="001A265F"/>
    <w:rsid w:val="001A2C42"/>
    <w:rsid w:val="001A2E5E"/>
    <w:rsid w:val="001A312B"/>
    <w:rsid w:val="001A35F0"/>
    <w:rsid w:val="001A3860"/>
    <w:rsid w:val="001A38B8"/>
    <w:rsid w:val="001A39C4"/>
    <w:rsid w:val="001A3D1C"/>
    <w:rsid w:val="001A3D4E"/>
    <w:rsid w:val="001A3DB7"/>
    <w:rsid w:val="001A4103"/>
    <w:rsid w:val="001A4923"/>
    <w:rsid w:val="001A499C"/>
    <w:rsid w:val="001A521A"/>
    <w:rsid w:val="001A5D27"/>
    <w:rsid w:val="001A5E5B"/>
    <w:rsid w:val="001A6257"/>
    <w:rsid w:val="001A6361"/>
    <w:rsid w:val="001A64B1"/>
    <w:rsid w:val="001A6834"/>
    <w:rsid w:val="001A689B"/>
    <w:rsid w:val="001A692F"/>
    <w:rsid w:val="001A72F7"/>
    <w:rsid w:val="001A750E"/>
    <w:rsid w:val="001A78EE"/>
    <w:rsid w:val="001A7AD6"/>
    <w:rsid w:val="001B0598"/>
    <w:rsid w:val="001B072A"/>
    <w:rsid w:val="001B0781"/>
    <w:rsid w:val="001B0AD2"/>
    <w:rsid w:val="001B116E"/>
    <w:rsid w:val="001B13B9"/>
    <w:rsid w:val="001B1859"/>
    <w:rsid w:val="001B1E3A"/>
    <w:rsid w:val="001B2152"/>
    <w:rsid w:val="001B22E9"/>
    <w:rsid w:val="001B23E9"/>
    <w:rsid w:val="001B2979"/>
    <w:rsid w:val="001B2B53"/>
    <w:rsid w:val="001B2F2F"/>
    <w:rsid w:val="001B3059"/>
    <w:rsid w:val="001B338E"/>
    <w:rsid w:val="001B347F"/>
    <w:rsid w:val="001B4536"/>
    <w:rsid w:val="001B4BD8"/>
    <w:rsid w:val="001B5507"/>
    <w:rsid w:val="001B5BCC"/>
    <w:rsid w:val="001B60C9"/>
    <w:rsid w:val="001B66A0"/>
    <w:rsid w:val="001B69A4"/>
    <w:rsid w:val="001B6AF9"/>
    <w:rsid w:val="001B6C43"/>
    <w:rsid w:val="001B76CA"/>
    <w:rsid w:val="001B79B7"/>
    <w:rsid w:val="001B7B51"/>
    <w:rsid w:val="001C00E5"/>
    <w:rsid w:val="001C02A9"/>
    <w:rsid w:val="001C05E7"/>
    <w:rsid w:val="001C0A6A"/>
    <w:rsid w:val="001C1069"/>
    <w:rsid w:val="001C1590"/>
    <w:rsid w:val="001C15F3"/>
    <w:rsid w:val="001C18BE"/>
    <w:rsid w:val="001C1908"/>
    <w:rsid w:val="001C190C"/>
    <w:rsid w:val="001C238F"/>
    <w:rsid w:val="001C26F1"/>
    <w:rsid w:val="001C2B1F"/>
    <w:rsid w:val="001C2F8F"/>
    <w:rsid w:val="001C30FC"/>
    <w:rsid w:val="001C37CA"/>
    <w:rsid w:val="001C37E0"/>
    <w:rsid w:val="001C3995"/>
    <w:rsid w:val="001C3FFC"/>
    <w:rsid w:val="001C40CC"/>
    <w:rsid w:val="001C44D8"/>
    <w:rsid w:val="001C4AD5"/>
    <w:rsid w:val="001C4D9B"/>
    <w:rsid w:val="001C4F12"/>
    <w:rsid w:val="001C5363"/>
    <w:rsid w:val="001C550E"/>
    <w:rsid w:val="001C55D4"/>
    <w:rsid w:val="001C59AD"/>
    <w:rsid w:val="001C5B79"/>
    <w:rsid w:val="001C5F1A"/>
    <w:rsid w:val="001C608E"/>
    <w:rsid w:val="001C6152"/>
    <w:rsid w:val="001C6157"/>
    <w:rsid w:val="001C616A"/>
    <w:rsid w:val="001C61B9"/>
    <w:rsid w:val="001C640F"/>
    <w:rsid w:val="001C6A51"/>
    <w:rsid w:val="001C6BC1"/>
    <w:rsid w:val="001C71A6"/>
    <w:rsid w:val="001C7609"/>
    <w:rsid w:val="001C7611"/>
    <w:rsid w:val="001C7831"/>
    <w:rsid w:val="001D04A3"/>
    <w:rsid w:val="001D0683"/>
    <w:rsid w:val="001D0CDD"/>
    <w:rsid w:val="001D1017"/>
    <w:rsid w:val="001D18A0"/>
    <w:rsid w:val="001D190B"/>
    <w:rsid w:val="001D1AD5"/>
    <w:rsid w:val="001D2045"/>
    <w:rsid w:val="001D20A7"/>
    <w:rsid w:val="001D212E"/>
    <w:rsid w:val="001D21BA"/>
    <w:rsid w:val="001D23E8"/>
    <w:rsid w:val="001D26C1"/>
    <w:rsid w:val="001D2A1F"/>
    <w:rsid w:val="001D2A47"/>
    <w:rsid w:val="001D2B80"/>
    <w:rsid w:val="001D2F93"/>
    <w:rsid w:val="001D30D7"/>
    <w:rsid w:val="001D3716"/>
    <w:rsid w:val="001D3F25"/>
    <w:rsid w:val="001D48D7"/>
    <w:rsid w:val="001D4A53"/>
    <w:rsid w:val="001D4ADF"/>
    <w:rsid w:val="001D4B09"/>
    <w:rsid w:val="001D4CED"/>
    <w:rsid w:val="001D572B"/>
    <w:rsid w:val="001D5832"/>
    <w:rsid w:val="001D5B37"/>
    <w:rsid w:val="001D5B91"/>
    <w:rsid w:val="001D5DC3"/>
    <w:rsid w:val="001D6022"/>
    <w:rsid w:val="001D695C"/>
    <w:rsid w:val="001D6FF7"/>
    <w:rsid w:val="001D71FF"/>
    <w:rsid w:val="001D7479"/>
    <w:rsid w:val="001D7534"/>
    <w:rsid w:val="001D75CE"/>
    <w:rsid w:val="001D7A9B"/>
    <w:rsid w:val="001D7ED8"/>
    <w:rsid w:val="001E0948"/>
    <w:rsid w:val="001E14BE"/>
    <w:rsid w:val="001E14CA"/>
    <w:rsid w:val="001E1C1D"/>
    <w:rsid w:val="001E1E11"/>
    <w:rsid w:val="001E24D4"/>
    <w:rsid w:val="001E2C2C"/>
    <w:rsid w:val="001E2DF6"/>
    <w:rsid w:val="001E2ED1"/>
    <w:rsid w:val="001E333D"/>
    <w:rsid w:val="001E3766"/>
    <w:rsid w:val="001E40F3"/>
    <w:rsid w:val="001E41C9"/>
    <w:rsid w:val="001E49AF"/>
    <w:rsid w:val="001E50AD"/>
    <w:rsid w:val="001E547D"/>
    <w:rsid w:val="001E5594"/>
    <w:rsid w:val="001E5926"/>
    <w:rsid w:val="001E5C9F"/>
    <w:rsid w:val="001E5F8E"/>
    <w:rsid w:val="001E6045"/>
    <w:rsid w:val="001E60C4"/>
    <w:rsid w:val="001E638A"/>
    <w:rsid w:val="001E6583"/>
    <w:rsid w:val="001E667F"/>
    <w:rsid w:val="001E68EA"/>
    <w:rsid w:val="001E6B18"/>
    <w:rsid w:val="001E7147"/>
    <w:rsid w:val="001E737E"/>
    <w:rsid w:val="001E73E2"/>
    <w:rsid w:val="001E74B0"/>
    <w:rsid w:val="001E74D0"/>
    <w:rsid w:val="001E7A69"/>
    <w:rsid w:val="001E7C3B"/>
    <w:rsid w:val="001F047C"/>
    <w:rsid w:val="001F098A"/>
    <w:rsid w:val="001F09DC"/>
    <w:rsid w:val="001F0DE8"/>
    <w:rsid w:val="001F0E4A"/>
    <w:rsid w:val="001F11B0"/>
    <w:rsid w:val="001F1407"/>
    <w:rsid w:val="001F1627"/>
    <w:rsid w:val="001F1669"/>
    <w:rsid w:val="001F171E"/>
    <w:rsid w:val="001F181F"/>
    <w:rsid w:val="001F1F05"/>
    <w:rsid w:val="001F1F52"/>
    <w:rsid w:val="001F218B"/>
    <w:rsid w:val="001F22BC"/>
    <w:rsid w:val="001F2760"/>
    <w:rsid w:val="001F2BBA"/>
    <w:rsid w:val="001F2C3C"/>
    <w:rsid w:val="001F2F47"/>
    <w:rsid w:val="001F385F"/>
    <w:rsid w:val="001F39E6"/>
    <w:rsid w:val="001F3ADE"/>
    <w:rsid w:val="001F3C09"/>
    <w:rsid w:val="001F3C4F"/>
    <w:rsid w:val="001F3D05"/>
    <w:rsid w:val="001F3EE0"/>
    <w:rsid w:val="001F419D"/>
    <w:rsid w:val="001F41AF"/>
    <w:rsid w:val="001F4695"/>
    <w:rsid w:val="001F4C26"/>
    <w:rsid w:val="001F4D30"/>
    <w:rsid w:val="001F4D72"/>
    <w:rsid w:val="001F4FCC"/>
    <w:rsid w:val="001F50A8"/>
    <w:rsid w:val="001F5269"/>
    <w:rsid w:val="001F52F3"/>
    <w:rsid w:val="001F5999"/>
    <w:rsid w:val="001F5AF8"/>
    <w:rsid w:val="001F5B04"/>
    <w:rsid w:val="001F5BAD"/>
    <w:rsid w:val="001F5E9E"/>
    <w:rsid w:val="001F6105"/>
    <w:rsid w:val="001F61DD"/>
    <w:rsid w:val="001F630B"/>
    <w:rsid w:val="001F63F6"/>
    <w:rsid w:val="001F661E"/>
    <w:rsid w:val="001F6765"/>
    <w:rsid w:val="001F6774"/>
    <w:rsid w:val="001F67AB"/>
    <w:rsid w:val="001F67E3"/>
    <w:rsid w:val="001F6DF2"/>
    <w:rsid w:val="001F6FBA"/>
    <w:rsid w:val="0020027D"/>
    <w:rsid w:val="002006C6"/>
    <w:rsid w:val="002006F4"/>
    <w:rsid w:val="00200B5C"/>
    <w:rsid w:val="00200E45"/>
    <w:rsid w:val="002011BA"/>
    <w:rsid w:val="0020141D"/>
    <w:rsid w:val="002014E4"/>
    <w:rsid w:val="00201D94"/>
    <w:rsid w:val="00201DB3"/>
    <w:rsid w:val="00202319"/>
    <w:rsid w:val="002026BD"/>
    <w:rsid w:val="002028CC"/>
    <w:rsid w:val="00202CB0"/>
    <w:rsid w:val="00202CF5"/>
    <w:rsid w:val="00202FCB"/>
    <w:rsid w:val="0020307D"/>
    <w:rsid w:val="0020316E"/>
    <w:rsid w:val="0020318B"/>
    <w:rsid w:val="002033C5"/>
    <w:rsid w:val="002034B5"/>
    <w:rsid w:val="0020369F"/>
    <w:rsid w:val="00203D15"/>
    <w:rsid w:val="002040DA"/>
    <w:rsid w:val="0020427B"/>
    <w:rsid w:val="0020453E"/>
    <w:rsid w:val="00204C8D"/>
    <w:rsid w:val="00204DBE"/>
    <w:rsid w:val="00204E7E"/>
    <w:rsid w:val="00204FDB"/>
    <w:rsid w:val="002052DF"/>
    <w:rsid w:val="00205B24"/>
    <w:rsid w:val="00205DA8"/>
    <w:rsid w:val="0020612C"/>
    <w:rsid w:val="002062E4"/>
    <w:rsid w:val="002063F8"/>
    <w:rsid w:val="00206581"/>
    <w:rsid w:val="00206E08"/>
    <w:rsid w:val="00207333"/>
    <w:rsid w:val="00207558"/>
    <w:rsid w:val="00207857"/>
    <w:rsid w:val="00207930"/>
    <w:rsid w:val="00207A4D"/>
    <w:rsid w:val="002105B0"/>
    <w:rsid w:val="002105C7"/>
    <w:rsid w:val="002108A6"/>
    <w:rsid w:val="002108E5"/>
    <w:rsid w:val="00210D99"/>
    <w:rsid w:val="002111DF"/>
    <w:rsid w:val="002113E2"/>
    <w:rsid w:val="00211596"/>
    <w:rsid w:val="00211785"/>
    <w:rsid w:val="002119E8"/>
    <w:rsid w:val="00211D71"/>
    <w:rsid w:val="00211DA4"/>
    <w:rsid w:val="00212243"/>
    <w:rsid w:val="002122CC"/>
    <w:rsid w:val="00212441"/>
    <w:rsid w:val="00212663"/>
    <w:rsid w:val="002126DD"/>
    <w:rsid w:val="00212877"/>
    <w:rsid w:val="00212C05"/>
    <w:rsid w:val="00212DF3"/>
    <w:rsid w:val="00212FE7"/>
    <w:rsid w:val="00213284"/>
    <w:rsid w:val="002133CB"/>
    <w:rsid w:val="00213ADC"/>
    <w:rsid w:val="00213B25"/>
    <w:rsid w:val="00213C8B"/>
    <w:rsid w:val="00214219"/>
    <w:rsid w:val="002144F0"/>
    <w:rsid w:val="00214598"/>
    <w:rsid w:val="0021460F"/>
    <w:rsid w:val="00214638"/>
    <w:rsid w:val="00214711"/>
    <w:rsid w:val="0021472C"/>
    <w:rsid w:val="00215126"/>
    <w:rsid w:val="002152C0"/>
    <w:rsid w:val="002154FD"/>
    <w:rsid w:val="00215A33"/>
    <w:rsid w:val="00215C69"/>
    <w:rsid w:val="00215E3F"/>
    <w:rsid w:val="00216216"/>
    <w:rsid w:val="00216594"/>
    <w:rsid w:val="002169AC"/>
    <w:rsid w:val="00216C24"/>
    <w:rsid w:val="00216D10"/>
    <w:rsid w:val="002171B0"/>
    <w:rsid w:val="002172D2"/>
    <w:rsid w:val="002173E9"/>
    <w:rsid w:val="00217725"/>
    <w:rsid w:val="00217A5C"/>
    <w:rsid w:val="00217FF0"/>
    <w:rsid w:val="00220333"/>
    <w:rsid w:val="0022034E"/>
    <w:rsid w:val="0022055A"/>
    <w:rsid w:val="00220A82"/>
    <w:rsid w:val="00220AD6"/>
    <w:rsid w:val="00221160"/>
    <w:rsid w:val="0022119C"/>
    <w:rsid w:val="00221706"/>
    <w:rsid w:val="0022170E"/>
    <w:rsid w:val="002219C6"/>
    <w:rsid w:val="00221D30"/>
    <w:rsid w:val="00221DD3"/>
    <w:rsid w:val="002224B4"/>
    <w:rsid w:val="002226BD"/>
    <w:rsid w:val="002227E8"/>
    <w:rsid w:val="00222838"/>
    <w:rsid w:val="00222AD0"/>
    <w:rsid w:val="00222B3C"/>
    <w:rsid w:val="00222C5D"/>
    <w:rsid w:val="00222D65"/>
    <w:rsid w:val="002232AB"/>
    <w:rsid w:val="00223585"/>
    <w:rsid w:val="002236B8"/>
    <w:rsid w:val="0022397D"/>
    <w:rsid w:val="00223B82"/>
    <w:rsid w:val="00223F83"/>
    <w:rsid w:val="00224514"/>
    <w:rsid w:val="002245D8"/>
    <w:rsid w:val="002247D2"/>
    <w:rsid w:val="002248EC"/>
    <w:rsid w:val="002249C4"/>
    <w:rsid w:val="00224CC0"/>
    <w:rsid w:val="00224F0D"/>
    <w:rsid w:val="0022583A"/>
    <w:rsid w:val="002258E1"/>
    <w:rsid w:val="00225DB4"/>
    <w:rsid w:val="00225F89"/>
    <w:rsid w:val="00225F98"/>
    <w:rsid w:val="00225FCF"/>
    <w:rsid w:val="00226132"/>
    <w:rsid w:val="0022643C"/>
    <w:rsid w:val="002265AB"/>
    <w:rsid w:val="00226751"/>
    <w:rsid w:val="002268B3"/>
    <w:rsid w:val="00226B4E"/>
    <w:rsid w:val="00226F9F"/>
    <w:rsid w:val="002271F3"/>
    <w:rsid w:val="0022729B"/>
    <w:rsid w:val="002272F3"/>
    <w:rsid w:val="00227329"/>
    <w:rsid w:val="00227402"/>
    <w:rsid w:val="00227D24"/>
    <w:rsid w:val="0023015C"/>
    <w:rsid w:val="002301FC"/>
    <w:rsid w:val="002304DE"/>
    <w:rsid w:val="00230600"/>
    <w:rsid w:val="0023060B"/>
    <w:rsid w:val="00230DED"/>
    <w:rsid w:val="00231943"/>
    <w:rsid w:val="002319FD"/>
    <w:rsid w:val="002323C6"/>
    <w:rsid w:val="002328BE"/>
    <w:rsid w:val="00232BB8"/>
    <w:rsid w:val="00232ECD"/>
    <w:rsid w:val="0023309A"/>
    <w:rsid w:val="002333EC"/>
    <w:rsid w:val="00233A3E"/>
    <w:rsid w:val="00233A51"/>
    <w:rsid w:val="00234209"/>
    <w:rsid w:val="0023430E"/>
    <w:rsid w:val="002349FF"/>
    <w:rsid w:val="00234C25"/>
    <w:rsid w:val="00235403"/>
    <w:rsid w:val="00235C7A"/>
    <w:rsid w:val="00235E95"/>
    <w:rsid w:val="00236327"/>
    <w:rsid w:val="002363F4"/>
    <w:rsid w:val="0023692B"/>
    <w:rsid w:val="00236D05"/>
    <w:rsid w:val="00237659"/>
    <w:rsid w:val="002376E7"/>
    <w:rsid w:val="00237863"/>
    <w:rsid w:val="00237B24"/>
    <w:rsid w:val="00237F05"/>
    <w:rsid w:val="00240059"/>
    <w:rsid w:val="002402CA"/>
    <w:rsid w:val="002407C4"/>
    <w:rsid w:val="00240C20"/>
    <w:rsid w:val="00241067"/>
    <w:rsid w:val="0024112D"/>
    <w:rsid w:val="002411E8"/>
    <w:rsid w:val="0024141F"/>
    <w:rsid w:val="002414D1"/>
    <w:rsid w:val="00241618"/>
    <w:rsid w:val="002419B2"/>
    <w:rsid w:val="00241D1E"/>
    <w:rsid w:val="002422CD"/>
    <w:rsid w:val="00242549"/>
    <w:rsid w:val="0024262C"/>
    <w:rsid w:val="002426AC"/>
    <w:rsid w:val="00242892"/>
    <w:rsid w:val="00242D35"/>
    <w:rsid w:val="00242D3E"/>
    <w:rsid w:val="00242D5B"/>
    <w:rsid w:val="00244100"/>
    <w:rsid w:val="0024486B"/>
    <w:rsid w:val="00244FB5"/>
    <w:rsid w:val="0024529A"/>
    <w:rsid w:val="002454B6"/>
    <w:rsid w:val="00245726"/>
    <w:rsid w:val="002458D6"/>
    <w:rsid w:val="0024611F"/>
    <w:rsid w:val="00246596"/>
    <w:rsid w:val="00246805"/>
    <w:rsid w:val="00246B98"/>
    <w:rsid w:val="00246E04"/>
    <w:rsid w:val="00246F52"/>
    <w:rsid w:val="00247A15"/>
    <w:rsid w:val="00247D57"/>
    <w:rsid w:val="00247D98"/>
    <w:rsid w:val="002502BB"/>
    <w:rsid w:val="0025038D"/>
    <w:rsid w:val="00250411"/>
    <w:rsid w:val="002505B1"/>
    <w:rsid w:val="00250A60"/>
    <w:rsid w:val="00250DF0"/>
    <w:rsid w:val="00250E07"/>
    <w:rsid w:val="0025124C"/>
    <w:rsid w:val="002512AD"/>
    <w:rsid w:val="002513FE"/>
    <w:rsid w:val="002516EE"/>
    <w:rsid w:val="00251726"/>
    <w:rsid w:val="00251F23"/>
    <w:rsid w:val="00252096"/>
    <w:rsid w:val="00252247"/>
    <w:rsid w:val="00252340"/>
    <w:rsid w:val="002524AF"/>
    <w:rsid w:val="00252699"/>
    <w:rsid w:val="00252DBB"/>
    <w:rsid w:val="00252E34"/>
    <w:rsid w:val="00253552"/>
    <w:rsid w:val="00253CE5"/>
    <w:rsid w:val="002553B8"/>
    <w:rsid w:val="002557A8"/>
    <w:rsid w:val="002561B6"/>
    <w:rsid w:val="0025625A"/>
    <w:rsid w:val="00256511"/>
    <w:rsid w:val="00256939"/>
    <w:rsid w:val="00256ED2"/>
    <w:rsid w:val="00257257"/>
    <w:rsid w:val="0025746D"/>
    <w:rsid w:val="00257B28"/>
    <w:rsid w:val="00257ED3"/>
    <w:rsid w:val="002600FD"/>
    <w:rsid w:val="00260368"/>
    <w:rsid w:val="0026039F"/>
    <w:rsid w:val="002612EF"/>
    <w:rsid w:val="0026177F"/>
    <w:rsid w:val="0026195B"/>
    <w:rsid w:val="00261F59"/>
    <w:rsid w:val="00262072"/>
    <w:rsid w:val="002622C3"/>
    <w:rsid w:val="002625BB"/>
    <w:rsid w:val="00262A02"/>
    <w:rsid w:val="00262B42"/>
    <w:rsid w:val="00262C7A"/>
    <w:rsid w:val="00262F94"/>
    <w:rsid w:val="00263107"/>
    <w:rsid w:val="0026347E"/>
    <w:rsid w:val="0026358B"/>
    <w:rsid w:val="00263614"/>
    <w:rsid w:val="00263B27"/>
    <w:rsid w:val="00264512"/>
    <w:rsid w:val="0026451F"/>
    <w:rsid w:val="0026464A"/>
    <w:rsid w:val="002649EB"/>
    <w:rsid w:val="00264BEB"/>
    <w:rsid w:val="00264EE0"/>
    <w:rsid w:val="00264FA4"/>
    <w:rsid w:val="00265128"/>
    <w:rsid w:val="00265709"/>
    <w:rsid w:val="00265918"/>
    <w:rsid w:val="00265D3D"/>
    <w:rsid w:val="0026653A"/>
    <w:rsid w:val="0026697B"/>
    <w:rsid w:val="00266A26"/>
    <w:rsid w:val="0026703B"/>
    <w:rsid w:val="00267111"/>
    <w:rsid w:val="00267408"/>
    <w:rsid w:val="00267678"/>
    <w:rsid w:val="00267C0D"/>
    <w:rsid w:val="00267CC1"/>
    <w:rsid w:val="0027105A"/>
    <w:rsid w:val="00271540"/>
    <w:rsid w:val="00271F14"/>
    <w:rsid w:val="002724C5"/>
    <w:rsid w:val="00272840"/>
    <w:rsid w:val="00272931"/>
    <w:rsid w:val="002729E9"/>
    <w:rsid w:val="00272D04"/>
    <w:rsid w:val="00273423"/>
    <w:rsid w:val="00273744"/>
    <w:rsid w:val="002737D5"/>
    <w:rsid w:val="0027385B"/>
    <w:rsid w:val="00273A0B"/>
    <w:rsid w:val="00273BC2"/>
    <w:rsid w:val="00273E85"/>
    <w:rsid w:val="00273F5B"/>
    <w:rsid w:val="00273FD6"/>
    <w:rsid w:val="00274003"/>
    <w:rsid w:val="0027431F"/>
    <w:rsid w:val="002743BA"/>
    <w:rsid w:val="0027474B"/>
    <w:rsid w:val="00274A33"/>
    <w:rsid w:val="00274BDA"/>
    <w:rsid w:val="00274F61"/>
    <w:rsid w:val="00275067"/>
    <w:rsid w:val="00275479"/>
    <w:rsid w:val="002754A3"/>
    <w:rsid w:val="00275A65"/>
    <w:rsid w:val="00275D4C"/>
    <w:rsid w:val="00275DF2"/>
    <w:rsid w:val="002760A9"/>
    <w:rsid w:val="0027616B"/>
    <w:rsid w:val="00276248"/>
    <w:rsid w:val="00276387"/>
    <w:rsid w:val="002763D1"/>
    <w:rsid w:val="00276650"/>
    <w:rsid w:val="00276D6E"/>
    <w:rsid w:val="00277210"/>
    <w:rsid w:val="0027755E"/>
    <w:rsid w:val="00277676"/>
    <w:rsid w:val="0027776B"/>
    <w:rsid w:val="002778E9"/>
    <w:rsid w:val="00277A08"/>
    <w:rsid w:val="00277A50"/>
    <w:rsid w:val="00277A9F"/>
    <w:rsid w:val="00277C40"/>
    <w:rsid w:val="0028008C"/>
    <w:rsid w:val="00280289"/>
    <w:rsid w:val="002802C4"/>
    <w:rsid w:val="0028043E"/>
    <w:rsid w:val="002809AC"/>
    <w:rsid w:val="00280A76"/>
    <w:rsid w:val="00280B11"/>
    <w:rsid w:val="00281144"/>
    <w:rsid w:val="0028117B"/>
    <w:rsid w:val="00281796"/>
    <w:rsid w:val="0028193A"/>
    <w:rsid w:val="00281B11"/>
    <w:rsid w:val="002822CB"/>
    <w:rsid w:val="00282330"/>
    <w:rsid w:val="002825A8"/>
    <w:rsid w:val="002828AB"/>
    <w:rsid w:val="00282AB6"/>
    <w:rsid w:val="00282B91"/>
    <w:rsid w:val="00282D49"/>
    <w:rsid w:val="00282DAF"/>
    <w:rsid w:val="00282E27"/>
    <w:rsid w:val="00282ED7"/>
    <w:rsid w:val="00282F1D"/>
    <w:rsid w:val="0028388F"/>
    <w:rsid w:val="00283E86"/>
    <w:rsid w:val="00283F7E"/>
    <w:rsid w:val="00283FCA"/>
    <w:rsid w:val="002841F0"/>
    <w:rsid w:val="0028425A"/>
    <w:rsid w:val="002842AA"/>
    <w:rsid w:val="00284B33"/>
    <w:rsid w:val="00284B47"/>
    <w:rsid w:val="00284CBE"/>
    <w:rsid w:val="00285263"/>
    <w:rsid w:val="00285803"/>
    <w:rsid w:val="00285E28"/>
    <w:rsid w:val="0028639E"/>
    <w:rsid w:val="002865AD"/>
    <w:rsid w:val="00286BE7"/>
    <w:rsid w:val="00286C54"/>
    <w:rsid w:val="0028716C"/>
    <w:rsid w:val="00287BEA"/>
    <w:rsid w:val="00287D77"/>
    <w:rsid w:val="00287E58"/>
    <w:rsid w:val="00287FA9"/>
    <w:rsid w:val="002905AD"/>
    <w:rsid w:val="002905F8"/>
    <w:rsid w:val="00290B5B"/>
    <w:rsid w:val="00290FA8"/>
    <w:rsid w:val="0029110B"/>
    <w:rsid w:val="0029122F"/>
    <w:rsid w:val="00291265"/>
    <w:rsid w:val="0029134C"/>
    <w:rsid w:val="00291363"/>
    <w:rsid w:val="002914BB"/>
    <w:rsid w:val="002914E7"/>
    <w:rsid w:val="002917DD"/>
    <w:rsid w:val="00291C47"/>
    <w:rsid w:val="00291C83"/>
    <w:rsid w:val="00291D45"/>
    <w:rsid w:val="00291F42"/>
    <w:rsid w:val="00291F47"/>
    <w:rsid w:val="00292076"/>
    <w:rsid w:val="0029207B"/>
    <w:rsid w:val="00292367"/>
    <w:rsid w:val="00292748"/>
    <w:rsid w:val="0029276A"/>
    <w:rsid w:val="002929BB"/>
    <w:rsid w:val="00292ACA"/>
    <w:rsid w:val="00292ADD"/>
    <w:rsid w:val="00292C02"/>
    <w:rsid w:val="002931D3"/>
    <w:rsid w:val="0029360B"/>
    <w:rsid w:val="0029360D"/>
    <w:rsid w:val="002937D8"/>
    <w:rsid w:val="00293DFB"/>
    <w:rsid w:val="00293F24"/>
    <w:rsid w:val="00293F44"/>
    <w:rsid w:val="00293F99"/>
    <w:rsid w:val="00294236"/>
    <w:rsid w:val="002944D4"/>
    <w:rsid w:val="002944E6"/>
    <w:rsid w:val="002945B6"/>
    <w:rsid w:val="0029460F"/>
    <w:rsid w:val="002947B7"/>
    <w:rsid w:val="00294FB1"/>
    <w:rsid w:val="0029525B"/>
    <w:rsid w:val="002955DA"/>
    <w:rsid w:val="00295647"/>
    <w:rsid w:val="00295703"/>
    <w:rsid w:val="0029577D"/>
    <w:rsid w:val="00295B16"/>
    <w:rsid w:val="00295BFB"/>
    <w:rsid w:val="00295DEF"/>
    <w:rsid w:val="0029613A"/>
    <w:rsid w:val="0029617E"/>
    <w:rsid w:val="00296232"/>
    <w:rsid w:val="0029669C"/>
    <w:rsid w:val="0029694C"/>
    <w:rsid w:val="00296D15"/>
    <w:rsid w:val="002970B3"/>
    <w:rsid w:val="0029739D"/>
    <w:rsid w:val="002977DC"/>
    <w:rsid w:val="00297B2C"/>
    <w:rsid w:val="00297CA8"/>
    <w:rsid w:val="002A020A"/>
    <w:rsid w:val="002A0673"/>
    <w:rsid w:val="002A0937"/>
    <w:rsid w:val="002A09A1"/>
    <w:rsid w:val="002A134D"/>
    <w:rsid w:val="002A13BE"/>
    <w:rsid w:val="002A1719"/>
    <w:rsid w:val="002A18CC"/>
    <w:rsid w:val="002A192C"/>
    <w:rsid w:val="002A1E1F"/>
    <w:rsid w:val="002A1F69"/>
    <w:rsid w:val="002A2617"/>
    <w:rsid w:val="002A26B9"/>
    <w:rsid w:val="002A26EA"/>
    <w:rsid w:val="002A2797"/>
    <w:rsid w:val="002A2CC3"/>
    <w:rsid w:val="002A2E5F"/>
    <w:rsid w:val="002A315C"/>
    <w:rsid w:val="002A3284"/>
    <w:rsid w:val="002A3465"/>
    <w:rsid w:val="002A3561"/>
    <w:rsid w:val="002A3AFB"/>
    <w:rsid w:val="002A4328"/>
    <w:rsid w:val="002A4395"/>
    <w:rsid w:val="002A4543"/>
    <w:rsid w:val="002A4776"/>
    <w:rsid w:val="002A47BA"/>
    <w:rsid w:val="002A47FF"/>
    <w:rsid w:val="002A4BF7"/>
    <w:rsid w:val="002A4E58"/>
    <w:rsid w:val="002A5208"/>
    <w:rsid w:val="002A5291"/>
    <w:rsid w:val="002A56DB"/>
    <w:rsid w:val="002A56F7"/>
    <w:rsid w:val="002A57DE"/>
    <w:rsid w:val="002A5F7C"/>
    <w:rsid w:val="002A6001"/>
    <w:rsid w:val="002A60DB"/>
    <w:rsid w:val="002A62FD"/>
    <w:rsid w:val="002A6576"/>
    <w:rsid w:val="002A6CBD"/>
    <w:rsid w:val="002A6D63"/>
    <w:rsid w:val="002A71C2"/>
    <w:rsid w:val="002A748B"/>
    <w:rsid w:val="002A7BB8"/>
    <w:rsid w:val="002A7C8C"/>
    <w:rsid w:val="002A7CAD"/>
    <w:rsid w:val="002B0215"/>
    <w:rsid w:val="002B08B3"/>
    <w:rsid w:val="002B0C55"/>
    <w:rsid w:val="002B12EE"/>
    <w:rsid w:val="002B1405"/>
    <w:rsid w:val="002B15E7"/>
    <w:rsid w:val="002B18D9"/>
    <w:rsid w:val="002B1946"/>
    <w:rsid w:val="002B1B74"/>
    <w:rsid w:val="002B1BBC"/>
    <w:rsid w:val="002B1FBD"/>
    <w:rsid w:val="002B203E"/>
    <w:rsid w:val="002B252C"/>
    <w:rsid w:val="002B2581"/>
    <w:rsid w:val="002B31C7"/>
    <w:rsid w:val="002B326E"/>
    <w:rsid w:val="002B32AC"/>
    <w:rsid w:val="002B3321"/>
    <w:rsid w:val="002B3576"/>
    <w:rsid w:val="002B3A8A"/>
    <w:rsid w:val="002B3DAF"/>
    <w:rsid w:val="002B3DEB"/>
    <w:rsid w:val="002B3DF6"/>
    <w:rsid w:val="002B4723"/>
    <w:rsid w:val="002B5196"/>
    <w:rsid w:val="002B56B0"/>
    <w:rsid w:val="002B57D7"/>
    <w:rsid w:val="002B583B"/>
    <w:rsid w:val="002B5C68"/>
    <w:rsid w:val="002B64B5"/>
    <w:rsid w:val="002B64F1"/>
    <w:rsid w:val="002B6B68"/>
    <w:rsid w:val="002B7167"/>
    <w:rsid w:val="002B770A"/>
    <w:rsid w:val="002B77BD"/>
    <w:rsid w:val="002B79B4"/>
    <w:rsid w:val="002B7C9C"/>
    <w:rsid w:val="002B7CAA"/>
    <w:rsid w:val="002C0AA5"/>
    <w:rsid w:val="002C1619"/>
    <w:rsid w:val="002C173F"/>
    <w:rsid w:val="002C17F4"/>
    <w:rsid w:val="002C1C14"/>
    <w:rsid w:val="002C1C22"/>
    <w:rsid w:val="002C1EE5"/>
    <w:rsid w:val="002C1FA3"/>
    <w:rsid w:val="002C2088"/>
    <w:rsid w:val="002C2089"/>
    <w:rsid w:val="002C233F"/>
    <w:rsid w:val="002C2410"/>
    <w:rsid w:val="002C2520"/>
    <w:rsid w:val="002C259E"/>
    <w:rsid w:val="002C2E2B"/>
    <w:rsid w:val="002C351F"/>
    <w:rsid w:val="002C36A7"/>
    <w:rsid w:val="002C3C61"/>
    <w:rsid w:val="002C3E57"/>
    <w:rsid w:val="002C40C8"/>
    <w:rsid w:val="002C4102"/>
    <w:rsid w:val="002C4157"/>
    <w:rsid w:val="002C431F"/>
    <w:rsid w:val="002C4940"/>
    <w:rsid w:val="002C4982"/>
    <w:rsid w:val="002C49A8"/>
    <w:rsid w:val="002C49A9"/>
    <w:rsid w:val="002C49D3"/>
    <w:rsid w:val="002C5D0A"/>
    <w:rsid w:val="002C5EAE"/>
    <w:rsid w:val="002C64E4"/>
    <w:rsid w:val="002C65A5"/>
    <w:rsid w:val="002C6802"/>
    <w:rsid w:val="002C6805"/>
    <w:rsid w:val="002C6806"/>
    <w:rsid w:val="002C6D06"/>
    <w:rsid w:val="002C72C4"/>
    <w:rsid w:val="002C7C0B"/>
    <w:rsid w:val="002C7E5E"/>
    <w:rsid w:val="002D039C"/>
    <w:rsid w:val="002D0746"/>
    <w:rsid w:val="002D10DD"/>
    <w:rsid w:val="002D11EE"/>
    <w:rsid w:val="002D158B"/>
    <w:rsid w:val="002D16E2"/>
    <w:rsid w:val="002D1B52"/>
    <w:rsid w:val="002D1CF6"/>
    <w:rsid w:val="002D214F"/>
    <w:rsid w:val="002D2873"/>
    <w:rsid w:val="002D2A5D"/>
    <w:rsid w:val="002D33F7"/>
    <w:rsid w:val="002D3566"/>
    <w:rsid w:val="002D39BD"/>
    <w:rsid w:val="002D3C72"/>
    <w:rsid w:val="002D3EDF"/>
    <w:rsid w:val="002D402C"/>
    <w:rsid w:val="002D41B3"/>
    <w:rsid w:val="002D41DB"/>
    <w:rsid w:val="002D55FA"/>
    <w:rsid w:val="002D57C6"/>
    <w:rsid w:val="002D682E"/>
    <w:rsid w:val="002D693E"/>
    <w:rsid w:val="002D6A11"/>
    <w:rsid w:val="002D6A24"/>
    <w:rsid w:val="002D6BB0"/>
    <w:rsid w:val="002D6C68"/>
    <w:rsid w:val="002D6DBC"/>
    <w:rsid w:val="002D71D1"/>
    <w:rsid w:val="002D76DE"/>
    <w:rsid w:val="002D7771"/>
    <w:rsid w:val="002E0336"/>
    <w:rsid w:val="002E05FD"/>
    <w:rsid w:val="002E0663"/>
    <w:rsid w:val="002E06C0"/>
    <w:rsid w:val="002E0794"/>
    <w:rsid w:val="002E08F8"/>
    <w:rsid w:val="002E0926"/>
    <w:rsid w:val="002E0A04"/>
    <w:rsid w:val="002E0C16"/>
    <w:rsid w:val="002E0D9E"/>
    <w:rsid w:val="002E0EF9"/>
    <w:rsid w:val="002E1900"/>
    <w:rsid w:val="002E198A"/>
    <w:rsid w:val="002E1D0A"/>
    <w:rsid w:val="002E22B2"/>
    <w:rsid w:val="002E2A1F"/>
    <w:rsid w:val="002E2A5C"/>
    <w:rsid w:val="002E2B98"/>
    <w:rsid w:val="002E2C84"/>
    <w:rsid w:val="002E2CC6"/>
    <w:rsid w:val="002E2F69"/>
    <w:rsid w:val="002E3121"/>
    <w:rsid w:val="002E3AB6"/>
    <w:rsid w:val="002E3B37"/>
    <w:rsid w:val="002E3B9E"/>
    <w:rsid w:val="002E408D"/>
    <w:rsid w:val="002E44BE"/>
    <w:rsid w:val="002E5327"/>
    <w:rsid w:val="002E5666"/>
    <w:rsid w:val="002E5C1A"/>
    <w:rsid w:val="002E5CB3"/>
    <w:rsid w:val="002E5E98"/>
    <w:rsid w:val="002E60F8"/>
    <w:rsid w:val="002E61EC"/>
    <w:rsid w:val="002E63AF"/>
    <w:rsid w:val="002E663E"/>
    <w:rsid w:val="002E6663"/>
    <w:rsid w:val="002E66C7"/>
    <w:rsid w:val="002E671E"/>
    <w:rsid w:val="002E6B02"/>
    <w:rsid w:val="002E6CF9"/>
    <w:rsid w:val="002E709B"/>
    <w:rsid w:val="002E7113"/>
    <w:rsid w:val="002E7249"/>
    <w:rsid w:val="002E7441"/>
    <w:rsid w:val="002E7474"/>
    <w:rsid w:val="002E76D6"/>
    <w:rsid w:val="002E78AD"/>
    <w:rsid w:val="002E7DDC"/>
    <w:rsid w:val="002E7FB5"/>
    <w:rsid w:val="002F043F"/>
    <w:rsid w:val="002F04E8"/>
    <w:rsid w:val="002F083B"/>
    <w:rsid w:val="002F0EF2"/>
    <w:rsid w:val="002F0F7A"/>
    <w:rsid w:val="002F0FA5"/>
    <w:rsid w:val="002F1784"/>
    <w:rsid w:val="002F1952"/>
    <w:rsid w:val="002F1B70"/>
    <w:rsid w:val="002F1C39"/>
    <w:rsid w:val="002F1CDE"/>
    <w:rsid w:val="002F1E13"/>
    <w:rsid w:val="002F1EE4"/>
    <w:rsid w:val="002F27BE"/>
    <w:rsid w:val="002F29B7"/>
    <w:rsid w:val="002F2EF5"/>
    <w:rsid w:val="002F3528"/>
    <w:rsid w:val="002F3865"/>
    <w:rsid w:val="002F3D2C"/>
    <w:rsid w:val="002F3E66"/>
    <w:rsid w:val="002F3F6A"/>
    <w:rsid w:val="002F440A"/>
    <w:rsid w:val="002F44CE"/>
    <w:rsid w:val="002F471A"/>
    <w:rsid w:val="002F4F0B"/>
    <w:rsid w:val="002F5119"/>
    <w:rsid w:val="002F5150"/>
    <w:rsid w:val="002F51C3"/>
    <w:rsid w:val="002F54F2"/>
    <w:rsid w:val="002F55C2"/>
    <w:rsid w:val="002F56D0"/>
    <w:rsid w:val="002F5EC7"/>
    <w:rsid w:val="002F6297"/>
    <w:rsid w:val="002F62B9"/>
    <w:rsid w:val="002F66CF"/>
    <w:rsid w:val="002F6A90"/>
    <w:rsid w:val="002F713D"/>
    <w:rsid w:val="002F75C4"/>
    <w:rsid w:val="002F7732"/>
    <w:rsid w:val="002F7C6B"/>
    <w:rsid w:val="002F7FB5"/>
    <w:rsid w:val="003001AF"/>
    <w:rsid w:val="0030076B"/>
    <w:rsid w:val="0030081E"/>
    <w:rsid w:val="00300E74"/>
    <w:rsid w:val="00301370"/>
    <w:rsid w:val="00301503"/>
    <w:rsid w:val="00301B3D"/>
    <w:rsid w:val="00301D02"/>
    <w:rsid w:val="00301DA3"/>
    <w:rsid w:val="00302E92"/>
    <w:rsid w:val="00302FDD"/>
    <w:rsid w:val="00303116"/>
    <w:rsid w:val="003039C2"/>
    <w:rsid w:val="00303A44"/>
    <w:rsid w:val="00303E0B"/>
    <w:rsid w:val="00304132"/>
    <w:rsid w:val="00304310"/>
    <w:rsid w:val="0030448E"/>
    <w:rsid w:val="0030468B"/>
    <w:rsid w:val="00304F52"/>
    <w:rsid w:val="00305058"/>
    <w:rsid w:val="00306505"/>
    <w:rsid w:val="003069D6"/>
    <w:rsid w:val="00306A20"/>
    <w:rsid w:val="00306D5E"/>
    <w:rsid w:val="00306FCB"/>
    <w:rsid w:val="00307249"/>
    <w:rsid w:val="003072B3"/>
    <w:rsid w:val="003077E6"/>
    <w:rsid w:val="003078EA"/>
    <w:rsid w:val="00307B8C"/>
    <w:rsid w:val="0031072B"/>
    <w:rsid w:val="003115FF"/>
    <w:rsid w:val="0031160D"/>
    <w:rsid w:val="003116A1"/>
    <w:rsid w:val="003116B0"/>
    <w:rsid w:val="003116C3"/>
    <w:rsid w:val="0031177F"/>
    <w:rsid w:val="0031196E"/>
    <w:rsid w:val="00311BF5"/>
    <w:rsid w:val="00311E40"/>
    <w:rsid w:val="003124D4"/>
    <w:rsid w:val="003129BC"/>
    <w:rsid w:val="00312A73"/>
    <w:rsid w:val="00312AFD"/>
    <w:rsid w:val="00312EE6"/>
    <w:rsid w:val="0031416E"/>
    <w:rsid w:val="003143B3"/>
    <w:rsid w:val="00314411"/>
    <w:rsid w:val="0031475C"/>
    <w:rsid w:val="00314A8C"/>
    <w:rsid w:val="00314D22"/>
    <w:rsid w:val="00314E0B"/>
    <w:rsid w:val="00314F7F"/>
    <w:rsid w:val="00315185"/>
    <w:rsid w:val="00315713"/>
    <w:rsid w:val="00315723"/>
    <w:rsid w:val="003157FF"/>
    <w:rsid w:val="0031620E"/>
    <w:rsid w:val="0031622A"/>
    <w:rsid w:val="00316377"/>
    <w:rsid w:val="003163A5"/>
    <w:rsid w:val="003167CF"/>
    <w:rsid w:val="0031699E"/>
    <w:rsid w:val="00316A62"/>
    <w:rsid w:val="00316B06"/>
    <w:rsid w:val="00316BB8"/>
    <w:rsid w:val="00317B6B"/>
    <w:rsid w:val="00317CEA"/>
    <w:rsid w:val="00317D07"/>
    <w:rsid w:val="00317F2B"/>
    <w:rsid w:val="003200AF"/>
    <w:rsid w:val="003209E1"/>
    <w:rsid w:val="00320B4E"/>
    <w:rsid w:val="00320E91"/>
    <w:rsid w:val="003213EE"/>
    <w:rsid w:val="0032147D"/>
    <w:rsid w:val="003217A9"/>
    <w:rsid w:val="003219F2"/>
    <w:rsid w:val="00321A05"/>
    <w:rsid w:val="00321D09"/>
    <w:rsid w:val="00321E04"/>
    <w:rsid w:val="00321F25"/>
    <w:rsid w:val="00322259"/>
    <w:rsid w:val="003223B1"/>
    <w:rsid w:val="00322400"/>
    <w:rsid w:val="0032251A"/>
    <w:rsid w:val="0032267C"/>
    <w:rsid w:val="0032294F"/>
    <w:rsid w:val="00322F7D"/>
    <w:rsid w:val="00323070"/>
    <w:rsid w:val="003231BD"/>
    <w:rsid w:val="00323C01"/>
    <w:rsid w:val="00323CA4"/>
    <w:rsid w:val="003243BF"/>
    <w:rsid w:val="00324429"/>
    <w:rsid w:val="00324604"/>
    <w:rsid w:val="00324699"/>
    <w:rsid w:val="003251B3"/>
    <w:rsid w:val="003253CE"/>
    <w:rsid w:val="00325B52"/>
    <w:rsid w:val="00325F52"/>
    <w:rsid w:val="00326370"/>
    <w:rsid w:val="00326760"/>
    <w:rsid w:val="003273FA"/>
    <w:rsid w:val="0032769C"/>
    <w:rsid w:val="00327A96"/>
    <w:rsid w:val="00327CE8"/>
    <w:rsid w:val="003300A2"/>
    <w:rsid w:val="00330642"/>
    <w:rsid w:val="003307BA"/>
    <w:rsid w:val="00330882"/>
    <w:rsid w:val="00331474"/>
    <w:rsid w:val="00331783"/>
    <w:rsid w:val="00331995"/>
    <w:rsid w:val="00331AEB"/>
    <w:rsid w:val="00331BF1"/>
    <w:rsid w:val="00331CE8"/>
    <w:rsid w:val="00331F4E"/>
    <w:rsid w:val="00331FFC"/>
    <w:rsid w:val="003323C0"/>
    <w:rsid w:val="0033245B"/>
    <w:rsid w:val="00333573"/>
    <w:rsid w:val="0033357D"/>
    <w:rsid w:val="0033383A"/>
    <w:rsid w:val="00333BDC"/>
    <w:rsid w:val="00333C37"/>
    <w:rsid w:val="00333D4B"/>
    <w:rsid w:val="00333FE8"/>
    <w:rsid w:val="00334306"/>
    <w:rsid w:val="003345EC"/>
    <w:rsid w:val="003346F8"/>
    <w:rsid w:val="00334719"/>
    <w:rsid w:val="00334943"/>
    <w:rsid w:val="00334B59"/>
    <w:rsid w:val="00335613"/>
    <w:rsid w:val="00335717"/>
    <w:rsid w:val="00335826"/>
    <w:rsid w:val="00335AF2"/>
    <w:rsid w:val="00335D03"/>
    <w:rsid w:val="00335F96"/>
    <w:rsid w:val="0033604D"/>
    <w:rsid w:val="003360A7"/>
    <w:rsid w:val="0033664C"/>
    <w:rsid w:val="0033666F"/>
    <w:rsid w:val="00336747"/>
    <w:rsid w:val="00336B57"/>
    <w:rsid w:val="00336C10"/>
    <w:rsid w:val="00336C79"/>
    <w:rsid w:val="00336DD5"/>
    <w:rsid w:val="00337394"/>
    <w:rsid w:val="00337823"/>
    <w:rsid w:val="0033792C"/>
    <w:rsid w:val="0033796C"/>
    <w:rsid w:val="00337E65"/>
    <w:rsid w:val="00337F72"/>
    <w:rsid w:val="003401BF"/>
    <w:rsid w:val="003402E3"/>
    <w:rsid w:val="00341097"/>
    <w:rsid w:val="00341345"/>
    <w:rsid w:val="00341416"/>
    <w:rsid w:val="00341675"/>
    <w:rsid w:val="0034175C"/>
    <w:rsid w:val="00341999"/>
    <w:rsid w:val="00341CFB"/>
    <w:rsid w:val="00341D07"/>
    <w:rsid w:val="00341DC8"/>
    <w:rsid w:val="00341F5D"/>
    <w:rsid w:val="00342393"/>
    <w:rsid w:val="003424E3"/>
    <w:rsid w:val="0034258D"/>
    <w:rsid w:val="003428C2"/>
    <w:rsid w:val="00342935"/>
    <w:rsid w:val="00342DFD"/>
    <w:rsid w:val="00343130"/>
    <w:rsid w:val="003436D9"/>
    <w:rsid w:val="00343B94"/>
    <w:rsid w:val="00343E59"/>
    <w:rsid w:val="00344136"/>
    <w:rsid w:val="00344D57"/>
    <w:rsid w:val="00344E78"/>
    <w:rsid w:val="00344E95"/>
    <w:rsid w:val="00345101"/>
    <w:rsid w:val="00345436"/>
    <w:rsid w:val="00345442"/>
    <w:rsid w:val="00345561"/>
    <w:rsid w:val="003457C8"/>
    <w:rsid w:val="0034583C"/>
    <w:rsid w:val="0034588B"/>
    <w:rsid w:val="00345DF8"/>
    <w:rsid w:val="00345F70"/>
    <w:rsid w:val="00346107"/>
    <w:rsid w:val="00346A1A"/>
    <w:rsid w:val="00346BF3"/>
    <w:rsid w:val="00347095"/>
    <w:rsid w:val="00347280"/>
    <w:rsid w:val="0034752C"/>
    <w:rsid w:val="00347AA7"/>
    <w:rsid w:val="0035012A"/>
    <w:rsid w:val="00350443"/>
    <w:rsid w:val="003505E6"/>
    <w:rsid w:val="00350800"/>
    <w:rsid w:val="003509ED"/>
    <w:rsid w:val="00350BEE"/>
    <w:rsid w:val="0035163E"/>
    <w:rsid w:val="00351721"/>
    <w:rsid w:val="0035172A"/>
    <w:rsid w:val="00351F3A"/>
    <w:rsid w:val="003520E9"/>
    <w:rsid w:val="003525B3"/>
    <w:rsid w:val="003525C3"/>
    <w:rsid w:val="003529ED"/>
    <w:rsid w:val="00352A5E"/>
    <w:rsid w:val="003536C4"/>
    <w:rsid w:val="00353A5C"/>
    <w:rsid w:val="00353E4E"/>
    <w:rsid w:val="00353F6E"/>
    <w:rsid w:val="00353F9B"/>
    <w:rsid w:val="00354367"/>
    <w:rsid w:val="003546D2"/>
    <w:rsid w:val="00354CF5"/>
    <w:rsid w:val="00354F28"/>
    <w:rsid w:val="00355060"/>
    <w:rsid w:val="00355695"/>
    <w:rsid w:val="00356DE0"/>
    <w:rsid w:val="003578B4"/>
    <w:rsid w:val="00357982"/>
    <w:rsid w:val="00357AD2"/>
    <w:rsid w:val="00357F36"/>
    <w:rsid w:val="003600FC"/>
    <w:rsid w:val="00360343"/>
    <w:rsid w:val="003604A7"/>
    <w:rsid w:val="003609A9"/>
    <w:rsid w:val="00360CB4"/>
    <w:rsid w:val="00360E83"/>
    <w:rsid w:val="00360F74"/>
    <w:rsid w:val="00361010"/>
    <w:rsid w:val="003611B6"/>
    <w:rsid w:val="003615F7"/>
    <w:rsid w:val="00361A49"/>
    <w:rsid w:val="00361C25"/>
    <w:rsid w:val="00361CB9"/>
    <w:rsid w:val="00361E79"/>
    <w:rsid w:val="00362120"/>
    <w:rsid w:val="003621F4"/>
    <w:rsid w:val="003622E7"/>
    <w:rsid w:val="0036244D"/>
    <w:rsid w:val="00362579"/>
    <w:rsid w:val="0036281F"/>
    <w:rsid w:val="0036298F"/>
    <w:rsid w:val="00362C4C"/>
    <w:rsid w:val="00362CDF"/>
    <w:rsid w:val="003639E6"/>
    <w:rsid w:val="00363B2A"/>
    <w:rsid w:val="00363B2B"/>
    <w:rsid w:val="00363D70"/>
    <w:rsid w:val="00363E2A"/>
    <w:rsid w:val="00363F04"/>
    <w:rsid w:val="00363FBB"/>
    <w:rsid w:val="00364262"/>
    <w:rsid w:val="00364925"/>
    <w:rsid w:val="00364A78"/>
    <w:rsid w:val="00364D60"/>
    <w:rsid w:val="00364DEB"/>
    <w:rsid w:val="0036518B"/>
    <w:rsid w:val="003659D6"/>
    <w:rsid w:val="00365CBF"/>
    <w:rsid w:val="003660F8"/>
    <w:rsid w:val="00366139"/>
    <w:rsid w:val="00366351"/>
    <w:rsid w:val="00367238"/>
    <w:rsid w:val="003674BB"/>
    <w:rsid w:val="003675E9"/>
    <w:rsid w:val="0036771D"/>
    <w:rsid w:val="00367F61"/>
    <w:rsid w:val="003700AE"/>
    <w:rsid w:val="00370270"/>
    <w:rsid w:val="003702E6"/>
    <w:rsid w:val="003706DF"/>
    <w:rsid w:val="00370DA5"/>
    <w:rsid w:val="00370DC7"/>
    <w:rsid w:val="00371318"/>
    <w:rsid w:val="003714C5"/>
    <w:rsid w:val="00371516"/>
    <w:rsid w:val="0037185E"/>
    <w:rsid w:val="0037189F"/>
    <w:rsid w:val="0037203B"/>
    <w:rsid w:val="0037222A"/>
    <w:rsid w:val="00372B2E"/>
    <w:rsid w:val="00372B98"/>
    <w:rsid w:val="00372C3E"/>
    <w:rsid w:val="00372EA4"/>
    <w:rsid w:val="00372EB6"/>
    <w:rsid w:val="0037311D"/>
    <w:rsid w:val="00373306"/>
    <w:rsid w:val="0037353C"/>
    <w:rsid w:val="00373687"/>
    <w:rsid w:val="00373A6E"/>
    <w:rsid w:val="00373BC1"/>
    <w:rsid w:val="00373D03"/>
    <w:rsid w:val="00373E1B"/>
    <w:rsid w:val="00373E30"/>
    <w:rsid w:val="00373F1F"/>
    <w:rsid w:val="00374058"/>
    <w:rsid w:val="00374087"/>
    <w:rsid w:val="003740AB"/>
    <w:rsid w:val="0037410E"/>
    <w:rsid w:val="00374237"/>
    <w:rsid w:val="0037423B"/>
    <w:rsid w:val="0037431C"/>
    <w:rsid w:val="00374361"/>
    <w:rsid w:val="00374502"/>
    <w:rsid w:val="00374A04"/>
    <w:rsid w:val="00374DA8"/>
    <w:rsid w:val="0037513E"/>
    <w:rsid w:val="003752C6"/>
    <w:rsid w:val="00375390"/>
    <w:rsid w:val="003753D0"/>
    <w:rsid w:val="00375806"/>
    <w:rsid w:val="00375B0E"/>
    <w:rsid w:val="00375CB0"/>
    <w:rsid w:val="00375E10"/>
    <w:rsid w:val="00376440"/>
    <w:rsid w:val="0037645C"/>
    <w:rsid w:val="003767F8"/>
    <w:rsid w:val="00377815"/>
    <w:rsid w:val="003779C8"/>
    <w:rsid w:val="003802E1"/>
    <w:rsid w:val="00380662"/>
    <w:rsid w:val="00380EC3"/>
    <w:rsid w:val="00381156"/>
    <w:rsid w:val="0038125C"/>
    <w:rsid w:val="00381854"/>
    <w:rsid w:val="003818D1"/>
    <w:rsid w:val="00381D8D"/>
    <w:rsid w:val="003820BF"/>
    <w:rsid w:val="0038210C"/>
    <w:rsid w:val="003828CF"/>
    <w:rsid w:val="0038293D"/>
    <w:rsid w:val="00382A65"/>
    <w:rsid w:val="00382C66"/>
    <w:rsid w:val="00383500"/>
    <w:rsid w:val="00383AB1"/>
    <w:rsid w:val="00383CD6"/>
    <w:rsid w:val="00383DD1"/>
    <w:rsid w:val="00384165"/>
    <w:rsid w:val="00384451"/>
    <w:rsid w:val="0038465E"/>
    <w:rsid w:val="00384B18"/>
    <w:rsid w:val="00384B30"/>
    <w:rsid w:val="00385704"/>
    <w:rsid w:val="003857FC"/>
    <w:rsid w:val="00385D46"/>
    <w:rsid w:val="00385D58"/>
    <w:rsid w:val="0038601E"/>
    <w:rsid w:val="00386239"/>
    <w:rsid w:val="00386415"/>
    <w:rsid w:val="00386589"/>
    <w:rsid w:val="00386E35"/>
    <w:rsid w:val="00386E57"/>
    <w:rsid w:val="00387484"/>
    <w:rsid w:val="00387680"/>
    <w:rsid w:val="003900ED"/>
    <w:rsid w:val="00390118"/>
    <w:rsid w:val="00390173"/>
    <w:rsid w:val="003902DF"/>
    <w:rsid w:val="00390326"/>
    <w:rsid w:val="003907A0"/>
    <w:rsid w:val="003909B8"/>
    <w:rsid w:val="00390A9D"/>
    <w:rsid w:val="003913EE"/>
    <w:rsid w:val="00391647"/>
    <w:rsid w:val="00391942"/>
    <w:rsid w:val="00391BA3"/>
    <w:rsid w:val="00391C51"/>
    <w:rsid w:val="00391F47"/>
    <w:rsid w:val="00391F52"/>
    <w:rsid w:val="0039239D"/>
    <w:rsid w:val="00392587"/>
    <w:rsid w:val="00392635"/>
    <w:rsid w:val="00392957"/>
    <w:rsid w:val="00393264"/>
    <w:rsid w:val="00393425"/>
    <w:rsid w:val="0039371D"/>
    <w:rsid w:val="00393A30"/>
    <w:rsid w:val="00393B61"/>
    <w:rsid w:val="00393D19"/>
    <w:rsid w:val="0039405F"/>
    <w:rsid w:val="00394107"/>
    <w:rsid w:val="00394170"/>
    <w:rsid w:val="00394662"/>
    <w:rsid w:val="003946F9"/>
    <w:rsid w:val="00394760"/>
    <w:rsid w:val="003947C8"/>
    <w:rsid w:val="003947D4"/>
    <w:rsid w:val="00394C1C"/>
    <w:rsid w:val="00394E72"/>
    <w:rsid w:val="00394ECE"/>
    <w:rsid w:val="0039517C"/>
    <w:rsid w:val="00395A83"/>
    <w:rsid w:val="00395F60"/>
    <w:rsid w:val="00396079"/>
    <w:rsid w:val="003961A0"/>
    <w:rsid w:val="003962AE"/>
    <w:rsid w:val="003962F8"/>
    <w:rsid w:val="0039671A"/>
    <w:rsid w:val="00396884"/>
    <w:rsid w:val="0039690C"/>
    <w:rsid w:val="00396D17"/>
    <w:rsid w:val="00396D48"/>
    <w:rsid w:val="00396D5C"/>
    <w:rsid w:val="00396DED"/>
    <w:rsid w:val="003970D5"/>
    <w:rsid w:val="00397372"/>
    <w:rsid w:val="00397561"/>
    <w:rsid w:val="00397593"/>
    <w:rsid w:val="003A0044"/>
    <w:rsid w:val="003A062D"/>
    <w:rsid w:val="003A06BC"/>
    <w:rsid w:val="003A08CF"/>
    <w:rsid w:val="003A0988"/>
    <w:rsid w:val="003A1311"/>
    <w:rsid w:val="003A1597"/>
    <w:rsid w:val="003A188B"/>
    <w:rsid w:val="003A1F43"/>
    <w:rsid w:val="003A2257"/>
    <w:rsid w:val="003A225D"/>
    <w:rsid w:val="003A233C"/>
    <w:rsid w:val="003A25DF"/>
    <w:rsid w:val="003A278F"/>
    <w:rsid w:val="003A2F43"/>
    <w:rsid w:val="003A2F53"/>
    <w:rsid w:val="003A31D9"/>
    <w:rsid w:val="003A346B"/>
    <w:rsid w:val="003A35EA"/>
    <w:rsid w:val="003A362E"/>
    <w:rsid w:val="003A3859"/>
    <w:rsid w:val="003A3F07"/>
    <w:rsid w:val="003A3F25"/>
    <w:rsid w:val="003A3FCA"/>
    <w:rsid w:val="003A3FF5"/>
    <w:rsid w:val="003A42BE"/>
    <w:rsid w:val="003A42E3"/>
    <w:rsid w:val="003A4659"/>
    <w:rsid w:val="003A4D51"/>
    <w:rsid w:val="003A4EC0"/>
    <w:rsid w:val="003A547B"/>
    <w:rsid w:val="003A5691"/>
    <w:rsid w:val="003A6060"/>
    <w:rsid w:val="003A61FA"/>
    <w:rsid w:val="003A6244"/>
    <w:rsid w:val="003A6BC0"/>
    <w:rsid w:val="003A6C24"/>
    <w:rsid w:val="003A6E86"/>
    <w:rsid w:val="003A708A"/>
    <w:rsid w:val="003A7469"/>
    <w:rsid w:val="003A74DE"/>
    <w:rsid w:val="003A7890"/>
    <w:rsid w:val="003A7F1C"/>
    <w:rsid w:val="003B007B"/>
    <w:rsid w:val="003B018C"/>
    <w:rsid w:val="003B054E"/>
    <w:rsid w:val="003B07A0"/>
    <w:rsid w:val="003B083A"/>
    <w:rsid w:val="003B0A4A"/>
    <w:rsid w:val="003B0A9E"/>
    <w:rsid w:val="003B0BAD"/>
    <w:rsid w:val="003B0BDB"/>
    <w:rsid w:val="003B1173"/>
    <w:rsid w:val="003B119F"/>
    <w:rsid w:val="003B13EE"/>
    <w:rsid w:val="003B1FAD"/>
    <w:rsid w:val="003B2054"/>
    <w:rsid w:val="003B2400"/>
    <w:rsid w:val="003B2863"/>
    <w:rsid w:val="003B2DF5"/>
    <w:rsid w:val="003B3374"/>
    <w:rsid w:val="003B33F3"/>
    <w:rsid w:val="003B3D03"/>
    <w:rsid w:val="003B3FA0"/>
    <w:rsid w:val="003B4149"/>
    <w:rsid w:val="003B414F"/>
    <w:rsid w:val="003B4693"/>
    <w:rsid w:val="003B49F4"/>
    <w:rsid w:val="003B4E70"/>
    <w:rsid w:val="003B5018"/>
    <w:rsid w:val="003B504A"/>
    <w:rsid w:val="003B5111"/>
    <w:rsid w:val="003B518D"/>
    <w:rsid w:val="003B533B"/>
    <w:rsid w:val="003B54AF"/>
    <w:rsid w:val="003B5831"/>
    <w:rsid w:val="003B58B6"/>
    <w:rsid w:val="003B5D7E"/>
    <w:rsid w:val="003B5E5C"/>
    <w:rsid w:val="003B6052"/>
    <w:rsid w:val="003B61AA"/>
    <w:rsid w:val="003B6CE7"/>
    <w:rsid w:val="003B6D98"/>
    <w:rsid w:val="003B6EBC"/>
    <w:rsid w:val="003B73DE"/>
    <w:rsid w:val="003B7634"/>
    <w:rsid w:val="003B76C0"/>
    <w:rsid w:val="003B7B37"/>
    <w:rsid w:val="003B7C16"/>
    <w:rsid w:val="003B7EC2"/>
    <w:rsid w:val="003B7F7F"/>
    <w:rsid w:val="003C0858"/>
    <w:rsid w:val="003C1179"/>
    <w:rsid w:val="003C11C9"/>
    <w:rsid w:val="003C197A"/>
    <w:rsid w:val="003C1E40"/>
    <w:rsid w:val="003C1E7B"/>
    <w:rsid w:val="003C216B"/>
    <w:rsid w:val="003C2F7C"/>
    <w:rsid w:val="003C3068"/>
    <w:rsid w:val="003C336A"/>
    <w:rsid w:val="003C46ED"/>
    <w:rsid w:val="003C4B62"/>
    <w:rsid w:val="003C5144"/>
    <w:rsid w:val="003C5619"/>
    <w:rsid w:val="003C5BCD"/>
    <w:rsid w:val="003C5C50"/>
    <w:rsid w:val="003C646E"/>
    <w:rsid w:val="003C64B6"/>
    <w:rsid w:val="003C6560"/>
    <w:rsid w:val="003C6F14"/>
    <w:rsid w:val="003C745A"/>
    <w:rsid w:val="003C7B10"/>
    <w:rsid w:val="003C7E6E"/>
    <w:rsid w:val="003D015C"/>
    <w:rsid w:val="003D0240"/>
    <w:rsid w:val="003D0492"/>
    <w:rsid w:val="003D054A"/>
    <w:rsid w:val="003D0A63"/>
    <w:rsid w:val="003D0D26"/>
    <w:rsid w:val="003D1905"/>
    <w:rsid w:val="003D1B36"/>
    <w:rsid w:val="003D2324"/>
    <w:rsid w:val="003D26C0"/>
    <w:rsid w:val="003D2A8C"/>
    <w:rsid w:val="003D2CB5"/>
    <w:rsid w:val="003D2D0B"/>
    <w:rsid w:val="003D3250"/>
    <w:rsid w:val="003D367C"/>
    <w:rsid w:val="003D389F"/>
    <w:rsid w:val="003D3D4D"/>
    <w:rsid w:val="003D521D"/>
    <w:rsid w:val="003D563B"/>
    <w:rsid w:val="003D56D2"/>
    <w:rsid w:val="003D5742"/>
    <w:rsid w:val="003D5C03"/>
    <w:rsid w:val="003D692A"/>
    <w:rsid w:val="003D6F8D"/>
    <w:rsid w:val="003D71D9"/>
    <w:rsid w:val="003D72F0"/>
    <w:rsid w:val="003D750E"/>
    <w:rsid w:val="003D7BE9"/>
    <w:rsid w:val="003D7D72"/>
    <w:rsid w:val="003E0029"/>
    <w:rsid w:val="003E038E"/>
    <w:rsid w:val="003E0DC2"/>
    <w:rsid w:val="003E0EBF"/>
    <w:rsid w:val="003E0F30"/>
    <w:rsid w:val="003E0F5C"/>
    <w:rsid w:val="003E10B6"/>
    <w:rsid w:val="003E1257"/>
    <w:rsid w:val="003E14FC"/>
    <w:rsid w:val="003E1777"/>
    <w:rsid w:val="003E1F2F"/>
    <w:rsid w:val="003E2156"/>
    <w:rsid w:val="003E21F5"/>
    <w:rsid w:val="003E2685"/>
    <w:rsid w:val="003E27C5"/>
    <w:rsid w:val="003E2B7F"/>
    <w:rsid w:val="003E30A5"/>
    <w:rsid w:val="003E30B6"/>
    <w:rsid w:val="003E333D"/>
    <w:rsid w:val="003E43C5"/>
    <w:rsid w:val="003E4615"/>
    <w:rsid w:val="003E481E"/>
    <w:rsid w:val="003E4913"/>
    <w:rsid w:val="003E49AD"/>
    <w:rsid w:val="003E4D97"/>
    <w:rsid w:val="003E516E"/>
    <w:rsid w:val="003E5228"/>
    <w:rsid w:val="003E5AD8"/>
    <w:rsid w:val="003E60B0"/>
    <w:rsid w:val="003E62F0"/>
    <w:rsid w:val="003E6428"/>
    <w:rsid w:val="003E6A2B"/>
    <w:rsid w:val="003E6C73"/>
    <w:rsid w:val="003E7008"/>
    <w:rsid w:val="003E71BD"/>
    <w:rsid w:val="003E7823"/>
    <w:rsid w:val="003E79D0"/>
    <w:rsid w:val="003E7D33"/>
    <w:rsid w:val="003E7E15"/>
    <w:rsid w:val="003E7F0D"/>
    <w:rsid w:val="003F0095"/>
    <w:rsid w:val="003F030A"/>
    <w:rsid w:val="003F0324"/>
    <w:rsid w:val="003F03A0"/>
    <w:rsid w:val="003F0582"/>
    <w:rsid w:val="003F09C7"/>
    <w:rsid w:val="003F0AD9"/>
    <w:rsid w:val="003F136E"/>
    <w:rsid w:val="003F17B6"/>
    <w:rsid w:val="003F185E"/>
    <w:rsid w:val="003F1EB1"/>
    <w:rsid w:val="003F2140"/>
    <w:rsid w:val="003F2144"/>
    <w:rsid w:val="003F21ED"/>
    <w:rsid w:val="003F229C"/>
    <w:rsid w:val="003F23C4"/>
    <w:rsid w:val="003F249F"/>
    <w:rsid w:val="003F2630"/>
    <w:rsid w:val="003F2647"/>
    <w:rsid w:val="003F298B"/>
    <w:rsid w:val="003F2EC9"/>
    <w:rsid w:val="003F2F3C"/>
    <w:rsid w:val="003F30B4"/>
    <w:rsid w:val="003F30ED"/>
    <w:rsid w:val="003F341C"/>
    <w:rsid w:val="003F35B2"/>
    <w:rsid w:val="003F3C8B"/>
    <w:rsid w:val="003F408D"/>
    <w:rsid w:val="003F40AF"/>
    <w:rsid w:val="003F42D7"/>
    <w:rsid w:val="003F4922"/>
    <w:rsid w:val="003F4A24"/>
    <w:rsid w:val="003F4F18"/>
    <w:rsid w:val="003F5826"/>
    <w:rsid w:val="003F5AC6"/>
    <w:rsid w:val="003F5D83"/>
    <w:rsid w:val="003F6040"/>
    <w:rsid w:val="003F614C"/>
    <w:rsid w:val="003F64BB"/>
    <w:rsid w:val="003F6621"/>
    <w:rsid w:val="003F691B"/>
    <w:rsid w:val="003F6BAF"/>
    <w:rsid w:val="003F6F9B"/>
    <w:rsid w:val="003F71A6"/>
    <w:rsid w:val="003F7C51"/>
    <w:rsid w:val="003F7E68"/>
    <w:rsid w:val="003F7E91"/>
    <w:rsid w:val="0040082B"/>
    <w:rsid w:val="004008AC"/>
    <w:rsid w:val="004009E6"/>
    <w:rsid w:val="00400C4D"/>
    <w:rsid w:val="004010C1"/>
    <w:rsid w:val="00401437"/>
    <w:rsid w:val="0040147C"/>
    <w:rsid w:val="00401579"/>
    <w:rsid w:val="0040159E"/>
    <w:rsid w:val="00401760"/>
    <w:rsid w:val="00401887"/>
    <w:rsid w:val="00401AA7"/>
    <w:rsid w:val="00401DC7"/>
    <w:rsid w:val="00401E4F"/>
    <w:rsid w:val="00402187"/>
    <w:rsid w:val="004022DB"/>
    <w:rsid w:val="0040271E"/>
    <w:rsid w:val="00402B28"/>
    <w:rsid w:val="00402E31"/>
    <w:rsid w:val="00402F6E"/>
    <w:rsid w:val="0040377C"/>
    <w:rsid w:val="00403823"/>
    <w:rsid w:val="004039C8"/>
    <w:rsid w:val="00404063"/>
    <w:rsid w:val="0040410A"/>
    <w:rsid w:val="00404479"/>
    <w:rsid w:val="0040475F"/>
    <w:rsid w:val="00404AC2"/>
    <w:rsid w:val="00404F9A"/>
    <w:rsid w:val="0040508E"/>
    <w:rsid w:val="00405207"/>
    <w:rsid w:val="0040562D"/>
    <w:rsid w:val="00405B1B"/>
    <w:rsid w:val="00405D6E"/>
    <w:rsid w:val="00405DA6"/>
    <w:rsid w:val="0040634D"/>
    <w:rsid w:val="004067B5"/>
    <w:rsid w:val="00406825"/>
    <w:rsid w:val="00406A72"/>
    <w:rsid w:val="00406F8C"/>
    <w:rsid w:val="00407151"/>
    <w:rsid w:val="00407208"/>
    <w:rsid w:val="004072EB"/>
    <w:rsid w:val="00407450"/>
    <w:rsid w:val="0040769A"/>
    <w:rsid w:val="00410024"/>
    <w:rsid w:val="004100CD"/>
    <w:rsid w:val="0041063B"/>
    <w:rsid w:val="004110A0"/>
    <w:rsid w:val="004110DC"/>
    <w:rsid w:val="00411493"/>
    <w:rsid w:val="00411AC5"/>
    <w:rsid w:val="00411D6C"/>
    <w:rsid w:val="00411DCF"/>
    <w:rsid w:val="00411E96"/>
    <w:rsid w:val="004120B6"/>
    <w:rsid w:val="004120C4"/>
    <w:rsid w:val="004121B6"/>
    <w:rsid w:val="0041220F"/>
    <w:rsid w:val="00412A6A"/>
    <w:rsid w:val="00412ACA"/>
    <w:rsid w:val="00412CD0"/>
    <w:rsid w:val="00412D4B"/>
    <w:rsid w:val="0041302D"/>
    <w:rsid w:val="004132C8"/>
    <w:rsid w:val="004134B0"/>
    <w:rsid w:val="004139BE"/>
    <w:rsid w:val="00413B14"/>
    <w:rsid w:val="00413D2D"/>
    <w:rsid w:val="004148A7"/>
    <w:rsid w:val="00414B15"/>
    <w:rsid w:val="00414F5B"/>
    <w:rsid w:val="00414F72"/>
    <w:rsid w:val="00415115"/>
    <w:rsid w:val="004153DD"/>
    <w:rsid w:val="004155B5"/>
    <w:rsid w:val="004155C3"/>
    <w:rsid w:val="00415B96"/>
    <w:rsid w:val="00415BC2"/>
    <w:rsid w:val="00415FCC"/>
    <w:rsid w:val="00416158"/>
    <w:rsid w:val="00416479"/>
    <w:rsid w:val="0041647B"/>
    <w:rsid w:val="004164A2"/>
    <w:rsid w:val="00416650"/>
    <w:rsid w:val="004166C7"/>
    <w:rsid w:val="00416B35"/>
    <w:rsid w:val="00416BE7"/>
    <w:rsid w:val="00416D6A"/>
    <w:rsid w:val="00416FB1"/>
    <w:rsid w:val="0041700F"/>
    <w:rsid w:val="00417100"/>
    <w:rsid w:val="004173CA"/>
    <w:rsid w:val="00417552"/>
    <w:rsid w:val="004175E6"/>
    <w:rsid w:val="00417721"/>
    <w:rsid w:val="004177A6"/>
    <w:rsid w:val="004178C4"/>
    <w:rsid w:val="004202E1"/>
    <w:rsid w:val="004205A8"/>
    <w:rsid w:val="004215FC"/>
    <w:rsid w:val="004218AE"/>
    <w:rsid w:val="0042197C"/>
    <w:rsid w:val="00421B5E"/>
    <w:rsid w:val="00421E65"/>
    <w:rsid w:val="00421F53"/>
    <w:rsid w:val="00422710"/>
    <w:rsid w:val="0042294F"/>
    <w:rsid w:val="00422F66"/>
    <w:rsid w:val="004238D7"/>
    <w:rsid w:val="00423DA2"/>
    <w:rsid w:val="00424013"/>
    <w:rsid w:val="00424129"/>
    <w:rsid w:val="004241B4"/>
    <w:rsid w:val="00424227"/>
    <w:rsid w:val="0042442E"/>
    <w:rsid w:val="004246A5"/>
    <w:rsid w:val="004249C3"/>
    <w:rsid w:val="00425453"/>
    <w:rsid w:val="0042562C"/>
    <w:rsid w:val="004259C1"/>
    <w:rsid w:val="00425CCD"/>
    <w:rsid w:val="00425F1D"/>
    <w:rsid w:val="0042604C"/>
    <w:rsid w:val="00426209"/>
    <w:rsid w:val="004262FC"/>
    <w:rsid w:val="0042682A"/>
    <w:rsid w:val="00426EEF"/>
    <w:rsid w:val="00427045"/>
    <w:rsid w:val="0042766F"/>
    <w:rsid w:val="004279A9"/>
    <w:rsid w:val="00427ADD"/>
    <w:rsid w:val="0043064A"/>
    <w:rsid w:val="00430773"/>
    <w:rsid w:val="004307AC"/>
    <w:rsid w:val="00430A93"/>
    <w:rsid w:val="00431066"/>
    <w:rsid w:val="00431107"/>
    <w:rsid w:val="0043125C"/>
    <w:rsid w:val="00431ADE"/>
    <w:rsid w:val="00431F3D"/>
    <w:rsid w:val="0043261E"/>
    <w:rsid w:val="004326C4"/>
    <w:rsid w:val="004327B3"/>
    <w:rsid w:val="00432C3C"/>
    <w:rsid w:val="00432F4D"/>
    <w:rsid w:val="004333A4"/>
    <w:rsid w:val="00433880"/>
    <w:rsid w:val="0043389F"/>
    <w:rsid w:val="004339F9"/>
    <w:rsid w:val="00433A1E"/>
    <w:rsid w:val="00433C49"/>
    <w:rsid w:val="00433DEA"/>
    <w:rsid w:val="00434572"/>
    <w:rsid w:val="00434835"/>
    <w:rsid w:val="00434B85"/>
    <w:rsid w:val="00434B95"/>
    <w:rsid w:val="00435224"/>
    <w:rsid w:val="004354AD"/>
    <w:rsid w:val="0043582E"/>
    <w:rsid w:val="004359C3"/>
    <w:rsid w:val="00435B14"/>
    <w:rsid w:val="00435DB0"/>
    <w:rsid w:val="004377F4"/>
    <w:rsid w:val="00437824"/>
    <w:rsid w:val="00437D39"/>
    <w:rsid w:val="00437D73"/>
    <w:rsid w:val="00437DF3"/>
    <w:rsid w:val="00440050"/>
    <w:rsid w:val="00440310"/>
    <w:rsid w:val="004418BC"/>
    <w:rsid w:val="0044196D"/>
    <w:rsid w:val="00441995"/>
    <w:rsid w:val="00441A21"/>
    <w:rsid w:val="00441CB6"/>
    <w:rsid w:val="00441FD9"/>
    <w:rsid w:val="004420FA"/>
    <w:rsid w:val="0044245B"/>
    <w:rsid w:val="004425C1"/>
    <w:rsid w:val="0044265C"/>
    <w:rsid w:val="00442A56"/>
    <w:rsid w:val="004431C9"/>
    <w:rsid w:val="004433C6"/>
    <w:rsid w:val="004437A7"/>
    <w:rsid w:val="00443BDE"/>
    <w:rsid w:val="00444106"/>
    <w:rsid w:val="004441CC"/>
    <w:rsid w:val="004445A2"/>
    <w:rsid w:val="004445B6"/>
    <w:rsid w:val="00444A76"/>
    <w:rsid w:val="00444D38"/>
    <w:rsid w:val="00445476"/>
    <w:rsid w:val="00445B7B"/>
    <w:rsid w:val="00445C0F"/>
    <w:rsid w:val="00445C19"/>
    <w:rsid w:val="00446AEB"/>
    <w:rsid w:val="00446BBA"/>
    <w:rsid w:val="00446E0B"/>
    <w:rsid w:val="00446FA0"/>
    <w:rsid w:val="00447448"/>
    <w:rsid w:val="0044775C"/>
    <w:rsid w:val="004502EB"/>
    <w:rsid w:val="00450656"/>
    <w:rsid w:val="004509D2"/>
    <w:rsid w:val="00451688"/>
    <w:rsid w:val="00451721"/>
    <w:rsid w:val="004519F8"/>
    <w:rsid w:val="00451E79"/>
    <w:rsid w:val="00452663"/>
    <w:rsid w:val="00452C00"/>
    <w:rsid w:val="00452F9A"/>
    <w:rsid w:val="00452FBA"/>
    <w:rsid w:val="00453009"/>
    <w:rsid w:val="00453172"/>
    <w:rsid w:val="00453304"/>
    <w:rsid w:val="00453F4B"/>
    <w:rsid w:val="00454204"/>
    <w:rsid w:val="0045424D"/>
    <w:rsid w:val="004548E0"/>
    <w:rsid w:val="00454D56"/>
    <w:rsid w:val="0045562C"/>
    <w:rsid w:val="00455F27"/>
    <w:rsid w:val="00455FDC"/>
    <w:rsid w:val="00456317"/>
    <w:rsid w:val="00456B45"/>
    <w:rsid w:val="00456BE7"/>
    <w:rsid w:val="00456C98"/>
    <w:rsid w:val="00457132"/>
    <w:rsid w:val="00457409"/>
    <w:rsid w:val="00457669"/>
    <w:rsid w:val="004576D9"/>
    <w:rsid w:val="004577F6"/>
    <w:rsid w:val="0045799E"/>
    <w:rsid w:val="00457D70"/>
    <w:rsid w:val="0046044F"/>
    <w:rsid w:val="00460549"/>
    <w:rsid w:val="00460726"/>
    <w:rsid w:val="004608C4"/>
    <w:rsid w:val="00460CF6"/>
    <w:rsid w:val="0046211F"/>
    <w:rsid w:val="00462327"/>
    <w:rsid w:val="00463094"/>
    <w:rsid w:val="00463150"/>
    <w:rsid w:val="004635E0"/>
    <w:rsid w:val="00463612"/>
    <w:rsid w:val="00463781"/>
    <w:rsid w:val="004637FD"/>
    <w:rsid w:val="004644E1"/>
    <w:rsid w:val="00464747"/>
    <w:rsid w:val="00464E44"/>
    <w:rsid w:val="00464F75"/>
    <w:rsid w:val="00464FC1"/>
    <w:rsid w:val="0046522B"/>
    <w:rsid w:val="004655AB"/>
    <w:rsid w:val="004662BA"/>
    <w:rsid w:val="004666E7"/>
    <w:rsid w:val="00466A65"/>
    <w:rsid w:val="00466E43"/>
    <w:rsid w:val="00466E5F"/>
    <w:rsid w:val="0046742F"/>
    <w:rsid w:val="004679E8"/>
    <w:rsid w:val="00467F14"/>
    <w:rsid w:val="004702CB"/>
    <w:rsid w:val="00470874"/>
    <w:rsid w:val="004708EA"/>
    <w:rsid w:val="00470BEA"/>
    <w:rsid w:val="00470F16"/>
    <w:rsid w:val="00471380"/>
    <w:rsid w:val="004716D4"/>
    <w:rsid w:val="004718B6"/>
    <w:rsid w:val="0047191D"/>
    <w:rsid w:val="004719DE"/>
    <w:rsid w:val="004719F4"/>
    <w:rsid w:val="00471C11"/>
    <w:rsid w:val="00471DC7"/>
    <w:rsid w:val="00471FF7"/>
    <w:rsid w:val="00472218"/>
    <w:rsid w:val="00472296"/>
    <w:rsid w:val="004722E9"/>
    <w:rsid w:val="0047276B"/>
    <w:rsid w:val="0047354B"/>
    <w:rsid w:val="004737B8"/>
    <w:rsid w:val="0047399F"/>
    <w:rsid w:val="004739DC"/>
    <w:rsid w:val="00473CCB"/>
    <w:rsid w:val="00473EF7"/>
    <w:rsid w:val="0047422C"/>
    <w:rsid w:val="00474989"/>
    <w:rsid w:val="00474D38"/>
    <w:rsid w:val="00474ED1"/>
    <w:rsid w:val="00475092"/>
    <w:rsid w:val="00475566"/>
    <w:rsid w:val="00475D76"/>
    <w:rsid w:val="0047696F"/>
    <w:rsid w:val="004770C7"/>
    <w:rsid w:val="0047720C"/>
    <w:rsid w:val="00477215"/>
    <w:rsid w:val="004772B0"/>
    <w:rsid w:val="00477536"/>
    <w:rsid w:val="00480953"/>
    <w:rsid w:val="00480ADE"/>
    <w:rsid w:val="00480BE1"/>
    <w:rsid w:val="00480D79"/>
    <w:rsid w:val="00480F28"/>
    <w:rsid w:val="00481240"/>
    <w:rsid w:val="00481268"/>
    <w:rsid w:val="0048136F"/>
    <w:rsid w:val="004813A6"/>
    <w:rsid w:val="004816A7"/>
    <w:rsid w:val="004818E0"/>
    <w:rsid w:val="004819DC"/>
    <w:rsid w:val="00481BD3"/>
    <w:rsid w:val="00481C4F"/>
    <w:rsid w:val="00481CA1"/>
    <w:rsid w:val="00482256"/>
    <w:rsid w:val="004826ED"/>
    <w:rsid w:val="0048292A"/>
    <w:rsid w:val="00482B8A"/>
    <w:rsid w:val="00482C15"/>
    <w:rsid w:val="00483844"/>
    <w:rsid w:val="0048388A"/>
    <w:rsid w:val="00483A3D"/>
    <w:rsid w:val="00483DCE"/>
    <w:rsid w:val="00483EE5"/>
    <w:rsid w:val="004843A4"/>
    <w:rsid w:val="0048487D"/>
    <w:rsid w:val="00484C0B"/>
    <w:rsid w:val="0048515A"/>
    <w:rsid w:val="00485226"/>
    <w:rsid w:val="0048529A"/>
    <w:rsid w:val="004852DD"/>
    <w:rsid w:val="00485675"/>
    <w:rsid w:val="004858F3"/>
    <w:rsid w:val="00485981"/>
    <w:rsid w:val="00485C2E"/>
    <w:rsid w:val="0048633B"/>
    <w:rsid w:val="00486436"/>
    <w:rsid w:val="00486779"/>
    <w:rsid w:val="0048688D"/>
    <w:rsid w:val="00486A76"/>
    <w:rsid w:val="00486BBA"/>
    <w:rsid w:val="0048709C"/>
    <w:rsid w:val="004874FC"/>
    <w:rsid w:val="00487586"/>
    <w:rsid w:val="00487734"/>
    <w:rsid w:val="00487880"/>
    <w:rsid w:val="00487902"/>
    <w:rsid w:val="00487C7D"/>
    <w:rsid w:val="00487FCA"/>
    <w:rsid w:val="0049097D"/>
    <w:rsid w:val="00491076"/>
    <w:rsid w:val="004912C8"/>
    <w:rsid w:val="00491768"/>
    <w:rsid w:val="00491A40"/>
    <w:rsid w:val="00491CC2"/>
    <w:rsid w:val="00492646"/>
    <w:rsid w:val="004927DA"/>
    <w:rsid w:val="00492818"/>
    <w:rsid w:val="004928A6"/>
    <w:rsid w:val="00492B26"/>
    <w:rsid w:val="00492F8E"/>
    <w:rsid w:val="00493551"/>
    <w:rsid w:val="004936B1"/>
    <w:rsid w:val="0049393E"/>
    <w:rsid w:val="00493B8A"/>
    <w:rsid w:val="00493DA9"/>
    <w:rsid w:val="00493DF4"/>
    <w:rsid w:val="00493E1C"/>
    <w:rsid w:val="0049417F"/>
    <w:rsid w:val="00494445"/>
    <w:rsid w:val="00494A62"/>
    <w:rsid w:val="00494C3F"/>
    <w:rsid w:val="00494EEF"/>
    <w:rsid w:val="00495001"/>
    <w:rsid w:val="00495399"/>
    <w:rsid w:val="004958EE"/>
    <w:rsid w:val="00495DB1"/>
    <w:rsid w:val="00495E68"/>
    <w:rsid w:val="00496025"/>
    <w:rsid w:val="00496414"/>
    <w:rsid w:val="00496658"/>
    <w:rsid w:val="0049684D"/>
    <w:rsid w:val="00496B0B"/>
    <w:rsid w:val="00496DF3"/>
    <w:rsid w:val="00496F55"/>
    <w:rsid w:val="004970A4"/>
    <w:rsid w:val="00497232"/>
    <w:rsid w:val="0049754A"/>
    <w:rsid w:val="00497558"/>
    <w:rsid w:val="004978DD"/>
    <w:rsid w:val="004979E0"/>
    <w:rsid w:val="00497B23"/>
    <w:rsid w:val="00497B65"/>
    <w:rsid w:val="00497D4D"/>
    <w:rsid w:val="004A0591"/>
    <w:rsid w:val="004A05C1"/>
    <w:rsid w:val="004A060D"/>
    <w:rsid w:val="004A06B9"/>
    <w:rsid w:val="004A136F"/>
    <w:rsid w:val="004A1ECB"/>
    <w:rsid w:val="004A259E"/>
    <w:rsid w:val="004A25FD"/>
    <w:rsid w:val="004A2714"/>
    <w:rsid w:val="004A2B3F"/>
    <w:rsid w:val="004A2D34"/>
    <w:rsid w:val="004A30EA"/>
    <w:rsid w:val="004A35E9"/>
    <w:rsid w:val="004A3766"/>
    <w:rsid w:val="004A3E79"/>
    <w:rsid w:val="004A3F80"/>
    <w:rsid w:val="004A3FDC"/>
    <w:rsid w:val="004A4113"/>
    <w:rsid w:val="004A4206"/>
    <w:rsid w:val="004A4471"/>
    <w:rsid w:val="004A447E"/>
    <w:rsid w:val="004A4A0C"/>
    <w:rsid w:val="004A4DA6"/>
    <w:rsid w:val="004A4EAB"/>
    <w:rsid w:val="004A4F89"/>
    <w:rsid w:val="004A53CA"/>
    <w:rsid w:val="004A5638"/>
    <w:rsid w:val="004A5707"/>
    <w:rsid w:val="004A5816"/>
    <w:rsid w:val="004A59CC"/>
    <w:rsid w:val="004A5A00"/>
    <w:rsid w:val="004A61ED"/>
    <w:rsid w:val="004A65B0"/>
    <w:rsid w:val="004A65FC"/>
    <w:rsid w:val="004A6ABC"/>
    <w:rsid w:val="004A6B41"/>
    <w:rsid w:val="004A6C9F"/>
    <w:rsid w:val="004A6FCC"/>
    <w:rsid w:val="004A71DB"/>
    <w:rsid w:val="004A76F5"/>
    <w:rsid w:val="004A77C6"/>
    <w:rsid w:val="004A791E"/>
    <w:rsid w:val="004A7996"/>
    <w:rsid w:val="004B04C8"/>
    <w:rsid w:val="004B0743"/>
    <w:rsid w:val="004B0CF5"/>
    <w:rsid w:val="004B1074"/>
    <w:rsid w:val="004B21CA"/>
    <w:rsid w:val="004B2347"/>
    <w:rsid w:val="004B238B"/>
    <w:rsid w:val="004B27A5"/>
    <w:rsid w:val="004B2B5C"/>
    <w:rsid w:val="004B2F24"/>
    <w:rsid w:val="004B3341"/>
    <w:rsid w:val="004B33B6"/>
    <w:rsid w:val="004B35E9"/>
    <w:rsid w:val="004B382F"/>
    <w:rsid w:val="004B3A76"/>
    <w:rsid w:val="004B3FA9"/>
    <w:rsid w:val="004B4059"/>
    <w:rsid w:val="004B429C"/>
    <w:rsid w:val="004B4907"/>
    <w:rsid w:val="004B509C"/>
    <w:rsid w:val="004B5245"/>
    <w:rsid w:val="004B57FF"/>
    <w:rsid w:val="004B58DE"/>
    <w:rsid w:val="004B58ED"/>
    <w:rsid w:val="004B5F20"/>
    <w:rsid w:val="004B60C6"/>
    <w:rsid w:val="004B644A"/>
    <w:rsid w:val="004B6C80"/>
    <w:rsid w:val="004B6EC9"/>
    <w:rsid w:val="004B6F75"/>
    <w:rsid w:val="004B71CE"/>
    <w:rsid w:val="004B734F"/>
    <w:rsid w:val="004B7B08"/>
    <w:rsid w:val="004B7B1D"/>
    <w:rsid w:val="004C0C34"/>
    <w:rsid w:val="004C0D76"/>
    <w:rsid w:val="004C10F6"/>
    <w:rsid w:val="004C185A"/>
    <w:rsid w:val="004C1B34"/>
    <w:rsid w:val="004C1B86"/>
    <w:rsid w:val="004C2307"/>
    <w:rsid w:val="004C2ABB"/>
    <w:rsid w:val="004C2D48"/>
    <w:rsid w:val="004C2D6F"/>
    <w:rsid w:val="004C2E4F"/>
    <w:rsid w:val="004C3055"/>
    <w:rsid w:val="004C3B7E"/>
    <w:rsid w:val="004C3BAB"/>
    <w:rsid w:val="004C3DFD"/>
    <w:rsid w:val="004C3E59"/>
    <w:rsid w:val="004C3E9E"/>
    <w:rsid w:val="004C421F"/>
    <w:rsid w:val="004C439A"/>
    <w:rsid w:val="004C444A"/>
    <w:rsid w:val="004C4709"/>
    <w:rsid w:val="004C4CEC"/>
    <w:rsid w:val="004C4DD2"/>
    <w:rsid w:val="004C57D2"/>
    <w:rsid w:val="004C5A73"/>
    <w:rsid w:val="004C6040"/>
    <w:rsid w:val="004C62C6"/>
    <w:rsid w:val="004C6377"/>
    <w:rsid w:val="004C6BB2"/>
    <w:rsid w:val="004C6FEA"/>
    <w:rsid w:val="004C718B"/>
    <w:rsid w:val="004C730E"/>
    <w:rsid w:val="004C7EDB"/>
    <w:rsid w:val="004D03C3"/>
    <w:rsid w:val="004D0C47"/>
    <w:rsid w:val="004D11B6"/>
    <w:rsid w:val="004D149A"/>
    <w:rsid w:val="004D167B"/>
    <w:rsid w:val="004D1717"/>
    <w:rsid w:val="004D1D66"/>
    <w:rsid w:val="004D1D80"/>
    <w:rsid w:val="004D231B"/>
    <w:rsid w:val="004D2974"/>
    <w:rsid w:val="004D2C0D"/>
    <w:rsid w:val="004D2FE0"/>
    <w:rsid w:val="004D3217"/>
    <w:rsid w:val="004D33B4"/>
    <w:rsid w:val="004D379B"/>
    <w:rsid w:val="004D3811"/>
    <w:rsid w:val="004D394E"/>
    <w:rsid w:val="004D3A7E"/>
    <w:rsid w:val="004D41AE"/>
    <w:rsid w:val="004D45EF"/>
    <w:rsid w:val="004D4FF2"/>
    <w:rsid w:val="004D52F0"/>
    <w:rsid w:val="004D53B4"/>
    <w:rsid w:val="004D5809"/>
    <w:rsid w:val="004D5E84"/>
    <w:rsid w:val="004D6DB8"/>
    <w:rsid w:val="004D712E"/>
    <w:rsid w:val="004D72D2"/>
    <w:rsid w:val="004D7562"/>
    <w:rsid w:val="004D77A7"/>
    <w:rsid w:val="004D7ADD"/>
    <w:rsid w:val="004D7E07"/>
    <w:rsid w:val="004D7F91"/>
    <w:rsid w:val="004E0156"/>
    <w:rsid w:val="004E0499"/>
    <w:rsid w:val="004E0677"/>
    <w:rsid w:val="004E0A42"/>
    <w:rsid w:val="004E12CD"/>
    <w:rsid w:val="004E195D"/>
    <w:rsid w:val="004E20DE"/>
    <w:rsid w:val="004E27B7"/>
    <w:rsid w:val="004E28C4"/>
    <w:rsid w:val="004E2EF2"/>
    <w:rsid w:val="004E2F66"/>
    <w:rsid w:val="004E3189"/>
    <w:rsid w:val="004E31AD"/>
    <w:rsid w:val="004E35D3"/>
    <w:rsid w:val="004E3D8F"/>
    <w:rsid w:val="004E3F6B"/>
    <w:rsid w:val="004E4173"/>
    <w:rsid w:val="004E43A6"/>
    <w:rsid w:val="004E457F"/>
    <w:rsid w:val="004E45A8"/>
    <w:rsid w:val="004E49EC"/>
    <w:rsid w:val="004E4B46"/>
    <w:rsid w:val="004E4FD1"/>
    <w:rsid w:val="004E5508"/>
    <w:rsid w:val="004E55BB"/>
    <w:rsid w:val="004E5806"/>
    <w:rsid w:val="004E58AD"/>
    <w:rsid w:val="004E5962"/>
    <w:rsid w:val="004E5D83"/>
    <w:rsid w:val="004E5E8E"/>
    <w:rsid w:val="004E5FE8"/>
    <w:rsid w:val="004E66B9"/>
    <w:rsid w:val="004E6E5F"/>
    <w:rsid w:val="004E6FFD"/>
    <w:rsid w:val="004E72F3"/>
    <w:rsid w:val="004E75EB"/>
    <w:rsid w:val="004E78CB"/>
    <w:rsid w:val="004E7901"/>
    <w:rsid w:val="004E7A00"/>
    <w:rsid w:val="004E7B1F"/>
    <w:rsid w:val="004E7BA1"/>
    <w:rsid w:val="004E7C33"/>
    <w:rsid w:val="004E7CB5"/>
    <w:rsid w:val="004F006D"/>
    <w:rsid w:val="004F022B"/>
    <w:rsid w:val="004F042F"/>
    <w:rsid w:val="004F075D"/>
    <w:rsid w:val="004F0B78"/>
    <w:rsid w:val="004F1181"/>
    <w:rsid w:val="004F1D91"/>
    <w:rsid w:val="004F1EBE"/>
    <w:rsid w:val="004F2193"/>
    <w:rsid w:val="004F23DC"/>
    <w:rsid w:val="004F28DA"/>
    <w:rsid w:val="004F2EE1"/>
    <w:rsid w:val="004F2F9A"/>
    <w:rsid w:val="004F2FA9"/>
    <w:rsid w:val="004F338D"/>
    <w:rsid w:val="004F3866"/>
    <w:rsid w:val="004F3EAF"/>
    <w:rsid w:val="004F3FB6"/>
    <w:rsid w:val="004F4037"/>
    <w:rsid w:val="004F4A5D"/>
    <w:rsid w:val="004F4ABD"/>
    <w:rsid w:val="004F50EB"/>
    <w:rsid w:val="004F5310"/>
    <w:rsid w:val="004F57D5"/>
    <w:rsid w:val="004F584D"/>
    <w:rsid w:val="004F5882"/>
    <w:rsid w:val="004F5BBF"/>
    <w:rsid w:val="004F61D7"/>
    <w:rsid w:val="004F6A66"/>
    <w:rsid w:val="004F7397"/>
    <w:rsid w:val="004F7449"/>
    <w:rsid w:val="004F744A"/>
    <w:rsid w:val="004F7729"/>
    <w:rsid w:val="004F7D29"/>
    <w:rsid w:val="0050010B"/>
    <w:rsid w:val="0050051B"/>
    <w:rsid w:val="0050128C"/>
    <w:rsid w:val="005012B3"/>
    <w:rsid w:val="005017B1"/>
    <w:rsid w:val="00501CF7"/>
    <w:rsid w:val="00502087"/>
    <w:rsid w:val="005024AC"/>
    <w:rsid w:val="00502732"/>
    <w:rsid w:val="00502FD7"/>
    <w:rsid w:val="005033A6"/>
    <w:rsid w:val="005034E9"/>
    <w:rsid w:val="005036C9"/>
    <w:rsid w:val="00503F52"/>
    <w:rsid w:val="00504345"/>
    <w:rsid w:val="0050483D"/>
    <w:rsid w:val="00504A94"/>
    <w:rsid w:val="00504B61"/>
    <w:rsid w:val="00505C64"/>
    <w:rsid w:val="00505E62"/>
    <w:rsid w:val="00506055"/>
    <w:rsid w:val="005061A5"/>
    <w:rsid w:val="005063EA"/>
    <w:rsid w:val="005074B7"/>
    <w:rsid w:val="00507751"/>
    <w:rsid w:val="0051000A"/>
    <w:rsid w:val="0051021E"/>
    <w:rsid w:val="005103EF"/>
    <w:rsid w:val="00510555"/>
    <w:rsid w:val="00510BC2"/>
    <w:rsid w:val="00511C9A"/>
    <w:rsid w:val="00511F96"/>
    <w:rsid w:val="00512424"/>
    <w:rsid w:val="005127EE"/>
    <w:rsid w:val="00512BE8"/>
    <w:rsid w:val="00512E62"/>
    <w:rsid w:val="005132DA"/>
    <w:rsid w:val="005132FC"/>
    <w:rsid w:val="005138B0"/>
    <w:rsid w:val="00513BD1"/>
    <w:rsid w:val="00513C0D"/>
    <w:rsid w:val="00513E31"/>
    <w:rsid w:val="0051413D"/>
    <w:rsid w:val="005141A2"/>
    <w:rsid w:val="00514590"/>
    <w:rsid w:val="00514B5D"/>
    <w:rsid w:val="005151B0"/>
    <w:rsid w:val="005153CF"/>
    <w:rsid w:val="00515E02"/>
    <w:rsid w:val="005161C7"/>
    <w:rsid w:val="005168B3"/>
    <w:rsid w:val="005168DC"/>
    <w:rsid w:val="0051691C"/>
    <w:rsid w:val="00516DE8"/>
    <w:rsid w:val="00516FF9"/>
    <w:rsid w:val="005170AB"/>
    <w:rsid w:val="005170C1"/>
    <w:rsid w:val="0051719F"/>
    <w:rsid w:val="00517245"/>
    <w:rsid w:val="0051731B"/>
    <w:rsid w:val="00517466"/>
    <w:rsid w:val="00517681"/>
    <w:rsid w:val="00517902"/>
    <w:rsid w:val="00517B0E"/>
    <w:rsid w:val="00517D09"/>
    <w:rsid w:val="00517DFD"/>
    <w:rsid w:val="00521053"/>
    <w:rsid w:val="005214D1"/>
    <w:rsid w:val="00522202"/>
    <w:rsid w:val="00522223"/>
    <w:rsid w:val="00522520"/>
    <w:rsid w:val="00522574"/>
    <w:rsid w:val="00522A2E"/>
    <w:rsid w:val="00522A34"/>
    <w:rsid w:val="00522A7C"/>
    <w:rsid w:val="00522AFF"/>
    <w:rsid w:val="00522BC8"/>
    <w:rsid w:val="00522C6A"/>
    <w:rsid w:val="0052304F"/>
    <w:rsid w:val="00523084"/>
    <w:rsid w:val="00523306"/>
    <w:rsid w:val="005233DB"/>
    <w:rsid w:val="00524073"/>
    <w:rsid w:val="00524756"/>
    <w:rsid w:val="00525582"/>
    <w:rsid w:val="00525C6D"/>
    <w:rsid w:val="00525CA5"/>
    <w:rsid w:val="00525CC7"/>
    <w:rsid w:val="005261F2"/>
    <w:rsid w:val="00526D95"/>
    <w:rsid w:val="00527017"/>
    <w:rsid w:val="005270B0"/>
    <w:rsid w:val="00527395"/>
    <w:rsid w:val="00527610"/>
    <w:rsid w:val="00527BDB"/>
    <w:rsid w:val="00527F5A"/>
    <w:rsid w:val="00530944"/>
    <w:rsid w:val="00530CCC"/>
    <w:rsid w:val="00531E40"/>
    <w:rsid w:val="00532020"/>
    <w:rsid w:val="005322B9"/>
    <w:rsid w:val="005322BE"/>
    <w:rsid w:val="005328E0"/>
    <w:rsid w:val="00532A0D"/>
    <w:rsid w:val="00532CA6"/>
    <w:rsid w:val="00532E9A"/>
    <w:rsid w:val="00533177"/>
    <w:rsid w:val="00533484"/>
    <w:rsid w:val="005336B9"/>
    <w:rsid w:val="005339AA"/>
    <w:rsid w:val="00534434"/>
    <w:rsid w:val="00534941"/>
    <w:rsid w:val="00534A8F"/>
    <w:rsid w:val="00534AA5"/>
    <w:rsid w:val="00534C2B"/>
    <w:rsid w:val="00534CEA"/>
    <w:rsid w:val="00534D01"/>
    <w:rsid w:val="00534D3F"/>
    <w:rsid w:val="005358AA"/>
    <w:rsid w:val="0053594F"/>
    <w:rsid w:val="00535F1E"/>
    <w:rsid w:val="00536193"/>
    <w:rsid w:val="0053625F"/>
    <w:rsid w:val="00536576"/>
    <w:rsid w:val="0053666D"/>
    <w:rsid w:val="00536A1A"/>
    <w:rsid w:val="00536AA7"/>
    <w:rsid w:val="00536C0F"/>
    <w:rsid w:val="00536D2E"/>
    <w:rsid w:val="00536FC9"/>
    <w:rsid w:val="005370D0"/>
    <w:rsid w:val="00537802"/>
    <w:rsid w:val="00537827"/>
    <w:rsid w:val="00537BE7"/>
    <w:rsid w:val="00537E90"/>
    <w:rsid w:val="00537FEF"/>
    <w:rsid w:val="005402BA"/>
    <w:rsid w:val="00540482"/>
    <w:rsid w:val="00540502"/>
    <w:rsid w:val="005410A5"/>
    <w:rsid w:val="00541236"/>
    <w:rsid w:val="0054155B"/>
    <w:rsid w:val="00541B00"/>
    <w:rsid w:val="00542188"/>
    <w:rsid w:val="005423FA"/>
    <w:rsid w:val="00542511"/>
    <w:rsid w:val="005429F3"/>
    <w:rsid w:val="00542C46"/>
    <w:rsid w:val="00542D40"/>
    <w:rsid w:val="00542E21"/>
    <w:rsid w:val="00542F7B"/>
    <w:rsid w:val="00543389"/>
    <w:rsid w:val="00543A0E"/>
    <w:rsid w:val="00544291"/>
    <w:rsid w:val="005444CD"/>
    <w:rsid w:val="005447C4"/>
    <w:rsid w:val="00544867"/>
    <w:rsid w:val="0054487A"/>
    <w:rsid w:val="00544DC5"/>
    <w:rsid w:val="0054512D"/>
    <w:rsid w:val="00546915"/>
    <w:rsid w:val="00547101"/>
    <w:rsid w:val="0054756A"/>
    <w:rsid w:val="00547AFF"/>
    <w:rsid w:val="005503E5"/>
    <w:rsid w:val="00550601"/>
    <w:rsid w:val="0055062B"/>
    <w:rsid w:val="00550735"/>
    <w:rsid w:val="005507A4"/>
    <w:rsid w:val="0055080E"/>
    <w:rsid w:val="00550EC3"/>
    <w:rsid w:val="00551251"/>
    <w:rsid w:val="00551269"/>
    <w:rsid w:val="00551561"/>
    <w:rsid w:val="00551580"/>
    <w:rsid w:val="005523DE"/>
    <w:rsid w:val="005529D6"/>
    <w:rsid w:val="00552D18"/>
    <w:rsid w:val="00553168"/>
    <w:rsid w:val="00553907"/>
    <w:rsid w:val="00553C15"/>
    <w:rsid w:val="00553D19"/>
    <w:rsid w:val="00553DA4"/>
    <w:rsid w:val="005542D6"/>
    <w:rsid w:val="0055435B"/>
    <w:rsid w:val="0055440B"/>
    <w:rsid w:val="00554C10"/>
    <w:rsid w:val="00554E25"/>
    <w:rsid w:val="00555AB0"/>
    <w:rsid w:val="00555D22"/>
    <w:rsid w:val="00556BAC"/>
    <w:rsid w:val="005577CC"/>
    <w:rsid w:val="00557A42"/>
    <w:rsid w:val="00557A45"/>
    <w:rsid w:val="00557EBE"/>
    <w:rsid w:val="005600CE"/>
    <w:rsid w:val="00560136"/>
    <w:rsid w:val="005604A3"/>
    <w:rsid w:val="0056070F"/>
    <w:rsid w:val="0056076B"/>
    <w:rsid w:val="00560C92"/>
    <w:rsid w:val="00560D9D"/>
    <w:rsid w:val="0056126F"/>
    <w:rsid w:val="00561861"/>
    <w:rsid w:val="00561B3E"/>
    <w:rsid w:val="00561EB6"/>
    <w:rsid w:val="0056285A"/>
    <w:rsid w:val="00562904"/>
    <w:rsid w:val="00562B5E"/>
    <w:rsid w:val="0056361C"/>
    <w:rsid w:val="005636F8"/>
    <w:rsid w:val="00563936"/>
    <w:rsid w:val="00563B30"/>
    <w:rsid w:val="00563DFA"/>
    <w:rsid w:val="00563F81"/>
    <w:rsid w:val="005640CC"/>
    <w:rsid w:val="005640EA"/>
    <w:rsid w:val="0056458A"/>
    <w:rsid w:val="0056465F"/>
    <w:rsid w:val="00564FB3"/>
    <w:rsid w:val="0056553B"/>
    <w:rsid w:val="00565B91"/>
    <w:rsid w:val="00565EFB"/>
    <w:rsid w:val="00566005"/>
    <w:rsid w:val="0056615C"/>
    <w:rsid w:val="0056626D"/>
    <w:rsid w:val="00566672"/>
    <w:rsid w:val="00566C56"/>
    <w:rsid w:val="00566D54"/>
    <w:rsid w:val="00567236"/>
    <w:rsid w:val="005673F5"/>
    <w:rsid w:val="00567A3A"/>
    <w:rsid w:val="00567A43"/>
    <w:rsid w:val="005701A9"/>
    <w:rsid w:val="005702B7"/>
    <w:rsid w:val="005703BE"/>
    <w:rsid w:val="005704DD"/>
    <w:rsid w:val="00570C7E"/>
    <w:rsid w:val="00570E50"/>
    <w:rsid w:val="00571010"/>
    <w:rsid w:val="0057122E"/>
    <w:rsid w:val="00571831"/>
    <w:rsid w:val="00571B4B"/>
    <w:rsid w:val="00571C12"/>
    <w:rsid w:val="00571E7F"/>
    <w:rsid w:val="00571F77"/>
    <w:rsid w:val="005722EF"/>
    <w:rsid w:val="00572586"/>
    <w:rsid w:val="005727DE"/>
    <w:rsid w:val="00572C28"/>
    <w:rsid w:val="00572FA5"/>
    <w:rsid w:val="00573108"/>
    <w:rsid w:val="00573119"/>
    <w:rsid w:val="0057353E"/>
    <w:rsid w:val="00573647"/>
    <w:rsid w:val="00573B0A"/>
    <w:rsid w:val="00573C5C"/>
    <w:rsid w:val="00573E9D"/>
    <w:rsid w:val="00574375"/>
    <w:rsid w:val="00574534"/>
    <w:rsid w:val="005745F4"/>
    <w:rsid w:val="00574733"/>
    <w:rsid w:val="00574957"/>
    <w:rsid w:val="00574E3A"/>
    <w:rsid w:val="0057515A"/>
    <w:rsid w:val="00575315"/>
    <w:rsid w:val="0057539C"/>
    <w:rsid w:val="005756B1"/>
    <w:rsid w:val="00575C1F"/>
    <w:rsid w:val="00575D67"/>
    <w:rsid w:val="00575E92"/>
    <w:rsid w:val="00576039"/>
    <w:rsid w:val="005762C6"/>
    <w:rsid w:val="0057674D"/>
    <w:rsid w:val="00576E17"/>
    <w:rsid w:val="005771AE"/>
    <w:rsid w:val="00577279"/>
    <w:rsid w:val="00577350"/>
    <w:rsid w:val="00577679"/>
    <w:rsid w:val="005778C0"/>
    <w:rsid w:val="00577DA6"/>
    <w:rsid w:val="00577E2E"/>
    <w:rsid w:val="00580224"/>
    <w:rsid w:val="005804D3"/>
    <w:rsid w:val="0058060D"/>
    <w:rsid w:val="00580911"/>
    <w:rsid w:val="00580AC3"/>
    <w:rsid w:val="00580CF6"/>
    <w:rsid w:val="00580EC8"/>
    <w:rsid w:val="005810CE"/>
    <w:rsid w:val="0058147D"/>
    <w:rsid w:val="00581BC2"/>
    <w:rsid w:val="00581F01"/>
    <w:rsid w:val="00582343"/>
    <w:rsid w:val="00582570"/>
    <w:rsid w:val="005826EC"/>
    <w:rsid w:val="00582AB5"/>
    <w:rsid w:val="00582B36"/>
    <w:rsid w:val="005830C4"/>
    <w:rsid w:val="00583213"/>
    <w:rsid w:val="00583890"/>
    <w:rsid w:val="00583B6C"/>
    <w:rsid w:val="00583C01"/>
    <w:rsid w:val="00583E87"/>
    <w:rsid w:val="00584713"/>
    <w:rsid w:val="005848D7"/>
    <w:rsid w:val="00584A10"/>
    <w:rsid w:val="00584AE5"/>
    <w:rsid w:val="00584BB8"/>
    <w:rsid w:val="005851AA"/>
    <w:rsid w:val="005854B7"/>
    <w:rsid w:val="0058554F"/>
    <w:rsid w:val="005857DD"/>
    <w:rsid w:val="00585932"/>
    <w:rsid w:val="00586130"/>
    <w:rsid w:val="00586239"/>
    <w:rsid w:val="0058665F"/>
    <w:rsid w:val="005867D4"/>
    <w:rsid w:val="005868ED"/>
    <w:rsid w:val="0058693D"/>
    <w:rsid w:val="005869E0"/>
    <w:rsid w:val="00586CA5"/>
    <w:rsid w:val="00586FD9"/>
    <w:rsid w:val="005870D6"/>
    <w:rsid w:val="005877B1"/>
    <w:rsid w:val="005877C2"/>
    <w:rsid w:val="00587B86"/>
    <w:rsid w:val="00587C6B"/>
    <w:rsid w:val="00587CB0"/>
    <w:rsid w:val="0059023F"/>
    <w:rsid w:val="0059024F"/>
    <w:rsid w:val="005905FE"/>
    <w:rsid w:val="005907B2"/>
    <w:rsid w:val="00590831"/>
    <w:rsid w:val="00591075"/>
    <w:rsid w:val="0059165A"/>
    <w:rsid w:val="005916FD"/>
    <w:rsid w:val="00591A48"/>
    <w:rsid w:val="00591EF6"/>
    <w:rsid w:val="00592320"/>
    <w:rsid w:val="0059245A"/>
    <w:rsid w:val="00592539"/>
    <w:rsid w:val="00592F5D"/>
    <w:rsid w:val="005930BB"/>
    <w:rsid w:val="005937F0"/>
    <w:rsid w:val="00593ACD"/>
    <w:rsid w:val="00593F2B"/>
    <w:rsid w:val="005941E5"/>
    <w:rsid w:val="005943BF"/>
    <w:rsid w:val="00594880"/>
    <w:rsid w:val="005949C9"/>
    <w:rsid w:val="00594E2B"/>
    <w:rsid w:val="00595073"/>
    <w:rsid w:val="005956E8"/>
    <w:rsid w:val="005957C6"/>
    <w:rsid w:val="005958E5"/>
    <w:rsid w:val="00595C29"/>
    <w:rsid w:val="005963DA"/>
    <w:rsid w:val="0059647B"/>
    <w:rsid w:val="0059707F"/>
    <w:rsid w:val="00597483"/>
    <w:rsid w:val="00597832"/>
    <w:rsid w:val="00597BD0"/>
    <w:rsid w:val="00597E5A"/>
    <w:rsid w:val="005A02AC"/>
    <w:rsid w:val="005A03AE"/>
    <w:rsid w:val="005A0534"/>
    <w:rsid w:val="005A08F2"/>
    <w:rsid w:val="005A1363"/>
    <w:rsid w:val="005A1610"/>
    <w:rsid w:val="005A18FE"/>
    <w:rsid w:val="005A19BB"/>
    <w:rsid w:val="005A1D1A"/>
    <w:rsid w:val="005A2481"/>
    <w:rsid w:val="005A2873"/>
    <w:rsid w:val="005A2A22"/>
    <w:rsid w:val="005A2CC6"/>
    <w:rsid w:val="005A2CE5"/>
    <w:rsid w:val="005A2CFE"/>
    <w:rsid w:val="005A3238"/>
    <w:rsid w:val="005A371C"/>
    <w:rsid w:val="005A3866"/>
    <w:rsid w:val="005A3A2C"/>
    <w:rsid w:val="005A3DCA"/>
    <w:rsid w:val="005A3E0F"/>
    <w:rsid w:val="005A41AE"/>
    <w:rsid w:val="005A4343"/>
    <w:rsid w:val="005A43FD"/>
    <w:rsid w:val="005A4F51"/>
    <w:rsid w:val="005A58A0"/>
    <w:rsid w:val="005A5A4C"/>
    <w:rsid w:val="005A5A6F"/>
    <w:rsid w:val="005A5AAD"/>
    <w:rsid w:val="005A5E54"/>
    <w:rsid w:val="005A666D"/>
    <w:rsid w:val="005A67BA"/>
    <w:rsid w:val="005A68D3"/>
    <w:rsid w:val="005A734C"/>
    <w:rsid w:val="005A7500"/>
    <w:rsid w:val="005A766D"/>
    <w:rsid w:val="005A77EA"/>
    <w:rsid w:val="005A7DC7"/>
    <w:rsid w:val="005A7E32"/>
    <w:rsid w:val="005B0046"/>
    <w:rsid w:val="005B005E"/>
    <w:rsid w:val="005B0328"/>
    <w:rsid w:val="005B052C"/>
    <w:rsid w:val="005B1030"/>
    <w:rsid w:val="005B1093"/>
    <w:rsid w:val="005B1997"/>
    <w:rsid w:val="005B1C13"/>
    <w:rsid w:val="005B1CE0"/>
    <w:rsid w:val="005B1DAB"/>
    <w:rsid w:val="005B2188"/>
    <w:rsid w:val="005B2219"/>
    <w:rsid w:val="005B23EF"/>
    <w:rsid w:val="005B2B87"/>
    <w:rsid w:val="005B2EC8"/>
    <w:rsid w:val="005B3244"/>
    <w:rsid w:val="005B375A"/>
    <w:rsid w:val="005B37DA"/>
    <w:rsid w:val="005B3996"/>
    <w:rsid w:val="005B3A51"/>
    <w:rsid w:val="005B3B1A"/>
    <w:rsid w:val="005B3BA4"/>
    <w:rsid w:val="005B3C1B"/>
    <w:rsid w:val="005B3D7C"/>
    <w:rsid w:val="005B4115"/>
    <w:rsid w:val="005B41CE"/>
    <w:rsid w:val="005B46EE"/>
    <w:rsid w:val="005B4975"/>
    <w:rsid w:val="005B49DD"/>
    <w:rsid w:val="005B4E53"/>
    <w:rsid w:val="005B4EF6"/>
    <w:rsid w:val="005B4FA0"/>
    <w:rsid w:val="005B501D"/>
    <w:rsid w:val="005B5196"/>
    <w:rsid w:val="005B563B"/>
    <w:rsid w:val="005B5AEB"/>
    <w:rsid w:val="005B5E4D"/>
    <w:rsid w:val="005B61E7"/>
    <w:rsid w:val="005B6E1D"/>
    <w:rsid w:val="005B6E9D"/>
    <w:rsid w:val="005B70B5"/>
    <w:rsid w:val="005B7523"/>
    <w:rsid w:val="005B7C7C"/>
    <w:rsid w:val="005C012C"/>
    <w:rsid w:val="005C037E"/>
    <w:rsid w:val="005C039F"/>
    <w:rsid w:val="005C0423"/>
    <w:rsid w:val="005C065F"/>
    <w:rsid w:val="005C06E9"/>
    <w:rsid w:val="005C077C"/>
    <w:rsid w:val="005C09EB"/>
    <w:rsid w:val="005C0A39"/>
    <w:rsid w:val="005C0ED8"/>
    <w:rsid w:val="005C107A"/>
    <w:rsid w:val="005C1248"/>
    <w:rsid w:val="005C1D6B"/>
    <w:rsid w:val="005C1F91"/>
    <w:rsid w:val="005C2C9B"/>
    <w:rsid w:val="005C2DF7"/>
    <w:rsid w:val="005C2E7E"/>
    <w:rsid w:val="005C336D"/>
    <w:rsid w:val="005C346B"/>
    <w:rsid w:val="005C3828"/>
    <w:rsid w:val="005C3BC6"/>
    <w:rsid w:val="005C3CBD"/>
    <w:rsid w:val="005C407C"/>
    <w:rsid w:val="005C4248"/>
    <w:rsid w:val="005C43B4"/>
    <w:rsid w:val="005C43C3"/>
    <w:rsid w:val="005C45B9"/>
    <w:rsid w:val="005C4655"/>
    <w:rsid w:val="005C478C"/>
    <w:rsid w:val="005C48E2"/>
    <w:rsid w:val="005C5204"/>
    <w:rsid w:val="005C528F"/>
    <w:rsid w:val="005C52BE"/>
    <w:rsid w:val="005C52D2"/>
    <w:rsid w:val="005C56FD"/>
    <w:rsid w:val="005C5766"/>
    <w:rsid w:val="005C58DA"/>
    <w:rsid w:val="005C5CF7"/>
    <w:rsid w:val="005C610A"/>
    <w:rsid w:val="005C61B4"/>
    <w:rsid w:val="005C62B5"/>
    <w:rsid w:val="005C6989"/>
    <w:rsid w:val="005C6B56"/>
    <w:rsid w:val="005C6D38"/>
    <w:rsid w:val="005C76A8"/>
    <w:rsid w:val="005C79C6"/>
    <w:rsid w:val="005C7E21"/>
    <w:rsid w:val="005D0110"/>
    <w:rsid w:val="005D039E"/>
    <w:rsid w:val="005D0843"/>
    <w:rsid w:val="005D0A25"/>
    <w:rsid w:val="005D0B39"/>
    <w:rsid w:val="005D0C0A"/>
    <w:rsid w:val="005D0D6D"/>
    <w:rsid w:val="005D14B4"/>
    <w:rsid w:val="005D14D3"/>
    <w:rsid w:val="005D1C3B"/>
    <w:rsid w:val="005D1CD8"/>
    <w:rsid w:val="005D2196"/>
    <w:rsid w:val="005D2266"/>
    <w:rsid w:val="005D24BD"/>
    <w:rsid w:val="005D2691"/>
    <w:rsid w:val="005D26A8"/>
    <w:rsid w:val="005D282A"/>
    <w:rsid w:val="005D288D"/>
    <w:rsid w:val="005D298E"/>
    <w:rsid w:val="005D2BE0"/>
    <w:rsid w:val="005D3170"/>
    <w:rsid w:val="005D3784"/>
    <w:rsid w:val="005D3B79"/>
    <w:rsid w:val="005D3E86"/>
    <w:rsid w:val="005D3E8D"/>
    <w:rsid w:val="005D411E"/>
    <w:rsid w:val="005D42B1"/>
    <w:rsid w:val="005D43B0"/>
    <w:rsid w:val="005D46F2"/>
    <w:rsid w:val="005D4904"/>
    <w:rsid w:val="005D4A4A"/>
    <w:rsid w:val="005D4C8B"/>
    <w:rsid w:val="005D4D35"/>
    <w:rsid w:val="005D4E86"/>
    <w:rsid w:val="005D5556"/>
    <w:rsid w:val="005D5593"/>
    <w:rsid w:val="005D55CB"/>
    <w:rsid w:val="005D5B89"/>
    <w:rsid w:val="005D5DFC"/>
    <w:rsid w:val="005D6087"/>
    <w:rsid w:val="005D6127"/>
    <w:rsid w:val="005D64FD"/>
    <w:rsid w:val="005D665F"/>
    <w:rsid w:val="005D691B"/>
    <w:rsid w:val="005D6EFB"/>
    <w:rsid w:val="005D6F09"/>
    <w:rsid w:val="005D6F29"/>
    <w:rsid w:val="005D7648"/>
    <w:rsid w:val="005D78B1"/>
    <w:rsid w:val="005D7B6B"/>
    <w:rsid w:val="005E1048"/>
    <w:rsid w:val="005E10D1"/>
    <w:rsid w:val="005E11FF"/>
    <w:rsid w:val="005E13E6"/>
    <w:rsid w:val="005E1CBF"/>
    <w:rsid w:val="005E1D39"/>
    <w:rsid w:val="005E1D3F"/>
    <w:rsid w:val="005E218B"/>
    <w:rsid w:val="005E21BA"/>
    <w:rsid w:val="005E2C4F"/>
    <w:rsid w:val="005E2D4A"/>
    <w:rsid w:val="005E2EC0"/>
    <w:rsid w:val="005E30A0"/>
    <w:rsid w:val="005E379C"/>
    <w:rsid w:val="005E3D30"/>
    <w:rsid w:val="005E4007"/>
    <w:rsid w:val="005E4144"/>
    <w:rsid w:val="005E4439"/>
    <w:rsid w:val="005E49AE"/>
    <w:rsid w:val="005E5092"/>
    <w:rsid w:val="005E5260"/>
    <w:rsid w:val="005E5458"/>
    <w:rsid w:val="005E55FC"/>
    <w:rsid w:val="005E5612"/>
    <w:rsid w:val="005E57BD"/>
    <w:rsid w:val="005E5A9B"/>
    <w:rsid w:val="005E5C3A"/>
    <w:rsid w:val="005E614E"/>
    <w:rsid w:val="005E615F"/>
    <w:rsid w:val="005E6301"/>
    <w:rsid w:val="005E656C"/>
    <w:rsid w:val="005E6A86"/>
    <w:rsid w:val="005E6CA2"/>
    <w:rsid w:val="005E75C5"/>
    <w:rsid w:val="005E776C"/>
    <w:rsid w:val="005E789F"/>
    <w:rsid w:val="005E797C"/>
    <w:rsid w:val="005E7CD6"/>
    <w:rsid w:val="005E7FA3"/>
    <w:rsid w:val="005F098A"/>
    <w:rsid w:val="005F09A4"/>
    <w:rsid w:val="005F0C49"/>
    <w:rsid w:val="005F1175"/>
    <w:rsid w:val="005F161C"/>
    <w:rsid w:val="005F1620"/>
    <w:rsid w:val="005F16B6"/>
    <w:rsid w:val="005F1A2E"/>
    <w:rsid w:val="005F206D"/>
    <w:rsid w:val="005F20AB"/>
    <w:rsid w:val="005F229A"/>
    <w:rsid w:val="005F230C"/>
    <w:rsid w:val="005F2508"/>
    <w:rsid w:val="005F25A0"/>
    <w:rsid w:val="005F26EF"/>
    <w:rsid w:val="005F29BD"/>
    <w:rsid w:val="005F3689"/>
    <w:rsid w:val="005F3CE1"/>
    <w:rsid w:val="005F3D7F"/>
    <w:rsid w:val="005F3EE2"/>
    <w:rsid w:val="005F473D"/>
    <w:rsid w:val="005F5168"/>
    <w:rsid w:val="005F5364"/>
    <w:rsid w:val="005F5452"/>
    <w:rsid w:val="005F5820"/>
    <w:rsid w:val="005F5C84"/>
    <w:rsid w:val="005F5D05"/>
    <w:rsid w:val="005F5DB3"/>
    <w:rsid w:val="005F63B2"/>
    <w:rsid w:val="005F66C8"/>
    <w:rsid w:val="005F66F0"/>
    <w:rsid w:val="005F69AF"/>
    <w:rsid w:val="005F719C"/>
    <w:rsid w:val="005F71AF"/>
    <w:rsid w:val="005F72DD"/>
    <w:rsid w:val="005F74DF"/>
    <w:rsid w:val="005F7B28"/>
    <w:rsid w:val="00600134"/>
    <w:rsid w:val="0060066F"/>
    <w:rsid w:val="0060086E"/>
    <w:rsid w:val="00600910"/>
    <w:rsid w:val="0060106D"/>
    <w:rsid w:val="006010DF"/>
    <w:rsid w:val="00601330"/>
    <w:rsid w:val="0060171D"/>
    <w:rsid w:val="00601825"/>
    <w:rsid w:val="00601986"/>
    <w:rsid w:val="00601C33"/>
    <w:rsid w:val="00601F11"/>
    <w:rsid w:val="00602262"/>
    <w:rsid w:val="0060227F"/>
    <w:rsid w:val="006022FF"/>
    <w:rsid w:val="006028BD"/>
    <w:rsid w:val="00602B1F"/>
    <w:rsid w:val="00602BC9"/>
    <w:rsid w:val="00602DDF"/>
    <w:rsid w:val="0060327C"/>
    <w:rsid w:val="00603ABC"/>
    <w:rsid w:val="00603B6F"/>
    <w:rsid w:val="00603E04"/>
    <w:rsid w:val="00603E48"/>
    <w:rsid w:val="00603F4E"/>
    <w:rsid w:val="00603FAD"/>
    <w:rsid w:val="00604010"/>
    <w:rsid w:val="0060487C"/>
    <w:rsid w:val="0060489A"/>
    <w:rsid w:val="0060490D"/>
    <w:rsid w:val="00604C0D"/>
    <w:rsid w:val="006050DA"/>
    <w:rsid w:val="0060528C"/>
    <w:rsid w:val="00605548"/>
    <w:rsid w:val="006055B3"/>
    <w:rsid w:val="006056DD"/>
    <w:rsid w:val="00605BDD"/>
    <w:rsid w:val="00605C39"/>
    <w:rsid w:val="00605EC4"/>
    <w:rsid w:val="00606A99"/>
    <w:rsid w:val="00606DAD"/>
    <w:rsid w:val="00607600"/>
    <w:rsid w:val="00607D12"/>
    <w:rsid w:val="00610051"/>
    <w:rsid w:val="00610218"/>
    <w:rsid w:val="0061022F"/>
    <w:rsid w:val="00610831"/>
    <w:rsid w:val="006109AE"/>
    <w:rsid w:val="00610B40"/>
    <w:rsid w:val="00610D6E"/>
    <w:rsid w:val="0061113A"/>
    <w:rsid w:val="0061141F"/>
    <w:rsid w:val="0061159F"/>
    <w:rsid w:val="00611787"/>
    <w:rsid w:val="006117B0"/>
    <w:rsid w:val="00611BB5"/>
    <w:rsid w:val="00611E1C"/>
    <w:rsid w:val="006120AB"/>
    <w:rsid w:val="00612114"/>
    <w:rsid w:val="006124A5"/>
    <w:rsid w:val="00612C5F"/>
    <w:rsid w:val="00613080"/>
    <w:rsid w:val="0061308C"/>
    <w:rsid w:val="006133CC"/>
    <w:rsid w:val="00613584"/>
    <w:rsid w:val="006135D2"/>
    <w:rsid w:val="006136A1"/>
    <w:rsid w:val="00613DB2"/>
    <w:rsid w:val="00613E70"/>
    <w:rsid w:val="00613F6D"/>
    <w:rsid w:val="006140C9"/>
    <w:rsid w:val="0061443B"/>
    <w:rsid w:val="006145E1"/>
    <w:rsid w:val="0061480F"/>
    <w:rsid w:val="00614F07"/>
    <w:rsid w:val="00614F7F"/>
    <w:rsid w:val="00615294"/>
    <w:rsid w:val="00615532"/>
    <w:rsid w:val="006155DD"/>
    <w:rsid w:val="0061562D"/>
    <w:rsid w:val="0061584E"/>
    <w:rsid w:val="00615869"/>
    <w:rsid w:val="00615957"/>
    <w:rsid w:val="006159A8"/>
    <w:rsid w:val="00615C01"/>
    <w:rsid w:val="006160BC"/>
    <w:rsid w:val="00616444"/>
    <w:rsid w:val="00616802"/>
    <w:rsid w:val="00616C22"/>
    <w:rsid w:val="00616C6C"/>
    <w:rsid w:val="00616CDF"/>
    <w:rsid w:val="0061726E"/>
    <w:rsid w:val="00617345"/>
    <w:rsid w:val="00617568"/>
    <w:rsid w:val="006177DC"/>
    <w:rsid w:val="00617939"/>
    <w:rsid w:val="00617CE4"/>
    <w:rsid w:val="00617D59"/>
    <w:rsid w:val="00617F20"/>
    <w:rsid w:val="0062005F"/>
    <w:rsid w:val="006207AD"/>
    <w:rsid w:val="00620DDE"/>
    <w:rsid w:val="00620EA9"/>
    <w:rsid w:val="00621182"/>
    <w:rsid w:val="0062151B"/>
    <w:rsid w:val="006217F1"/>
    <w:rsid w:val="00621802"/>
    <w:rsid w:val="006220BA"/>
    <w:rsid w:val="00622110"/>
    <w:rsid w:val="006221DE"/>
    <w:rsid w:val="00622350"/>
    <w:rsid w:val="00622D8C"/>
    <w:rsid w:val="00623853"/>
    <w:rsid w:val="00623D59"/>
    <w:rsid w:val="00623E30"/>
    <w:rsid w:val="00623F10"/>
    <w:rsid w:val="00624446"/>
    <w:rsid w:val="006245AF"/>
    <w:rsid w:val="00624E17"/>
    <w:rsid w:val="006253F6"/>
    <w:rsid w:val="00625433"/>
    <w:rsid w:val="006258E1"/>
    <w:rsid w:val="006259B0"/>
    <w:rsid w:val="00625C1F"/>
    <w:rsid w:val="00625C60"/>
    <w:rsid w:val="00625DBC"/>
    <w:rsid w:val="00625F78"/>
    <w:rsid w:val="0062603A"/>
    <w:rsid w:val="00627D21"/>
    <w:rsid w:val="00627E39"/>
    <w:rsid w:val="0063007D"/>
    <w:rsid w:val="00630095"/>
    <w:rsid w:val="006304DF"/>
    <w:rsid w:val="00630580"/>
    <w:rsid w:val="00630AD1"/>
    <w:rsid w:val="00630E7A"/>
    <w:rsid w:val="00630FDA"/>
    <w:rsid w:val="006313A4"/>
    <w:rsid w:val="006314F5"/>
    <w:rsid w:val="00631AC3"/>
    <w:rsid w:val="00631D4C"/>
    <w:rsid w:val="00631FDD"/>
    <w:rsid w:val="00631FF5"/>
    <w:rsid w:val="006321A2"/>
    <w:rsid w:val="00632494"/>
    <w:rsid w:val="006326E5"/>
    <w:rsid w:val="00632B4D"/>
    <w:rsid w:val="00632C5A"/>
    <w:rsid w:val="00632DC8"/>
    <w:rsid w:val="006330DC"/>
    <w:rsid w:val="006332CA"/>
    <w:rsid w:val="0063391E"/>
    <w:rsid w:val="00633D60"/>
    <w:rsid w:val="00633DAD"/>
    <w:rsid w:val="006342D1"/>
    <w:rsid w:val="006345A7"/>
    <w:rsid w:val="006348AB"/>
    <w:rsid w:val="00635337"/>
    <w:rsid w:val="006353AE"/>
    <w:rsid w:val="006356BD"/>
    <w:rsid w:val="00636301"/>
    <w:rsid w:val="006366C5"/>
    <w:rsid w:val="00636F86"/>
    <w:rsid w:val="006374A9"/>
    <w:rsid w:val="00637731"/>
    <w:rsid w:val="0063773B"/>
    <w:rsid w:val="00637D36"/>
    <w:rsid w:val="00637EBD"/>
    <w:rsid w:val="00640D4D"/>
    <w:rsid w:val="00640DD1"/>
    <w:rsid w:val="00640E55"/>
    <w:rsid w:val="00641005"/>
    <w:rsid w:val="0064110B"/>
    <w:rsid w:val="0064118B"/>
    <w:rsid w:val="00641245"/>
    <w:rsid w:val="00641486"/>
    <w:rsid w:val="00641AEA"/>
    <w:rsid w:val="00642072"/>
    <w:rsid w:val="006420A5"/>
    <w:rsid w:val="0064246D"/>
    <w:rsid w:val="006429C0"/>
    <w:rsid w:val="00642EBB"/>
    <w:rsid w:val="00642EE8"/>
    <w:rsid w:val="006437C1"/>
    <w:rsid w:val="00643FF0"/>
    <w:rsid w:val="006441E7"/>
    <w:rsid w:val="00644463"/>
    <w:rsid w:val="00644618"/>
    <w:rsid w:val="0064472B"/>
    <w:rsid w:val="0064492C"/>
    <w:rsid w:val="00644A91"/>
    <w:rsid w:val="00644B3F"/>
    <w:rsid w:val="00645032"/>
    <w:rsid w:val="00645488"/>
    <w:rsid w:val="0064568C"/>
    <w:rsid w:val="006457B3"/>
    <w:rsid w:val="00645907"/>
    <w:rsid w:val="00646926"/>
    <w:rsid w:val="00646ACC"/>
    <w:rsid w:val="00646BFC"/>
    <w:rsid w:val="0064739B"/>
    <w:rsid w:val="006475F6"/>
    <w:rsid w:val="00647606"/>
    <w:rsid w:val="006476CF"/>
    <w:rsid w:val="006477F3"/>
    <w:rsid w:val="00647BEA"/>
    <w:rsid w:val="00647EAB"/>
    <w:rsid w:val="00650976"/>
    <w:rsid w:val="00650D16"/>
    <w:rsid w:val="00650D70"/>
    <w:rsid w:val="00651296"/>
    <w:rsid w:val="006512BA"/>
    <w:rsid w:val="006512ED"/>
    <w:rsid w:val="00651728"/>
    <w:rsid w:val="00651D1D"/>
    <w:rsid w:val="00651D30"/>
    <w:rsid w:val="006525F3"/>
    <w:rsid w:val="00652AB8"/>
    <w:rsid w:val="00652B68"/>
    <w:rsid w:val="00652CCB"/>
    <w:rsid w:val="00652F48"/>
    <w:rsid w:val="00652F4B"/>
    <w:rsid w:val="00653062"/>
    <w:rsid w:val="00653260"/>
    <w:rsid w:val="0065328B"/>
    <w:rsid w:val="00653585"/>
    <w:rsid w:val="006535C4"/>
    <w:rsid w:val="006536CF"/>
    <w:rsid w:val="00653A45"/>
    <w:rsid w:val="00653DB5"/>
    <w:rsid w:val="00653E00"/>
    <w:rsid w:val="00653E66"/>
    <w:rsid w:val="00653F37"/>
    <w:rsid w:val="006540EA"/>
    <w:rsid w:val="00654553"/>
    <w:rsid w:val="00654E73"/>
    <w:rsid w:val="0065585A"/>
    <w:rsid w:val="00655A18"/>
    <w:rsid w:val="00655B2C"/>
    <w:rsid w:val="00656308"/>
    <w:rsid w:val="006563FD"/>
    <w:rsid w:val="006569E8"/>
    <w:rsid w:val="006569F6"/>
    <w:rsid w:val="00656C53"/>
    <w:rsid w:val="00656DDB"/>
    <w:rsid w:val="00657142"/>
    <w:rsid w:val="00660437"/>
    <w:rsid w:val="00660691"/>
    <w:rsid w:val="00660A24"/>
    <w:rsid w:val="00660BBB"/>
    <w:rsid w:val="00660CD7"/>
    <w:rsid w:val="006614BC"/>
    <w:rsid w:val="006616A7"/>
    <w:rsid w:val="00661935"/>
    <w:rsid w:val="00661EF2"/>
    <w:rsid w:val="00661FA2"/>
    <w:rsid w:val="00661FE9"/>
    <w:rsid w:val="00662051"/>
    <w:rsid w:val="00662B3B"/>
    <w:rsid w:val="00662D16"/>
    <w:rsid w:val="0066307C"/>
    <w:rsid w:val="006632E3"/>
    <w:rsid w:val="00663415"/>
    <w:rsid w:val="006634CC"/>
    <w:rsid w:val="00663657"/>
    <w:rsid w:val="00663FE0"/>
    <w:rsid w:val="006643D0"/>
    <w:rsid w:val="0066505A"/>
    <w:rsid w:val="0066538E"/>
    <w:rsid w:val="00666090"/>
    <w:rsid w:val="00666502"/>
    <w:rsid w:val="0066650B"/>
    <w:rsid w:val="006669D6"/>
    <w:rsid w:val="00666B87"/>
    <w:rsid w:val="00667084"/>
    <w:rsid w:val="006670B6"/>
    <w:rsid w:val="00667382"/>
    <w:rsid w:val="006679EC"/>
    <w:rsid w:val="00667C64"/>
    <w:rsid w:val="00667EC6"/>
    <w:rsid w:val="00667F8F"/>
    <w:rsid w:val="00670004"/>
    <w:rsid w:val="006703B0"/>
    <w:rsid w:val="0067045C"/>
    <w:rsid w:val="006704FD"/>
    <w:rsid w:val="00670517"/>
    <w:rsid w:val="0067064E"/>
    <w:rsid w:val="0067079A"/>
    <w:rsid w:val="00670810"/>
    <w:rsid w:val="00670A1F"/>
    <w:rsid w:val="00670BC6"/>
    <w:rsid w:val="00670FE0"/>
    <w:rsid w:val="00670FFB"/>
    <w:rsid w:val="006713A8"/>
    <w:rsid w:val="0067178A"/>
    <w:rsid w:val="006719C9"/>
    <w:rsid w:val="00671BC4"/>
    <w:rsid w:val="00671C53"/>
    <w:rsid w:val="00671E02"/>
    <w:rsid w:val="00672249"/>
    <w:rsid w:val="0067225A"/>
    <w:rsid w:val="006722C7"/>
    <w:rsid w:val="006726CA"/>
    <w:rsid w:val="00672B9B"/>
    <w:rsid w:val="00672C51"/>
    <w:rsid w:val="00672E1F"/>
    <w:rsid w:val="00673275"/>
    <w:rsid w:val="00673293"/>
    <w:rsid w:val="006734B8"/>
    <w:rsid w:val="00673AF7"/>
    <w:rsid w:val="00673C91"/>
    <w:rsid w:val="00673CF4"/>
    <w:rsid w:val="00673F20"/>
    <w:rsid w:val="00673F3A"/>
    <w:rsid w:val="00673FD3"/>
    <w:rsid w:val="00674AC3"/>
    <w:rsid w:val="00674D28"/>
    <w:rsid w:val="00675322"/>
    <w:rsid w:val="006757A1"/>
    <w:rsid w:val="006757C3"/>
    <w:rsid w:val="00675CB3"/>
    <w:rsid w:val="00675E0F"/>
    <w:rsid w:val="00675EE5"/>
    <w:rsid w:val="0067678A"/>
    <w:rsid w:val="00676BC3"/>
    <w:rsid w:val="00676EA1"/>
    <w:rsid w:val="00676F04"/>
    <w:rsid w:val="006777B2"/>
    <w:rsid w:val="006778D1"/>
    <w:rsid w:val="0067795F"/>
    <w:rsid w:val="00677E84"/>
    <w:rsid w:val="0068006B"/>
    <w:rsid w:val="006801EF"/>
    <w:rsid w:val="00680314"/>
    <w:rsid w:val="00680475"/>
    <w:rsid w:val="00680793"/>
    <w:rsid w:val="006807BA"/>
    <w:rsid w:val="00680A93"/>
    <w:rsid w:val="00680B4C"/>
    <w:rsid w:val="00680BE1"/>
    <w:rsid w:val="00680BE3"/>
    <w:rsid w:val="00681412"/>
    <w:rsid w:val="0068154B"/>
    <w:rsid w:val="00681585"/>
    <w:rsid w:val="00681A4C"/>
    <w:rsid w:val="0068243D"/>
    <w:rsid w:val="00682465"/>
    <w:rsid w:val="00682A12"/>
    <w:rsid w:val="0068306B"/>
    <w:rsid w:val="006836E9"/>
    <w:rsid w:val="00683823"/>
    <w:rsid w:val="00683F1A"/>
    <w:rsid w:val="00684844"/>
    <w:rsid w:val="006849B2"/>
    <w:rsid w:val="00684BEE"/>
    <w:rsid w:val="00684C63"/>
    <w:rsid w:val="00684D15"/>
    <w:rsid w:val="00684DB6"/>
    <w:rsid w:val="00684FF2"/>
    <w:rsid w:val="00685201"/>
    <w:rsid w:val="00685413"/>
    <w:rsid w:val="0068554C"/>
    <w:rsid w:val="0068557B"/>
    <w:rsid w:val="00685E45"/>
    <w:rsid w:val="00687372"/>
    <w:rsid w:val="00687679"/>
    <w:rsid w:val="00687863"/>
    <w:rsid w:val="00687B2B"/>
    <w:rsid w:val="00687FF8"/>
    <w:rsid w:val="00690474"/>
    <w:rsid w:val="0069078E"/>
    <w:rsid w:val="00690CE6"/>
    <w:rsid w:val="00690EA3"/>
    <w:rsid w:val="0069118F"/>
    <w:rsid w:val="00691207"/>
    <w:rsid w:val="00691236"/>
    <w:rsid w:val="00691394"/>
    <w:rsid w:val="00691A64"/>
    <w:rsid w:val="00691A86"/>
    <w:rsid w:val="00692060"/>
    <w:rsid w:val="00692690"/>
    <w:rsid w:val="006926B5"/>
    <w:rsid w:val="006926CC"/>
    <w:rsid w:val="0069288F"/>
    <w:rsid w:val="006929F4"/>
    <w:rsid w:val="00692C8B"/>
    <w:rsid w:val="00692FCF"/>
    <w:rsid w:val="00693132"/>
    <w:rsid w:val="006935D8"/>
    <w:rsid w:val="006937DA"/>
    <w:rsid w:val="00693C72"/>
    <w:rsid w:val="00694057"/>
    <w:rsid w:val="00694230"/>
    <w:rsid w:val="006947C5"/>
    <w:rsid w:val="00694A1E"/>
    <w:rsid w:val="00694BB3"/>
    <w:rsid w:val="00694E01"/>
    <w:rsid w:val="006959BA"/>
    <w:rsid w:val="00695B07"/>
    <w:rsid w:val="00695B3A"/>
    <w:rsid w:val="00695D0D"/>
    <w:rsid w:val="00695F9D"/>
    <w:rsid w:val="00696322"/>
    <w:rsid w:val="00696626"/>
    <w:rsid w:val="006967DF"/>
    <w:rsid w:val="00696B7B"/>
    <w:rsid w:val="00697241"/>
    <w:rsid w:val="00697339"/>
    <w:rsid w:val="006976FC"/>
    <w:rsid w:val="00697AE5"/>
    <w:rsid w:val="00697BFD"/>
    <w:rsid w:val="006A03E2"/>
    <w:rsid w:val="006A090B"/>
    <w:rsid w:val="006A0AC0"/>
    <w:rsid w:val="006A14A1"/>
    <w:rsid w:val="006A1615"/>
    <w:rsid w:val="006A190D"/>
    <w:rsid w:val="006A1F15"/>
    <w:rsid w:val="006A2217"/>
    <w:rsid w:val="006A23B0"/>
    <w:rsid w:val="006A248F"/>
    <w:rsid w:val="006A2646"/>
    <w:rsid w:val="006A2BBB"/>
    <w:rsid w:val="006A2D7E"/>
    <w:rsid w:val="006A2E77"/>
    <w:rsid w:val="006A2FF9"/>
    <w:rsid w:val="006A30A8"/>
    <w:rsid w:val="006A31CB"/>
    <w:rsid w:val="006A34B4"/>
    <w:rsid w:val="006A35B7"/>
    <w:rsid w:val="006A3AC1"/>
    <w:rsid w:val="006A3D16"/>
    <w:rsid w:val="006A425B"/>
    <w:rsid w:val="006A4349"/>
    <w:rsid w:val="006A439A"/>
    <w:rsid w:val="006A43A0"/>
    <w:rsid w:val="006A46E4"/>
    <w:rsid w:val="006A538A"/>
    <w:rsid w:val="006A5498"/>
    <w:rsid w:val="006A5576"/>
    <w:rsid w:val="006A5622"/>
    <w:rsid w:val="006A5666"/>
    <w:rsid w:val="006A5802"/>
    <w:rsid w:val="006A5B00"/>
    <w:rsid w:val="006A6BC4"/>
    <w:rsid w:val="006A6C96"/>
    <w:rsid w:val="006A6D0F"/>
    <w:rsid w:val="006A6DE0"/>
    <w:rsid w:val="006A6EA4"/>
    <w:rsid w:val="006A72FE"/>
    <w:rsid w:val="006A7669"/>
    <w:rsid w:val="006A7813"/>
    <w:rsid w:val="006A7911"/>
    <w:rsid w:val="006A7C2E"/>
    <w:rsid w:val="006B08D1"/>
    <w:rsid w:val="006B09B8"/>
    <w:rsid w:val="006B0F01"/>
    <w:rsid w:val="006B1086"/>
    <w:rsid w:val="006B11E3"/>
    <w:rsid w:val="006B1695"/>
    <w:rsid w:val="006B16DE"/>
    <w:rsid w:val="006B17BA"/>
    <w:rsid w:val="006B1A14"/>
    <w:rsid w:val="006B1E32"/>
    <w:rsid w:val="006B2293"/>
    <w:rsid w:val="006B23B9"/>
    <w:rsid w:val="006B245A"/>
    <w:rsid w:val="006B249C"/>
    <w:rsid w:val="006B2CB6"/>
    <w:rsid w:val="006B2D95"/>
    <w:rsid w:val="006B2E8E"/>
    <w:rsid w:val="006B31A6"/>
    <w:rsid w:val="006B32A8"/>
    <w:rsid w:val="006B37E9"/>
    <w:rsid w:val="006B39F2"/>
    <w:rsid w:val="006B3AE0"/>
    <w:rsid w:val="006B40CB"/>
    <w:rsid w:val="006B449E"/>
    <w:rsid w:val="006B46F6"/>
    <w:rsid w:val="006B48C4"/>
    <w:rsid w:val="006B4A96"/>
    <w:rsid w:val="006B4EFE"/>
    <w:rsid w:val="006B50AD"/>
    <w:rsid w:val="006B5119"/>
    <w:rsid w:val="006B53CA"/>
    <w:rsid w:val="006B57E5"/>
    <w:rsid w:val="006B582B"/>
    <w:rsid w:val="006B5D57"/>
    <w:rsid w:val="006B612F"/>
    <w:rsid w:val="006B6AC9"/>
    <w:rsid w:val="006B6BB8"/>
    <w:rsid w:val="006B6E2C"/>
    <w:rsid w:val="006B6F43"/>
    <w:rsid w:val="006B7070"/>
    <w:rsid w:val="006B76EB"/>
    <w:rsid w:val="006B7B3A"/>
    <w:rsid w:val="006B7B67"/>
    <w:rsid w:val="006B7C95"/>
    <w:rsid w:val="006B7F14"/>
    <w:rsid w:val="006C03C7"/>
    <w:rsid w:val="006C0422"/>
    <w:rsid w:val="006C0B2A"/>
    <w:rsid w:val="006C0CCA"/>
    <w:rsid w:val="006C0F43"/>
    <w:rsid w:val="006C1098"/>
    <w:rsid w:val="006C11B9"/>
    <w:rsid w:val="006C13D5"/>
    <w:rsid w:val="006C170C"/>
    <w:rsid w:val="006C1763"/>
    <w:rsid w:val="006C199C"/>
    <w:rsid w:val="006C1E52"/>
    <w:rsid w:val="006C1FD9"/>
    <w:rsid w:val="006C2A6B"/>
    <w:rsid w:val="006C2B2E"/>
    <w:rsid w:val="006C2F62"/>
    <w:rsid w:val="006C354D"/>
    <w:rsid w:val="006C3AC7"/>
    <w:rsid w:val="006C3C98"/>
    <w:rsid w:val="006C3D05"/>
    <w:rsid w:val="006C42F0"/>
    <w:rsid w:val="006C47C4"/>
    <w:rsid w:val="006C49D3"/>
    <w:rsid w:val="006C49D9"/>
    <w:rsid w:val="006C4A96"/>
    <w:rsid w:val="006C52B6"/>
    <w:rsid w:val="006C52B9"/>
    <w:rsid w:val="006C52BC"/>
    <w:rsid w:val="006C565E"/>
    <w:rsid w:val="006C5C37"/>
    <w:rsid w:val="006C5C58"/>
    <w:rsid w:val="006C5F09"/>
    <w:rsid w:val="006C622A"/>
    <w:rsid w:val="006C62A1"/>
    <w:rsid w:val="006C638C"/>
    <w:rsid w:val="006C6774"/>
    <w:rsid w:val="006C6932"/>
    <w:rsid w:val="006C69AB"/>
    <w:rsid w:val="006C6DDE"/>
    <w:rsid w:val="006C7967"/>
    <w:rsid w:val="006D026E"/>
    <w:rsid w:val="006D0425"/>
    <w:rsid w:val="006D0769"/>
    <w:rsid w:val="006D078A"/>
    <w:rsid w:val="006D07C0"/>
    <w:rsid w:val="006D09AD"/>
    <w:rsid w:val="006D0E96"/>
    <w:rsid w:val="006D0F17"/>
    <w:rsid w:val="006D11BE"/>
    <w:rsid w:val="006D1773"/>
    <w:rsid w:val="006D1787"/>
    <w:rsid w:val="006D1901"/>
    <w:rsid w:val="006D220A"/>
    <w:rsid w:val="006D2542"/>
    <w:rsid w:val="006D25CE"/>
    <w:rsid w:val="006D2B25"/>
    <w:rsid w:val="006D2BCE"/>
    <w:rsid w:val="006D2D8A"/>
    <w:rsid w:val="006D3D17"/>
    <w:rsid w:val="006D4197"/>
    <w:rsid w:val="006D4962"/>
    <w:rsid w:val="006D4F7E"/>
    <w:rsid w:val="006D52BC"/>
    <w:rsid w:val="006D53B5"/>
    <w:rsid w:val="006D5913"/>
    <w:rsid w:val="006D5A1D"/>
    <w:rsid w:val="006D5E50"/>
    <w:rsid w:val="006D5F17"/>
    <w:rsid w:val="006D609E"/>
    <w:rsid w:val="006D6121"/>
    <w:rsid w:val="006D676E"/>
    <w:rsid w:val="006D678D"/>
    <w:rsid w:val="006D6BFD"/>
    <w:rsid w:val="006D754C"/>
    <w:rsid w:val="006D75FB"/>
    <w:rsid w:val="006D7635"/>
    <w:rsid w:val="006D770B"/>
    <w:rsid w:val="006D783D"/>
    <w:rsid w:val="006D7C97"/>
    <w:rsid w:val="006E0D62"/>
    <w:rsid w:val="006E0E6B"/>
    <w:rsid w:val="006E1AC0"/>
    <w:rsid w:val="006E1AD3"/>
    <w:rsid w:val="006E1BAB"/>
    <w:rsid w:val="006E1E5D"/>
    <w:rsid w:val="006E2365"/>
    <w:rsid w:val="006E2384"/>
    <w:rsid w:val="006E2A38"/>
    <w:rsid w:val="006E2C73"/>
    <w:rsid w:val="006E2E83"/>
    <w:rsid w:val="006E2F9A"/>
    <w:rsid w:val="006E2FAA"/>
    <w:rsid w:val="006E32E8"/>
    <w:rsid w:val="006E39DB"/>
    <w:rsid w:val="006E3C77"/>
    <w:rsid w:val="006E3EB4"/>
    <w:rsid w:val="006E416A"/>
    <w:rsid w:val="006E42E1"/>
    <w:rsid w:val="006E43F9"/>
    <w:rsid w:val="006E461D"/>
    <w:rsid w:val="006E4A23"/>
    <w:rsid w:val="006E4D37"/>
    <w:rsid w:val="006E4EC7"/>
    <w:rsid w:val="006E5315"/>
    <w:rsid w:val="006E5D38"/>
    <w:rsid w:val="006E6192"/>
    <w:rsid w:val="006E62F7"/>
    <w:rsid w:val="006E646E"/>
    <w:rsid w:val="006E666A"/>
    <w:rsid w:val="006E6855"/>
    <w:rsid w:val="006E68E5"/>
    <w:rsid w:val="006E6987"/>
    <w:rsid w:val="006E6C1F"/>
    <w:rsid w:val="006E6FD2"/>
    <w:rsid w:val="006E7712"/>
    <w:rsid w:val="006E77DF"/>
    <w:rsid w:val="006E7D0F"/>
    <w:rsid w:val="006E7FC3"/>
    <w:rsid w:val="006F054C"/>
    <w:rsid w:val="006F06AB"/>
    <w:rsid w:val="006F0799"/>
    <w:rsid w:val="006F0835"/>
    <w:rsid w:val="006F18F4"/>
    <w:rsid w:val="006F19E7"/>
    <w:rsid w:val="006F1A44"/>
    <w:rsid w:val="006F1E1D"/>
    <w:rsid w:val="006F1EE4"/>
    <w:rsid w:val="006F20F9"/>
    <w:rsid w:val="006F2772"/>
    <w:rsid w:val="006F2780"/>
    <w:rsid w:val="006F27E9"/>
    <w:rsid w:val="006F2A1E"/>
    <w:rsid w:val="006F2BCD"/>
    <w:rsid w:val="006F2CA3"/>
    <w:rsid w:val="006F2D5C"/>
    <w:rsid w:val="006F2DDC"/>
    <w:rsid w:val="006F2F0A"/>
    <w:rsid w:val="006F3067"/>
    <w:rsid w:val="006F3CA8"/>
    <w:rsid w:val="006F4040"/>
    <w:rsid w:val="006F4332"/>
    <w:rsid w:val="006F43A0"/>
    <w:rsid w:val="006F43B0"/>
    <w:rsid w:val="006F468F"/>
    <w:rsid w:val="006F4847"/>
    <w:rsid w:val="006F4869"/>
    <w:rsid w:val="006F4CB8"/>
    <w:rsid w:val="006F4E1E"/>
    <w:rsid w:val="006F50EC"/>
    <w:rsid w:val="006F5136"/>
    <w:rsid w:val="006F5275"/>
    <w:rsid w:val="006F55B0"/>
    <w:rsid w:val="006F5A72"/>
    <w:rsid w:val="006F66D5"/>
    <w:rsid w:val="006F6953"/>
    <w:rsid w:val="006F7083"/>
    <w:rsid w:val="006F747B"/>
    <w:rsid w:val="006F7A39"/>
    <w:rsid w:val="006F7E7B"/>
    <w:rsid w:val="00700532"/>
    <w:rsid w:val="007005B5"/>
    <w:rsid w:val="00700989"/>
    <w:rsid w:val="00700AAC"/>
    <w:rsid w:val="0070163D"/>
    <w:rsid w:val="00701773"/>
    <w:rsid w:val="007017EC"/>
    <w:rsid w:val="00701841"/>
    <w:rsid w:val="00701A7F"/>
    <w:rsid w:val="007026AF"/>
    <w:rsid w:val="00702999"/>
    <w:rsid w:val="0070299F"/>
    <w:rsid w:val="00702CC6"/>
    <w:rsid w:val="00702D34"/>
    <w:rsid w:val="00702D69"/>
    <w:rsid w:val="00702F08"/>
    <w:rsid w:val="00703494"/>
    <w:rsid w:val="0070379A"/>
    <w:rsid w:val="00703C56"/>
    <w:rsid w:val="00703D19"/>
    <w:rsid w:val="00703E77"/>
    <w:rsid w:val="00704263"/>
    <w:rsid w:val="00704924"/>
    <w:rsid w:val="00704A34"/>
    <w:rsid w:val="00704F83"/>
    <w:rsid w:val="007054FE"/>
    <w:rsid w:val="00705576"/>
    <w:rsid w:val="00705869"/>
    <w:rsid w:val="00705A95"/>
    <w:rsid w:val="00705C9E"/>
    <w:rsid w:val="00706063"/>
    <w:rsid w:val="00706802"/>
    <w:rsid w:val="00706998"/>
    <w:rsid w:val="007069ED"/>
    <w:rsid w:val="00706C77"/>
    <w:rsid w:val="00706CA9"/>
    <w:rsid w:val="00706EEE"/>
    <w:rsid w:val="007070E6"/>
    <w:rsid w:val="007071FC"/>
    <w:rsid w:val="0070730B"/>
    <w:rsid w:val="0070751B"/>
    <w:rsid w:val="00707590"/>
    <w:rsid w:val="007075F9"/>
    <w:rsid w:val="0070791C"/>
    <w:rsid w:val="00707B6D"/>
    <w:rsid w:val="0071019A"/>
    <w:rsid w:val="007102C6"/>
    <w:rsid w:val="007110B4"/>
    <w:rsid w:val="0071144C"/>
    <w:rsid w:val="00711612"/>
    <w:rsid w:val="007116DC"/>
    <w:rsid w:val="007119F3"/>
    <w:rsid w:val="00711D69"/>
    <w:rsid w:val="00711DCE"/>
    <w:rsid w:val="00712207"/>
    <w:rsid w:val="00712457"/>
    <w:rsid w:val="00712699"/>
    <w:rsid w:val="007126A7"/>
    <w:rsid w:val="00712B57"/>
    <w:rsid w:val="00712C55"/>
    <w:rsid w:val="00712CB5"/>
    <w:rsid w:val="00713449"/>
    <w:rsid w:val="0071352E"/>
    <w:rsid w:val="007135F7"/>
    <w:rsid w:val="007137A4"/>
    <w:rsid w:val="00713B70"/>
    <w:rsid w:val="00713BBB"/>
    <w:rsid w:val="00713D38"/>
    <w:rsid w:val="00713DF8"/>
    <w:rsid w:val="0071432D"/>
    <w:rsid w:val="0071470C"/>
    <w:rsid w:val="007149F4"/>
    <w:rsid w:val="00714B46"/>
    <w:rsid w:val="00714C40"/>
    <w:rsid w:val="007150BA"/>
    <w:rsid w:val="00715236"/>
    <w:rsid w:val="00715345"/>
    <w:rsid w:val="007153C9"/>
    <w:rsid w:val="007154B0"/>
    <w:rsid w:val="0071551B"/>
    <w:rsid w:val="007159B2"/>
    <w:rsid w:val="007164D1"/>
    <w:rsid w:val="0071664C"/>
    <w:rsid w:val="00716711"/>
    <w:rsid w:val="00717030"/>
    <w:rsid w:val="007170C7"/>
    <w:rsid w:val="00717762"/>
    <w:rsid w:val="00717A0A"/>
    <w:rsid w:val="00717D7A"/>
    <w:rsid w:val="00717E67"/>
    <w:rsid w:val="00717E9C"/>
    <w:rsid w:val="00717FD3"/>
    <w:rsid w:val="0072079D"/>
    <w:rsid w:val="0072097F"/>
    <w:rsid w:val="0072117C"/>
    <w:rsid w:val="00721981"/>
    <w:rsid w:val="007219AA"/>
    <w:rsid w:val="00721B9C"/>
    <w:rsid w:val="007223AB"/>
    <w:rsid w:val="00722AA0"/>
    <w:rsid w:val="00722AC0"/>
    <w:rsid w:val="00722AF0"/>
    <w:rsid w:val="00722B54"/>
    <w:rsid w:val="00722EAB"/>
    <w:rsid w:val="0072329C"/>
    <w:rsid w:val="007236A1"/>
    <w:rsid w:val="00723AB9"/>
    <w:rsid w:val="00723E9E"/>
    <w:rsid w:val="00723EBA"/>
    <w:rsid w:val="00723F11"/>
    <w:rsid w:val="00723FFC"/>
    <w:rsid w:val="0072420E"/>
    <w:rsid w:val="007243C9"/>
    <w:rsid w:val="00724430"/>
    <w:rsid w:val="00724983"/>
    <w:rsid w:val="00724DA6"/>
    <w:rsid w:val="007256BD"/>
    <w:rsid w:val="007256EF"/>
    <w:rsid w:val="00725737"/>
    <w:rsid w:val="00725A62"/>
    <w:rsid w:val="00725D53"/>
    <w:rsid w:val="00725DEF"/>
    <w:rsid w:val="00726B32"/>
    <w:rsid w:val="0072707E"/>
    <w:rsid w:val="00727248"/>
    <w:rsid w:val="00727463"/>
    <w:rsid w:val="0072748E"/>
    <w:rsid w:val="00727C6E"/>
    <w:rsid w:val="00727D78"/>
    <w:rsid w:val="007308B0"/>
    <w:rsid w:val="007308E6"/>
    <w:rsid w:val="00730D82"/>
    <w:rsid w:val="00731875"/>
    <w:rsid w:val="007318A3"/>
    <w:rsid w:val="00731978"/>
    <w:rsid w:val="00731B49"/>
    <w:rsid w:val="00731D25"/>
    <w:rsid w:val="00731E25"/>
    <w:rsid w:val="0073290B"/>
    <w:rsid w:val="00732AFD"/>
    <w:rsid w:val="00732E1D"/>
    <w:rsid w:val="0073337D"/>
    <w:rsid w:val="00733581"/>
    <w:rsid w:val="007335BC"/>
    <w:rsid w:val="00733790"/>
    <w:rsid w:val="00733F40"/>
    <w:rsid w:val="007341F1"/>
    <w:rsid w:val="007341FA"/>
    <w:rsid w:val="00734486"/>
    <w:rsid w:val="00734778"/>
    <w:rsid w:val="00734947"/>
    <w:rsid w:val="00734C30"/>
    <w:rsid w:val="00734C6B"/>
    <w:rsid w:val="00734F48"/>
    <w:rsid w:val="00735471"/>
    <w:rsid w:val="0073571E"/>
    <w:rsid w:val="00735905"/>
    <w:rsid w:val="00735BCF"/>
    <w:rsid w:val="007360E2"/>
    <w:rsid w:val="00736662"/>
    <w:rsid w:val="00736E44"/>
    <w:rsid w:val="00736EBB"/>
    <w:rsid w:val="00736EC2"/>
    <w:rsid w:val="00736FB9"/>
    <w:rsid w:val="00737361"/>
    <w:rsid w:val="007373AF"/>
    <w:rsid w:val="007375D1"/>
    <w:rsid w:val="00737713"/>
    <w:rsid w:val="007400A7"/>
    <w:rsid w:val="0074051C"/>
    <w:rsid w:val="007406D6"/>
    <w:rsid w:val="00741176"/>
    <w:rsid w:val="00741313"/>
    <w:rsid w:val="00742088"/>
    <w:rsid w:val="00742FE1"/>
    <w:rsid w:val="00743058"/>
    <w:rsid w:val="0074306E"/>
    <w:rsid w:val="007434BC"/>
    <w:rsid w:val="007436EB"/>
    <w:rsid w:val="0074383C"/>
    <w:rsid w:val="00743891"/>
    <w:rsid w:val="00743A39"/>
    <w:rsid w:val="00743A4B"/>
    <w:rsid w:val="00743ADA"/>
    <w:rsid w:val="00743C3E"/>
    <w:rsid w:val="00744103"/>
    <w:rsid w:val="0074423F"/>
    <w:rsid w:val="00744D92"/>
    <w:rsid w:val="007450B3"/>
    <w:rsid w:val="007458A6"/>
    <w:rsid w:val="00745942"/>
    <w:rsid w:val="00745AA3"/>
    <w:rsid w:val="00745EAC"/>
    <w:rsid w:val="00746109"/>
    <w:rsid w:val="00746120"/>
    <w:rsid w:val="00746286"/>
    <w:rsid w:val="007464B6"/>
    <w:rsid w:val="00746774"/>
    <w:rsid w:val="00746977"/>
    <w:rsid w:val="00747490"/>
    <w:rsid w:val="0074761B"/>
    <w:rsid w:val="007476DB"/>
    <w:rsid w:val="00747CCE"/>
    <w:rsid w:val="00747D78"/>
    <w:rsid w:val="00747E47"/>
    <w:rsid w:val="00750441"/>
    <w:rsid w:val="00750A8E"/>
    <w:rsid w:val="00751002"/>
    <w:rsid w:val="00751039"/>
    <w:rsid w:val="00751BFD"/>
    <w:rsid w:val="00752BB0"/>
    <w:rsid w:val="00752CA8"/>
    <w:rsid w:val="00752DE5"/>
    <w:rsid w:val="0075313D"/>
    <w:rsid w:val="007537AE"/>
    <w:rsid w:val="007539BF"/>
    <w:rsid w:val="00753A4E"/>
    <w:rsid w:val="00753BA7"/>
    <w:rsid w:val="007540AC"/>
    <w:rsid w:val="007547A4"/>
    <w:rsid w:val="007548A8"/>
    <w:rsid w:val="007549AB"/>
    <w:rsid w:val="00754A7F"/>
    <w:rsid w:val="00754D8A"/>
    <w:rsid w:val="00755355"/>
    <w:rsid w:val="00755534"/>
    <w:rsid w:val="00755A5A"/>
    <w:rsid w:val="00755AFC"/>
    <w:rsid w:val="007564FD"/>
    <w:rsid w:val="0075684D"/>
    <w:rsid w:val="00756C46"/>
    <w:rsid w:val="00756E22"/>
    <w:rsid w:val="00756FFD"/>
    <w:rsid w:val="007575B5"/>
    <w:rsid w:val="00757979"/>
    <w:rsid w:val="0075797E"/>
    <w:rsid w:val="00760F86"/>
    <w:rsid w:val="0076111A"/>
    <w:rsid w:val="00761543"/>
    <w:rsid w:val="00761735"/>
    <w:rsid w:val="00761834"/>
    <w:rsid w:val="00761AB1"/>
    <w:rsid w:val="00761C79"/>
    <w:rsid w:val="00762426"/>
    <w:rsid w:val="00762680"/>
    <w:rsid w:val="00762A2F"/>
    <w:rsid w:val="0076332B"/>
    <w:rsid w:val="007635AF"/>
    <w:rsid w:val="00763679"/>
    <w:rsid w:val="00763E7E"/>
    <w:rsid w:val="00764361"/>
    <w:rsid w:val="0076458B"/>
    <w:rsid w:val="00764634"/>
    <w:rsid w:val="00764AEA"/>
    <w:rsid w:val="0076516F"/>
    <w:rsid w:val="00765195"/>
    <w:rsid w:val="00765496"/>
    <w:rsid w:val="007654EE"/>
    <w:rsid w:val="00766328"/>
    <w:rsid w:val="00766A44"/>
    <w:rsid w:val="00766DD5"/>
    <w:rsid w:val="00767124"/>
    <w:rsid w:val="00767A24"/>
    <w:rsid w:val="00767DB4"/>
    <w:rsid w:val="007700CF"/>
    <w:rsid w:val="00770116"/>
    <w:rsid w:val="00770349"/>
    <w:rsid w:val="00770376"/>
    <w:rsid w:val="00770597"/>
    <w:rsid w:val="00770A40"/>
    <w:rsid w:val="00770B23"/>
    <w:rsid w:val="00770D83"/>
    <w:rsid w:val="0077108B"/>
    <w:rsid w:val="00771650"/>
    <w:rsid w:val="00771702"/>
    <w:rsid w:val="00772176"/>
    <w:rsid w:val="00772476"/>
    <w:rsid w:val="00772668"/>
    <w:rsid w:val="00772E4A"/>
    <w:rsid w:val="00773105"/>
    <w:rsid w:val="0077387F"/>
    <w:rsid w:val="00773BAE"/>
    <w:rsid w:val="00773FF2"/>
    <w:rsid w:val="007741C7"/>
    <w:rsid w:val="00774529"/>
    <w:rsid w:val="0077454D"/>
    <w:rsid w:val="00774932"/>
    <w:rsid w:val="00774942"/>
    <w:rsid w:val="007749CF"/>
    <w:rsid w:val="00774EDC"/>
    <w:rsid w:val="0077526A"/>
    <w:rsid w:val="007757E9"/>
    <w:rsid w:val="007767E2"/>
    <w:rsid w:val="0077686C"/>
    <w:rsid w:val="00777163"/>
    <w:rsid w:val="0077754D"/>
    <w:rsid w:val="00777B32"/>
    <w:rsid w:val="00777D16"/>
    <w:rsid w:val="00777D4E"/>
    <w:rsid w:val="00777F28"/>
    <w:rsid w:val="007800CD"/>
    <w:rsid w:val="00780495"/>
    <w:rsid w:val="007804C6"/>
    <w:rsid w:val="007805B8"/>
    <w:rsid w:val="00780D66"/>
    <w:rsid w:val="00781095"/>
    <w:rsid w:val="00781229"/>
    <w:rsid w:val="00781609"/>
    <w:rsid w:val="0078171F"/>
    <w:rsid w:val="00781AF7"/>
    <w:rsid w:val="00781CB3"/>
    <w:rsid w:val="00781D86"/>
    <w:rsid w:val="00782001"/>
    <w:rsid w:val="00782081"/>
    <w:rsid w:val="00782177"/>
    <w:rsid w:val="0078288E"/>
    <w:rsid w:val="00782D12"/>
    <w:rsid w:val="0078332F"/>
    <w:rsid w:val="007833F5"/>
    <w:rsid w:val="00783728"/>
    <w:rsid w:val="00783BD3"/>
    <w:rsid w:val="00783CB0"/>
    <w:rsid w:val="00783D45"/>
    <w:rsid w:val="007842CD"/>
    <w:rsid w:val="007846E4"/>
    <w:rsid w:val="007846FC"/>
    <w:rsid w:val="0078490E"/>
    <w:rsid w:val="00784946"/>
    <w:rsid w:val="007849A0"/>
    <w:rsid w:val="00784E0A"/>
    <w:rsid w:val="00785820"/>
    <w:rsid w:val="00785E85"/>
    <w:rsid w:val="0078635D"/>
    <w:rsid w:val="007865FA"/>
    <w:rsid w:val="00786617"/>
    <w:rsid w:val="0078682D"/>
    <w:rsid w:val="00786EA3"/>
    <w:rsid w:val="00786EEE"/>
    <w:rsid w:val="00786EF7"/>
    <w:rsid w:val="00787481"/>
    <w:rsid w:val="007877E2"/>
    <w:rsid w:val="00787B54"/>
    <w:rsid w:val="0079025D"/>
    <w:rsid w:val="0079050A"/>
    <w:rsid w:val="00790623"/>
    <w:rsid w:val="00790A20"/>
    <w:rsid w:val="00790A9B"/>
    <w:rsid w:val="00790D25"/>
    <w:rsid w:val="00790D8C"/>
    <w:rsid w:val="00790DC9"/>
    <w:rsid w:val="00790F81"/>
    <w:rsid w:val="0079159B"/>
    <w:rsid w:val="0079170B"/>
    <w:rsid w:val="00791822"/>
    <w:rsid w:val="00791AE6"/>
    <w:rsid w:val="00791D1E"/>
    <w:rsid w:val="00792B27"/>
    <w:rsid w:val="00792BEE"/>
    <w:rsid w:val="00792BF5"/>
    <w:rsid w:val="00792C8A"/>
    <w:rsid w:val="00792CC2"/>
    <w:rsid w:val="00792D4C"/>
    <w:rsid w:val="0079357F"/>
    <w:rsid w:val="007938AD"/>
    <w:rsid w:val="007938B4"/>
    <w:rsid w:val="00793A95"/>
    <w:rsid w:val="007943F0"/>
    <w:rsid w:val="00794B92"/>
    <w:rsid w:val="00794F2B"/>
    <w:rsid w:val="00795055"/>
    <w:rsid w:val="00795570"/>
    <w:rsid w:val="00795C35"/>
    <w:rsid w:val="00795EA4"/>
    <w:rsid w:val="00795FF8"/>
    <w:rsid w:val="00796091"/>
    <w:rsid w:val="00796E72"/>
    <w:rsid w:val="00796F47"/>
    <w:rsid w:val="0079709C"/>
    <w:rsid w:val="007973B5"/>
    <w:rsid w:val="00797670"/>
    <w:rsid w:val="00797B78"/>
    <w:rsid w:val="00797F27"/>
    <w:rsid w:val="007A0158"/>
    <w:rsid w:val="007A1203"/>
    <w:rsid w:val="007A1FBD"/>
    <w:rsid w:val="007A2458"/>
    <w:rsid w:val="007A27E6"/>
    <w:rsid w:val="007A29E1"/>
    <w:rsid w:val="007A2A1E"/>
    <w:rsid w:val="007A343F"/>
    <w:rsid w:val="007A3576"/>
    <w:rsid w:val="007A3FED"/>
    <w:rsid w:val="007A4261"/>
    <w:rsid w:val="007A42C0"/>
    <w:rsid w:val="007A4D45"/>
    <w:rsid w:val="007A566A"/>
    <w:rsid w:val="007A5884"/>
    <w:rsid w:val="007A5950"/>
    <w:rsid w:val="007A5A89"/>
    <w:rsid w:val="007A5AB6"/>
    <w:rsid w:val="007A5C25"/>
    <w:rsid w:val="007A5FA0"/>
    <w:rsid w:val="007A6292"/>
    <w:rsid w:val="007A62C7"/>
    <w:rsid w:val="007A6D76"/>
    <w:rsid w:val="007A6FF7"/>
    <w:rsid w:val="007A7054"/>
    <w:rsid w:val="007A76CB"/>
    <w:rsid w:val="007A7B1C"/>
    <w:rsid w:val="007A7B59"/>
    <w:rsid w:val="007A7E3B"/>
    <w:rsid w:val="007B0F58"/>
    <w:rsid w:val="007B12FA"/>
    <w:rsid w:val="007B1412"/>
    <w:rsid w:val="007B1B02"/>
    <w:rsid w:val="007B1B0C"/>
    <w:rsid w:val="007B1C6E"/>
    <w:rsid w:val="007B1E6F"/>
    <w:rsid w:val="007B1F9C"/>
    <w:rsid w:val="007B24A3"/>
    <w:rsid w:val="007B25A5"/>
    <w:rsid w:val="007B279C"/>
    <w:rsid w:val="007B2924"/>
    <w:rsid w:val="007B2A06"/>
    <w:rsid w:val="007B2CDD"/>
    <w:rsid w:val="007B323D"/>
    <w:rsid w:val="007B3789"/>
    <w:rsid w:val="007B3B5A"/>
    <w:rsid w:val="007B3E72"/>
    <w:rsid w:val="007B4D36"/>
    <w:rsid w:val="007B4EC2"/>
    <w:rsid w:val="007B5055"/>
    <w:rsid w:val="007B51EA"/>
    <w:rsid w:val="007B54B9"/>
    <w:rsid w:val="007B5770"/>
    <w:rsid w:val="007B583F"/>
    <w:rsid w:val="007B5858"/>
    <w:rsid w:val="007B5E73"/>
    <w:rsid w:val="007B5F49"/>
    <w:rsid w:val="007B62B0"/>
    <w:rsid w:val="007B6328"/>
    <w:rsid w:val="007B6689"/>
    <w:rsid w:val="007B6716"/>
    <w:rsid w:val="007B6D54"/>
    <w:rsid w:val="007B6ED4"/>
    <w:rsid w:val="007B7269"/>
    <w:rsid w:val="007B7679"/>
    <w:rsid w:val="007B7880"/>
    <w:rsid w:val="007B7E43"/>
    <w:rsid w:val="007C1162"/>
    <w:rsid w:val="007C136C"/>
    <w:rsid w:val="007C1455"/>
    <w:rsid w:val="007C1952"/>
    <w:rsid w:val="007C1C50"/>
    <w:rsid w:val="007C1FC2"/>
    <w:rsid w:val="007C2214"/>
    <w:rsid w:val="007C27FE"/>
    <w:rsid w:val="007C2A1A"/>
    <w:rsid w:val="007C2B4D"/>
    <w:rsid w:val="007C2B59"/>
    <w:rsid w:val="007C304F"/>
    <w:rsid w:val="007C3A5B"/>
    <w:rsid w:val="007C3B52"/>
    <w:rsid w:val="007C3BE8"/>
    <w:rsid w:val="007C3D96"/>
    <w:rsid w:val="007C452E"/>
    <w:rsid w:val="007C4A52"/>
    <w:rsid w:val="007C4F99"/>
    <w:rsid w:val="007C560F"/>
    <w:rsid w:val="007C5A52"/>
    <w:rsid w:val="007C5E65"/>
    <w:rsid w:val="007C5E86"/>
    <w:rsid w:val="007C5E93"/>
    <w:rsid w:val="007C5E94"/>
    <w:rsid w:val="007C638E"/>
    <w:rsid w:val="007C6A38"/>
    <w:rsid w:val="007C6B48"/>
    <w:rsid w:val="007C6CEF"/>
    <w:rsid w:val="007C79C8"/>
    <w:rsid w:val="007C7A1D"/>
    <w:rsid w:val="007C7CC6"/>
    <w:rsid w:val="007C7DAE"/>
    <w:rsid w:val="007D000A"/>
    <w:rsid w:val="007D024C"/>
    <w:rsid w:val="007D027E"/>
    <w:rsid w:val="007D0BBA"/>
    <w:rsid w:val="007D13BE"/>
    <w:rsid w:val="007D14D6"/>
    <w:rsid w:val="007D1660"/>
    <w:rsid w:val="007D17C2"/>
    <w:rsid w:val="007D180E"/>
    <w:rsid w:val="007D1AFE"/>
    <w:rsid w:val="007D1D2E"/>
    <w:rsid w:val="007D2BAA"/>
    <w:rsid w:val="007D2EE2"/>
    <w:rsid w:val="007D378E"/>
    <w:rsid w:val="007D39BC"/>
    <w:rsid w:val="007D3A49"/>
    <w:rsid w:val="007D3A6B"/>
    <w:rsid w:val="007D3DF5"/>
    <w:rsid w:val="007D3DFD"/>
    <w:rsid w:val="007D3E04"/>
    <w:rsid w:val="007D3EF3"/>
    <w:rsid w:val="007D4662"/>
    <w:rsid w:val="007D47A4"/>
    <w:rsid w:val="007D483C"/>
    <w:rsid w:val="007D4A83"/>
    <w:rsid w:val="007D4ADE"/>
    <w:rsid w:val="007D5DF4"/>
    <w:rsid w:val="007D5E97"/>
    <w:rsid w:val="007D5FF7"/>
    <w:rsid w:val="007D642E"/>
    <w:rsid w:val="007D657E"/>
    <w:rsid w:val="007D65F9"/>
    <w:rsid w:val="007D6941"/>
    <w:rsid w:val="007D6A84"/>
    <w:rsid w:val="007D6DDD"/>
    <w:rsid w:val="007D6E53"/>
    <w:rsid w:val="007D739E"/>
    <w:rsid w:val="007D7ED5"/>
    <w:rsid w:val="007E00BD"/>
    <w:rsid w:val="007E046B"/>
    <w:rsid w:val="007E067E"/>
    <w:rsid w:val="007E0791"/>
    <w:rsid w:val="007E0AA1"/>
    <w:rsid w:val="007E0E05"/>
    <w:rsid w:val="007E1056"/>
    <w:rsid w:val="007E146F"/>
    <w:rsid w:val="007E1491"/>
    <w:rsid w:val="007E1604"/>
    <w:rsid w:val="007E1A03"/>
    <w:rsid w:val="007E1CBD"/>
    <w:rsid w:val="007E201D"/>
    <w:rsid w:val="007E280D"/>
    <w:rsid w:val="007E2CD7"/>
    <w:rsid w:val="007E2EC7"/>
    <w:rsid w:val="007E2F6A"/>
    <w:rsid w:val="007E34B0"/>
    <w:rsid w:val="007E38C2"/>
    <w:rsid w:val="007E3D08"/>
    <w:rsid w:val="007E44BB"/>
    <w:rsid w:val="007E4667"/>
    <w:rsid w:val="007E46C8"/>
    <w:rsid w:val="007E46CE"/>
    <w:rsid w:val="007E46D4"/>
    <w:rsid w:val="007E48B9"/>
    <w:rsid w:val="007E507F"/>
    <w:rsid w:val="007E524F"/>
    <w:rsid w:val="007E533C"/>
    <w:rsid w:val="007E541C"/>
    <w:rsid w:val="007E555C"/>
    <w:rsid w:val="007E5613"/>
    <w:rsid w:val="007E56F3"/>
    <w:rsid w:val="007E58E0"/>
    <w:rsid w:val="007E5913"/>
    <w:rsid w:val="007E5961"/>
    <w:rsid w:val="007E5D57"/>
    <w:rsid w:val="007E5EB0"/>
    <w:rsid w:val="007E5FFC"/>
    <w:rsid w:val="007E6392"/>
    <w:rsid w:val="007E6608"/>
    <w:rsid w:val="007E66D7"/>
    <w:rsid w:val="007E66EE"/>
    <w:rsid w:val="007E6E44"/>
    <w:rsid w:val="007E72F0"/>
    <w:rsid w:val="007E74EA"/>
    <w:rsid w:val="007E7AE5"/>
    <w:rsid w:val="007E7C02"/>
    <w:rsid w:val="007E7D87"/>
    <w:rsid w:val="007E7F9F"/>
    <w:rsid w:val="007F02A9"/>
    <w:rsid w:val="007F0840"/>
    <w:rsid w:val="007F0863"/>
    <w:rsid w:val="007F0DCF"/>
    <w:rsid w:val="007F1B40"/>
    <w:rsid w:val="007F1D4A"/>
    <w:rsid w:val="007F1DD5"/>
    <w:rsid w:val="007F1F79"/>
    <w:rsid w:val="007F1FEB"/>
    <w:rsid w:val="007F2208"/>
    <w:rsid w:val="007F2903"/>
    <w:rsid w:val="007F29ED"/>
    <w:rsid w:val="007F2C82"/>
    <w:rsid w:val="007F2CDB"/>
    <w:rsid w:val="007F48C0"/>
    <w:rsid w:val="007F4A2C"/>
    <w:rsid w:val="007F5106"/>
    <w:rsid w:val="007F529E"/>
    <w:rsid w:val="007F5564"/>
    <w:rsid w:val="007F5591"/>
    <w:rsid w:val="007F5CEE"/>
    <w:rsid w:val="007F6168"/>
    <w:rsid w:val="007F6454"/>
    <w:rsid w:val="007F6F13"/>
    <w:rsid w:val="007F74E0"/>
    <w:rsid w:val="0080025D"/>
    <w:rsid w:val="008002A5"/>
    <w:rsid w:val="0080105E"/>
    <w:rsid w:val="008013FB"/>
    <w:rsid w:val="00801823"/>
    <w:rsid w:val="00801B59"/>
    <w:rsid w:val="008021AA"/>
    <w:rsid w:val="0080229C"/>
    <w:rsid w:val="00802BEB"/>
    <w:rsid w:val="00802CE6"/>
    <w:rsid w:val="00802DA6"/>
    <w:rsid w:val="00802DD9"/>
    <w:rsid w:val="00802F00"/>
    <w:rsid w:val="008031C1"/>
    <w:rsid w:val="008036D8"/>
    <w:rsid w:val="0080390E"/>
    <w:rsid w:val="00803990"/>
    <w:rsid w:val="00803A03"/>
    <w:rsid w:val="008040D9"/>
    <w:rsid w:val="008044A0"/>
    <w:rsid w:val="00804775"/>
    <w:rsid w:val="0080492A"/>
    <w:rsid w:val="00804B18"/>
    <w:rsid w:val="00804BB1"/>
    <w:rsid w:val="00804D69"/>
    <w:rsid w:val="008069AE"/>
    <w:rsid w:val="00806A3E"/>
    <w:rsid w:val="00806E7B"/>
    <w:rsid w:val="0080719C"/>
    <w:rsid w:val="0080725A"/>
    <w:rsid w:val="00807B64"/>
    <w:rsid w:val="00807F08"/>
    <w:rsid w:val="008104A7"/>
    <w:rsid w:val="008104B7"/>
    <w:rsid w:val="008108D1"/>
    <w:rsid w:val="00810DB9"/>
    <w:rsid w:val="00810EDC"/>
    <w:rsid w:val="00811490"/>
    <w:rsid w:val="0081152F"/>
    <w:rsid w:val="008116B2"/>
    <w:rsid w:val="00811DE8"/>
    <w:rsid w:val="00811E1C"/>
    <w:rsid w:val="00811EE7"/>
    <w:rsid w:val="00811F58"/>
    <w:rsid w:val="00812114"/>
    <w:rsid w:val="00812F5E"/>
    <w:rsid w:val="00813624"/>
    <w:rsid w:val="00813DD1"/>
    <w:rsid w:val="00813E2D"/>
    <w:rsid w:val="008142EF"/>
    <w:rsid w:val="0081486E"/>
    <w:rsid w:val="008149F1"/>
    <w:rsid w:val="00814D15"/>
    <w:rsid w:val="00814D69"/>
    <w:rsid w:val="00814DB1"/>
    <w:rsid w:val="00814FB5"/>
    <w:rsid w:val="00815362"/>
    <w:rsid w:val="008154BD"/>
    <w:rsid w:val="00815713"/>
    <w:rsid w:val="0081579C"/>
    <w:rsid w:val="00815856"/>
    <w:rsid w:val="00815F53"/>
    <w:rsid w:val="00816223"/>
    <w:rsid w:val="0081624B"/>
    <w:rsid w:val="008165EF"/>
    <w:rsid w:val="00816761"/>
    <w:rsid w:val="0081680E"/>
    <w:rsid w:val="00816F45"/>
    <w:rsid w:val="00817000"/>
    <w:rsid w:val="0081731B"/>
    <w:rsid w:val="00817A9C"/>
    <w:rsid w:val="00817E6D"/>
    <w:rsid w:val="0082087D"/>
    <w:rsid w:val="00820DB5"/>
    <w:rsid w:val="00820E24"/>
    <w:rsid w:val="00821070"/>
    <w:rsid w:val="008211C9"/>
    <w:rsid w:val="008212FC"/>
    <w:rsid w:val="008215AF"/>
    <w:rsid w:val="008218CD"/>
    <w:rsid w:val="00821BD3"/>
    <w:rsid w:val="008224CC"/>
    <w:rsid w:val="00822A6D"/>
    <w:rsid w:val="00822AB9"/>
    <w:rsid w:val="00822CBB"/>
    <w:rsid w:val="00822D66"/>
    <w:rsid w:val="0082313B"/>
    <w:rsid w:val="008231AD"/>
    <w:rsid w:val="008232FD"/>
    <w:rsid w:val="0082345B"/>
    <w:rsid w:val="008237CB"/>
    <w:rsid w:val="0082388D"/>
    <w:rsid w:val="00823B6D"/>
    <w:rsid w:val="00823BF1"/>
    <w:rsid w:val="008242ED"/>
    <w:rsid w:val="00824687"/>
    <w:rsid w:val="00824B0B"/>
    <w:rsid w:val="0082503E"/>
    <w:rsid w:val="0082514E"/>
    <w:rsid w:val="0082579B"/>
    <w:rsid w:val="008259F8"/>
    <w:rsid w:val="00825A86"/>
    <w:rsid w:val="00825BC4"/>
    <w:rsid w:val="00825DCD"/>
    <w:rsid w:val="008266B5"/>
    <w:rsid w:val="008269B6"/>
    <w:rsid w:val="00826B10"/>
    <w:rsid w:val="00826CCB"/>
    <w:rsid w:val="00827A15"/>
    <w:rsid w:val="008300E4"/>
    <w:rsid w:val="0083044C"/>
    <w:rsid w:val="0083062E"/>
    <w:rsid w:val="00830768"/>
    <w:rsid w:val="00831204"/>
    <w:rsid w:val="00831420"/>
    <w:rsid w:val="0083146A"/>
    <w:rsid w:val="008315F0"/>
    <w:rsid w:val="00831B17"/>
    <w:rsid w:val="00831BAB"/>
    <w:rsid w:val="00831C32"/>
    <w:rsid w:val="00832092"/>
    <w:rsid w:val="008322F4"/>
    <w:rsid w:val="00832A90"/>
    <w:rsid w:val="00832B45"/>
    <w:rsid w:val="00832B52"/>
    <w:rsid w:val="00833080"/>
    <w:rsid w:val="008330B5"/>
    <w:rsid w:val="00833235"/>
    <w:rsid w:val="008333C2"/>
    <w:rsid w:val="0083368B"/>
    <w:rsid w:val="0083375B"/>
    <w:rsid w:val="00833C9C"/>
    <w:rsid w:val="00833E58"/>
    <w:rsid w:val="00833F2F"/>
    <w:rsid w:val="00833FA1"/>
    <w:rsid w:val="00834000"/>
    <w:rsid w:val="00834284"/>
    <w:rsid w:val="0083439F"/>
    <w:rsid w:val="008349A9"/>
    <w:rsid w:val="00834C48"/>
    <w:rsid w:val="00834ECE"/>
    <w:rsid w:val="0083500D"/>
    <w:rsid w:val="0083586F"/>
    <w:rsid w:val="00835B68"/>
    <w:rsid w:val="00835BC1"/>
    <w:rsid w:val="00836496"/>
    <w:rsid w:val="008364B6"/>
    <w:rsid w:val="008367F0"/>
    <w:rsid w:val="00836B97"/>
    <w:rsid w:val="00837189"/>
    <w:rsid w:val="00837192"/>
    <w:rsid w:val="008372BD"/>
    <w:rsid w:val="008372DB"/>
    <w:rsid w:val="00837D9D"/>
    <w:rsid w:val="00837ECA"/>
    <w:rsid w:val="008403A5"/>
    <w:rsid w:val="00840774"/>
    <w:rsid w:val="00840A7E"/>
    <w:rsid w:val="00840AC8"/>
    <w:rsid w:val="00840C2E"/>
    <w:rsid w:val="00841048"/>
    <w:rsid w:val="008411E9"/>
    <w:rsid w:val="00842591"/>
    <w:rsid w:val="0084290E"/>
    <w:rsid w:val="008429B8"/>
    <w:rsid w:val="00842E29"/>
    <w:rsid w:val="0084350B"/>
    <w:rsid w:val="0084379E"/>
    <w:rsid w:val="00843805"/>
    <w:rsid w:val="00843D11"/>
    <w:rsid w:val="0084408A"/>
    <w:rsid w:val="0084409B"/>
    <w:rsid w:val="00844234"/>
    <w:rsid w:val="00844C3B"/>
    <w:rsid w:val="00844CE6"/>
    <w:rsid w:val="00844CED"/>
    <w:rsid w:val="00844DBD"/>
    <w:rsid w:val="00844F24"/>
    <w:rsid w:val="00845460"/>
    <w:rsid w:val="00845643"/>
    <w:rsid w:val="00846808"/>
    <w:rsid w:val="008468DF"/>
    <w:rsid w:val="00846BE9"/>
    <w:rsid w:val="00847171"/>
    <w:rsid w:val="00847184"/>
    <w:rsid w:val="008472F5"/>
    <w:rsid w:val="00847727"/>
    <w:rsid w:val="00847F45"/>
    <w:rsid w:val="00847F51"/>
    <w:rsid w:val="0085013C"/>
    <w:rsid w:val="00850243"/>
    <w:rsid w:val="008502D6"/>
    <w:rsid w:val="008503F7"/>
    <w:rsid w:val="008507FC"/>
    <w:rsid w:val="008508AE"/>
    <w:rsid w:val="00850DFD"/>
    <w:rsid w:val="0085106B"/>
    <w:rsid w:val="008520CD"/>
    <w:rsid w:val="0085211C"/>
    <w:rsid w:val="0085212C"/>
    <w:rsid w:val="00852DCF"/>
    <w:rsid w:val="008535E9"/>
    <w:rsid w:val="0085372B"/>
    <w:rsid w:val="008537F4"/>
    <w:rsid w:val="00853934"/>
    <w:rsid w:val="00853D08"/>
    <w:rsid w:val="008540C8"/>
    <w:rsid w:val="0085483B"/>
    <w:rsid w:val="008548C9"/>
    <w:rsid w:val="008549AC"/>
    <w:rsid w:val="00854B8A"/>
    <w:rsid w:val="00854BDF"/>
    <w:rsid w:val="00855039"/>
    <w:rsid w:val="0085552F"/>
    <w:rsid w:val="00855858"/>
    <w:rsid w:val="00856104"/>
    <w:rsid w:val="00856433"/>
    <w:rsid w:val="008565D6"/>
    <w:rsid w:val="008566A8"/>
    <w:rsid w:val="00856751"/>
    <w:rsid w:val="00857165"/>
    <w:rsid w:val="0085746C"/>
    <w:rsid w:val="0085759A"/>
    <w:rsid w:val="00857A69"/>
    <w:rsid w:val="00857E07"/>
    <w:rsid w:val="00860315"/>
    <w:rsid w:val="0086039B"/>
    <w:rsid w:val="0086050B"/>
    <w:rsid w:val="008609AA"/>
    <w:rsid w:val="00860A9B"/>
    <w:rsid w:val="0086122C"/>
    <w:rsid w:val="0086145D"/>
    <w:rsid w:val="00861D1E"/>
    <w:rsid w:val="00861F09"/>
    <w:rsid w:val="008620E8"/>
    <w:rsid w:val="00862148"/>
    <w:rsid w:val="00862451"/>
    <w:rsid w:val="00862878"/>
    <w:rsid w:val="00862917"/>
    <w:rsid w:val="00862942"/>
    <w:rsid w:val="00862990"/>
    <w:rsid w:val="00862E8D"/>
    <w:rsid w:val="008636FA"/>
    <w:rsid w:val="008639A7"/>
    <w:rsid w:val="00863B2C"/>
    <w:rsid w:val="00863BC6"/>
    <w:rsid w:val="00864032"/>
    <w:rsid w:val="00864545"/>
    <w:rsid w:val="00864F6D"/>
    <w:rsid w:val="0086505F"/>
    <w:rsid w:val="008651F8"/>
    <w:rsid w:val="00865A91"/>
    <w:rsid w:val="00866347"/>
    <w:rsid w:val="008664FD"/>
    <w:rsid w:val="00866640"/>
    <w:rsid w:val="00866777"/>
    <w:rsid w:val="00866805"/>
    <w:rsid w:val="008679A3"/>
    <w:rsid w:val="008679E1"/>
    <w:rsid w:val="0087007E"/>
    <w:rsid w:val="008703F2"/>
    <w:rsid w:val="00870534"/>
    <w:rsid w:val="00870745"/>
    <w:rsid w:val="00870955"/>
    <w:rsid w:val="008718C0"/>
    <w:rsid w:val="00871B8D"/>
    <w:rsid w:val="00871F2A"/>
    <w:rsid w:val="008726E6"/>
    <w:rsid w:val="008727A3"/>
    <w:rsid w:val="00872ADA"/>
    <w:rsid w:val="0087308A"/>
    <w:rsid w:val="00873606"/>
    <w:rsid w:val="008739DD"/>
    <w:rsid w:val="00873F08"/>
    <w:rsid w:val="00874092"/>
    <w:rsid w:val="00874FD6"/>
    <w:rsid w:val="008752BD"/>
    <w:rsid w:val="00875464"/>
    <w:rsid w:val="008757C6"/>
    <w:rsid w:val="00875839"/>
    <w:rsid w:val="00875B87"/>
    <w:rsid w:val="00875EA4"/>
    <w:rsid w:val="008760ED"/>
    <w:rsid w:val="00876519"/>
    <w:rsid w:val="00876677"/>
    <w:rsid w:val="0087681E"/>
    <w:rsid w:val="00876A41"/>
    <w:rsid w:val="00876AE2"/>
    <w:rsid w:val="00876C4F"/>
    <w:rsid w:val="0087743A"/>
    <w:rsid w:val="00877A37"/>
    <w:rsid w:val="00877A99"/>
    <w:rsid w:val="00877D2E"/>
    <w:rsid w:val="00877D9F"/>
    <w:rsid w:val="00877DC8"/>
    <w:rsid w:val="00877EF6"/>
    <w:rsid w:val="00877F47"/>
    <w:rsid w:val="00877FA9"/>
    <w:rsid w:val="00877FAE"/>
    <w:rsid w:val="00877FE3"/>
    <w:rsid w:val="008804EB"/>
    <w:rsid w:val="00880711"/>
    <w:rsid w:val="008808DD"/>
    <w:rsid w:val="00880AAC"/>
    <w:rsid w:val="00880C24"/>
    <w:rsid w:val="00880DBF"/>
    <w:rsid w:val="0088165C"/>
    <w:rsid w:val="008824B8"/>
    <w:rsid w:val="008827A5"/>
    <w:rsid w:val="0088339B"/>
    <w:rsid w:val="00883433"/>
    <w:rsid w:val="008842BC"/>
    <w:rsid w:val="008843C0"/>
    <w:rsid w:val="00884ED0"/>
    <w:rsid w:val="00885604"/>
    <w:rsid w:val="00885622"/>
    <w:rsid w:val="00885690"/>
    <w:rsid w:val="00885D96"/>
    <w:rsid w:val="00885EEF"/>
    <w:rsid w:val="0088612E"/>
    <w:rsid w:val="008868E4"/>
    <w:rsid w:val="0088692A"/>
    <w:rsid w:val="00886F2D"/>
    <w:rsid w:val="008871C2"/>
    <w:rsid w:val="00887805"/>
    <w:rsid w:val="00887858"/>
    <w:rsid w:val="00887946"/>
    <w:rsid w:val="00887968"/>
    <w:rsid w:val="008879D2"/>
    <w:rsid w:val="00887A6E"/>
    <w:rsid w:val="00887C48"/>
    <w:rsid w:val="00887DCC"/>
    <w:rsid w:val="00887E31"/>
    <w:rsid w:val="0089001E"/>
    <w:rsid w:val="0089006E"/>
    <w:rsid w:val="00890230"/>
    <w:rsid w:val="00890411"/>
    <w:rsid w:val="00890545"/>
    <w:rsid w:val="008905D5"/>
    <w:rsid w:val="008908AB"/>
    <w:rsid w:val="00890B78"/>
    <w:rsid w:val="008912B2"/>
    <w:rsid w:val="008913F5"/>
    <w:rsid w:val="00891474"/>
    <w:rsid w:val="00891587"/>
    <w:rsid w:val="008915AD"/>
    <w:rsid w:val="00891C35"/>
    <w:rsid w:val="00891DC9"/>
    <w:rsid w:val="00891F27"/>
    <w:rsid w:val="00891FD1"/>
    <w:rsid w:val="00892C5D"/>
    <w:rsid w:val="00892EE3"/>
    <w:rsid w:val="00893B02"/>
    <w:rsid w:val="00894057"/>
    <w:rsid w:val="00894DC6"/>
    <w:rsid w:val="00894EB9"/>
    <w:rsid w:val="00894FDB"/>
    <w:rsid w:val="008951A2"/>
    <w:rsid w:val="008955D5"/>
    <w:rsid w:val="00895E02"/>
    <w:rsid w:val="00895F48"/>
    <w:rsid w:val="008961D8"/>
    <w:rsid w:val="00896297"/>
    <w:rsid w:val="008962F9"/>
    <w:rsid w:val="008966D1"/>
    <w:rsid w:val="00896835"/>
    <w:rsid w:val="0089698F"/>
    <w:rsid w:val="00896EB3"/>
    <w:rsid w:val="00897067"/>
    <w:rsid w:val="0089727C"/>
    <w:rsid w:val="008973BD"/>
    <w:rsid w:val="00897A28"/>
    <w:rsid w:val="00897F09"/>
    <w:rsid w:val="008A0502"/>
    <w:rsid w:val="008A0638"/>
    <w:rsid w:val="008A094D"/>
    <w:rsid w:val="008A1070"/>
    <w:rsid w:val="008A15DF"/>
    <w:rsid w:val="008A1DA0"/>
    <w:rsid w:val="008A28CC"/>
    <w:rsid w:val="008A32AC"/>
    <w:rsid w:val="008A3303"/>
    <w:rsid w:val="008A390F"/>
    <w:rsid w:val="008A3CE3"/>
    <w:rsid w:val="008A4309"/>
    <w:rsid w:val="008A43F9"/>
    <w:rsid w:val="008A4722"/>
    <w:rsid w:val="008A4D86"/>
    <w:rsid w:val="008A54B1"/>
    <w:rsid w:val="008A5972"/>
    <w:rsid w:val="008A5A96"/>
    <w:rsid w:val="008A5ACE"/>
    <w:rsid w:val="008A5EF4"/>
    <w:rsid w:val="008A66A9"/>
    <w:rsid w:val="008A673E"/>
    <w:rsid w:val="008A6914"/>
    <w:rsid w:val="008A6BFD"/>
    <w:rsid w:val="008A6E5B"/>
    <w:rsid w:val="008A6F0D"/>
    <w:rsid w:val="008A72B4"/>
    <w:rsid w:val="008A782C"/>
    <w:rsid w:val="008B0191"/>
    <w:rsid w:val="008B03F0"/>
    <w:rsid w:val="008B0467"/>
    <w:rsid w:val="008B0E4F"/>
    <w:rsid w:val="008B1515"/>
    <w:rsid w:val="008B1603"/>
    <w:rsid w:val="008B17E4"/>
    <w:rsid w:val="008B1A59"/>
    <w:rsid w:val="008B239F"/>
    <w:rsid w:val="008B26F0"/>
    <w:rsid w:val="008B2980"/>
    <w:rsid w:val="008B29F9"/>
    <w:rsid w:val="008B2AFF"/>
    <w:rsid w:val="008B2CE3"/>
    <w:rsid w:val="008B2FA7"/>
    <w:rsid w:val="008B3079"/>
    <w:rsid w:val="008B30B2"/>
    <w:rsid w:val="008B30DB"/>
    <w:rsid w:val="008B330F"/>
    <w:rsid w:val="008B359E"/>
    <w:rsid w:val="008B390C"/>
    <w:rsid w:val="008B41A9"/>
    <w:rsid w:val="008B4512"/>
    <w:rsid w:val="008B4530"/>
    <w:rsid w:val="008B49A3"/>
    <w:rsid w:val="008B5176"/>
    <w:rsid w:val="008B5494"/>
    <w:rsid w:val="008B5884"/>
    <w:rsid w:val="008B5F93"/>
    <w:rsid w:val="008B61AC"/>
    <w:rsid w:val="008B6362"/>
    <w:rsid w:val="008B644D"/>
    <w:rsid w:val="008B6F38"/>
    <w:rsid w:val="008B70F9"/>
    <w:rsid w:val="008B7456"/>
    <w:rsid w:val="008B747F"/>
    <w:rsid w:val="008B766C"/>
    <w:rsid w:val="008B7AEC"/>
    <w:rsid w:val="008B7AF4"/>
    <w:rsid w:val="008B7F81"/>
    <w:rsid w:val="008C009C"/>
    <w:rsid w:val="008C0A31"/>
    <w:rsid w:val="008C0B65"/>
    <w:rsid w:val="008C0BC9"/>
    <w:rsid w:val="008C1078"/>
    <w:rsid w:val="008C11C1"/>
    <w:rsid w:val="008C127C"/>
    <w:rsid w:val="008C12FC"/>
    <w:rsid w:val="008C1487"/>
    <w:rsid w:val="008C1A8B"/>
    <w:rsid w:val="008C1F94"/>
    <w:rsid w:val="008C2237"/>
    <w:rsid w:val="008C2680"/>
    <w:rsid w:val="008C27B0"/>
    <w:rsid w:val="008C2F8C"/>
    <w:rsid w:val="008C3207"/>
    <w:rsid w:val="008C34FE"/>
    <w:rsid w:val="008C3662"/>
    <w:rsid w:val="008C3F05"/>
    <w:rsid w:val="008C4270"/>
    <w:rsid w:val="008C4388"/>
    <w:rsid w:val="008C47E6"/>
    <w:rsid w:val="008C4A7D"/>
    <w:rsid w:val="008C4C5F"/>
    <w:rsid w:val="008C4D34"/>
    <w:rsid w:val="008C4E2D"/>
    <w:rsid w:val="008C4EE4"/>
    <w:rsid w:val="008C521C"/>
    <w:rsid w:val="008C534A"/>
    <w:rsid w:val="008C53F0"/>
    <w:rsid w:val="008C567B"/>
    <w:rsid w:val="008C5706"/>
    <w:rsid w:val="008C578A"/>
    <w:rsid w:val="008C59FE"/>
    <w:rsid w:val="008C5D1D"/>
    <w:rsid w:val="008C5FD0"/>
    <w:rsid w:val="008C641F"/>
    <w:rsid w:val="008C71E9"/>
    <w:rsid w:val="008C787A"/>
    <w:rsid w:val="008C7A6D"/>
    <w:rsid w:val="008C7B7B"/>
    <w:rsid w:val="008C7DB4"/>
    <w:rsid w:val="008C7DE5"/>
    <w:rsid w:val="008C7E6F"/>
    <w:rsid w:val="008D01E8"/>
    <w:rsid w:val="008D05EB"/>
    <w:rsid w:val="008D07E4"/>
    <w:rsid w:val="008D0871"/>
    <w:rsid w:val="008D0B39"/>
    <w:rsid w:val="008D0BC8"/>
    <w:rsid w:val="008D0E95"/>
    <w:rsid w:val="008D10FD"/>
    <w:rsid w:val="008D13E2"/>
    <w:rsid w:val="008D197F"/>
    <w:rsid w:val="008D1AAE"/>
    <w:rsid w:val="008D1E87"/>
    <w:rsid w:val="008D2107"/>
    <w:rsid w:val="008D2388"/>
    <w:rsid w:val="008D23B5"/>
    <w:rsid w:val="008D240C"/>
    <w:rsid w:val="008D2C48"/>
    <w:rsid w:val="008D30B8"/>
    <w:rsid w:val="008D3291"/>
    <w:rsid w:val="008D3358"/>
    <w:rsid w:val="008D3C77"/>
    <w:rsid w:val="008D3FC5"/>
    <w:rsid w:val="008D429B"/>
    <w:rsid w:val="008D49E1"/>
    <w:rsid w:val="008D4B05"/>
    <w:rsid w:val="008D4B25"/>
    <w:rsid w:val="008D4B82"/>
    <w:rsid w:val="008D4C82"/>
    <w:rsid w:val="008D5168"/>
    <w:rsid w:val="008D51D9"/>
    <w:rsid w:val="008D54E9"/>
    <w:rsid w:val="008D5B71"/>
    <w:rsid w:val="008D5C40"/>
    <w:rsid w:val="008D5D89"/>
    <w:rsid w:val="008D5ECD"/>
    <w:rsid w:val="008D6199"/>
    <w:rsid w:val="008D653F"/>
    <w:rsid w:val="008D65AD"/>
    <w:rsid w:val="008D6B03"/>
    <w:rsid w:val="008D7610"/>
    <w:rsid w:val="008D780A"/>
    <w:rsid w:val="008D797D"/>
    <w:rsid w:val="008D7D0A"/>
    <w:rsid w:val="008D7D62"/>
    <w:rsid w:val="008E0182"/>
    <w:rsid w:val="008E024F"/>
    <w:rsid w:val="008E02DF"/>
    <w:rsid w:val="008E06A2"/>
    <w:rsid w:val="008E0B26"/>
    <w:rsid w:val="008E0D56"/>
    <w:rsid w:val="008E0F61"/>
    <w:rsid w:val="008E1046"/>
    <w:rsid w:val="008E11F5"/>
    <w:rsid w:val="008E1401"/>
    <w:rsid w:val="008E1E5B"/>
    <w:rsid w:val="008E22E4"/>
    <w:rsid w:val="008E2492"/>
    <w:rsid w:val="008E2A6C"/>
    <w:rsid w:val="008E2DB7"/>
    <w:rsid w:val="008E2E60"/>
    <w:rsid w:val="008E2F99"/>
    <w:rsid w:val="008E3193"/>
    <w:rsid w:val="008E31D3"/>
    <w:rsid w:val="008E3559"/>
    <w:rsid w:val="008E3CCF"/>
    <w:rsid w:val="008E3ED7"/>
    <w:rsid w:val="008E429A"/>
    <w:rsid w:val="008E435F"/>
    <w:rsid w:val="008E48EC"/>
    <w:rsid w:val="008E4D29"/>
    <w:rsid w:val="008E4EBE"/>
    <w:rsid w:val="008E4F56"/>
    <w:rsid w:val="008E57C2"/>
    <w:rsid w:val="008E5BD0"/>
    <w:rsid w:val="008E5CC5"/>
    <w:rsid w:val="008E5CDE"/>
    <w:rsid w:val="008E5E03"/>
    <w:rsid w:val="008E67F9"/>
    <w:rsid w:val="008E6A5B"/>
    <w:rsid w:val="008E6B41"/>
    <w:rsid w:val="008E6D02"/>
    <w:rsid w:val="008E6EB8"/>
    <w:rsid w:val="008E7931"/>
    <w:rsid w:val="008E7C17"/>
    <w:rsid w:val="008E7DCD"/>
    <w:rsid w:val="008F02BE"/>
    <w:rsid w:val="008F05AB"/>
    <w:rsid w:val="008F05DF"/>
    <w:rsid w:val="008F0A4A"/>
    <w:rsid w:val="008F0B1D"/>
    <w:rsid w:val="008F0C25"/>
    <w:rsid w:val="008F0EFD"/>
    <w:rsid w:val="008F14C2"/>
    <w:rsid w:val="008F187D"/>
    <w:rsid w:val="008F1959"/>
    <w:rsid w:val="008F1BF6"/>
    <w:rsid w:val="008F232A"/>
    <w:rsid w:val="008F2382"/>
    <w:rsid w:val="008F2565"/>
    <w:rsid w:val="008F2812"/>
    <w:rsid w:val="008F2831"/>
    <w:rsid w:val="008F2929"/>
    <w:rsid w:val="008F32C3"/>
    <w:rsid w:val="008F4B99"/>
    <w:rsid w:val="008F4D4F"/>
    <w:rsid w:val="008F4F7C"/>
    <w:rsid w:val="008F57AD"/>
    <w:rsid w:val="008F5B06"/>
    <w:rsid w:val="008F5B0E"/>
    <w:rsid w:val="008F5C3A"/>
    <w:rsid w:val="008F5EAB"/>
    <w:rsid w:val="008F5FFD"/>
    <w:rsid w:val="008F6135"/>
    <w:rsid w:val="008F646A"/>
    <w:rsid w:val="008F6910"/>
    <w:rsid w:val="008F6BEE"/>
    <w:rsid w:val="008F6C4C"/>
    <w:rsid w:val="008F6C5F"/>
    <w:rsid w:val="008F6CC7"/>
    <w:rsid w:val="008F6DF8"/>
    <w:rsid w:val="008F6ED6"/>
    <w:rsid w:val="008F71BF"/>
    <w:rsid w:val="008F752A"/>
    <w:rsid w:val="008F7635"/>
    <w:rsid w:val="008F7687"/>
    <w:rsid w:val="008F7916"/>
    <w:rsid w:val="008F79EA"/>
    <w:rsid w:val="008F7A09"/>
    <w:rsid w:val="008F7A5E"/>
    <w:rsid w:val="008F7ED3"/>
    <w:rsid w:val="009003B9"/>
    <w:rsid w:val="0090067F"/>
    <w:rsid w:val="0090089D"/>
    <w:rsid w:val="00900A37"/>
    <w:rsid w:val="00900C69"/>
    <w:rsid w:val="00901062"/>
    <w:rsid w:val="009010EA"/>
    <w:rsid w:val="009015E7"/>
    <w:rsid w:val="009017D1"/>
    <w:rsid w:val="009018BB"/>
    <w:rsid w:val="00901D35"/>
    <w:rsid w:val="00901EFA"/>
    <w:rsid w:val="00901F7B"/>
    <w:rsid w:val="0090201C"/>
    <w:rsid w:val="00902B7C"/>
    <w:rsid w:val="00902E75"/>
    <w:rsid w:val="00902EF2"/>
    <w:rsid w:val="0090352E"/>
    <w:rsid w:val="00903B38"/>
    <w:rsid w:val="00903B50"/>
    <w:rsid w:val="00903F69"/>
    <w:rsid w:val="0090423F"/>
    <w:rsid w:val="00904874"/>
    <w:rsid w:val="00904AE8"/>
    <w:rsid w:val="00904B6E"/>
    <w:rsid w:val="00904E6F"/>
    <w:rsid w:val="00904EF4"/>
    <w:rsid w:val="00906160"/>
    <w:rsid w:val="00906B46"/>
    <w:rsid w:val="00906DDC"/>
    <w:rsid w:val="00907033"/>
    <w:rsid w:val="0090714A"/>
    <w:rsid w:val="00907728"/>
    <w:rsid w:val="00907898"/>
    <w:rsid w:val="00907E99"/>
    <w:rsid w:val="009104DF"/>
    <w:rsid w:val="0091079C"/>
    <w:rsid w:val="00910D96"/>
    <w:rsid w:val="00911190"/>
    <w:rsid w:val="00911282"/>
    <w:rsid w:val="0091139D"/>
    <w:rsid w:val="009115E8"/>
    <w:rsid w:val="00911724"/>
    <w:rsid w:val="00911817"/>
    <w:rsid w:val="009119C0"/>
    <w:rsid w:val="00911A7F"/>
    <w:rsid w:val="00911AEC"/>
    <w:rsid w:val="00911B3D"/>
    <w:rsid w:val="00911B5F"/>
    <w:rsid w:val="00911BE6"/>
    <w:rsid w:val="00911C05"/>
    <w:rsid w:val="00911ED1"/>
    <w:rsid w:val="0091214E"/>
    <w:rsid w:val="0091289D"/>
    <w:rsid w:val="00912B42"/>
    <w:rsid w:val="00912EE9"/>
    <w:rsid w:val="00912FA8"/>
    <w:rsid w:val="00913388"/>
    <w:rsid w:val="009133C8"/>
    <w:rsid w:val="009133CF"/>
    <w:rsid w:val="009134F5"/>
    <w:rsid w:val="009136D8"/>
    <w:rsid w:val="00913CE4"/>
    <w:rsid w:val="00914119"/>
    <w:rsid w:val="009142A0"/>
    <w:rsid w:val="00914605"/>
    <w:rsid w:val="009149A6"/>
    <w:rsid w:val="00914A3C"/>
    <w:rsid w:val="00914C16"/>
    <w:rsid w:val="00914FC3"/>
    <w:rsid w:val="00915078"/>
    <w:rsid w:val="00915100"/>
    <w:rsid w:val="00915620"/>
    <w:rsid w:val="009160AC"/>
    <w:rsid w:val="009162AB"/>
    <w:rsid w:val="00916A12"/>
    <w:rsid w:val="00916AF3"/>
    <w:rsid w:val="00916CBF"/>
    <w:rsid w:val="00917690"/>
    <w:rsid w:val="00917709"/>
    <w:rsid w:val="00917A16"/>
    <w:rsid w:val="00917FA2"/>
    <w:rsid w:val="009200F3"/>
    <w:rsid w:val="00920280"/>
    <w:rsid w:val="00920699"/>
    <w:rsid w:val="00920CFF"/>
    <w:rsid w:val="00920DF5"/>
    <w:rsid w:val="00921083"/>
    <w:rsid w:val="009213C1"/>
    <w:rsid w:val="009213F8"/>
    <w:rsid w:val="00921849"/>
    <w:rsid w:val="00921980"/>
    <w:rsid w:val="00921C38"/>
    <w:rsid w:val="00921D9A"/>
    <w:rsid w:val="00921E90"/>
    <w:rsid w:val="00922057"/>
    <w:rsid w:val="009220BE"/>
    <w:rsid w:val="009229DD"/>
    <w:rsid w:val="00922DA7"/>
    <w:rsid w:val="00922FCF"/>
    <w:rsid w:val="009233AE"/>
    <w:rsid w:val="009236A3"/>
    <w:rsid w:val="00923758"/>
    <w:rsid w:val="00923841"/>
    <w:rsid w:val="00923C8F"/>
    <w:rsid w:val="0092401B"/>
    <w:rsid w:val="00924151"/>
    <w:rsid w:val="009243D9"/>
    <w:rsid w:val="0092459D"/>
    <w:rsid w:val="009246CF"/>
    <w:rsid w:val="009246F3"/>
    <w:rsid w:val="0092470F"/>
    <w:rsid w:val="0092496F"/>
    <w:rsid w:val="00924C78"/>
    <w:rsid w:val="00924D9B"/>
    <w:rsid w:val="00924FD4"/>
    <w:rsid w:val="00925047"/>
    <w:rsid w:val="00925DC7"/>
    <w:rsid w:val="009263F1"/>
    <w:rsid w:val="009267D6"/>
    <w:rsid w:val="00926FC6"/>
    <w:rsid w:val="00927AF3"/>
    <w:rsid w:val="00927E00"/>
    <w:rsid w:val="00930153"/>
    <w:rsid w:val="009301C1"/>
    <w:rsid w:val="009305C4"/>
    <w:rsid w:val="009306B5"/>
    <w:rsid w:val="009306C5"/>
    <w:rsid w:val="00930782"/>
    <w:rsid w:val="009309A8"/>
    <w:rsid w:val="00930A33"/>
    <w:rsid w:val="00930A8D"/>
    <w:rsid w:val="00930B7D"/>
    <w:rsid w:val="009313A3"/>
    <w:rsid w:val="009315C1"/>
    <w:rsid w:val="00931932"/>
    <w:rsid w:val="00931A55"/>
    <w:rsid w:val="00932187"/>
    <w:rsid w:val="009322BF"/>
    <w:rsid w:val="00932304"/>
    <w:rsid w:val="00932465"/>
    <w:rsid w:val="00932890"/>
    <w:rsid w:val="00932CB7"/>
    <w:rsid w:val="00932D12"/>
    <w:rsid w:val="00932E50"/>
    <w:rsid w:val="00932FEE"/>
    <w:rsid w:val="009330A6"/>
    <w:rsid w:val="0093344F"/>
    <w:rsid w:val="00933709"/>
    <w:rsid w:val="00933C7F"/>
    <w:rsid w:val="00933CCD"/>
    <w:rsid w:val="00933D20"/>
    <w:rsid w:val="00934A14"/>
    <w:rsid w:val="00934B33"/>
    <w:rsid w:val="00934E33"/>
    <w:rsid w:val="009353BA"/>
    <w:rsid w:val="0093551A"/>
    <w:rsid w:val="00935A07"/>
    <w:rsid w:val="00935A2E"/>
    <w:rsid w:val="00935CC1"/>
    <w:rsid w:val="00935D2A"/>
    <w:rsid w:val="00936616"/>
    <w:rsid w:val="0093678B"/>
    <w:rsid w:val="00936F8C"/>
    <w:rsid w:val="0093765E"/>
    <w:rsid w:val="00937BDE"/>
    <w:rsid w:val="00937E95"/>
    <w:rsid w:val="00940A70"/>
    <w:rsid w:val="00941145"/>
    <w:rsid w:val="00941151"/>
    <w:rsid w:val="00941187"/>
    <w:rsid w:val="00941DE7"/>
    <w:rsid w:val="0094228F"/>
    <w:rsid w:val="009428D9"/>
    <w:rsid w:val="009429A3"/>
    <w:rsid w:val="00942A1A"/>
    <w:rsid w:val="00942A33"/>
    <w:rsid w:val="00942F6D"/>
    <w:rsid w:val="0094373F"/>
    <w:rsid w:val="00943E43"/>
    <w:rsid w:val="00943E47"/>
    <w:rsid w:val="00943E5E"/>
    <w:rsid w:val="00944158"/>
    <w:rsid w:val="0094444C"/>
    <w:rsid w:val="009449F2"/>
    <w:rsid w:val="00944D1D"/>
    <w:rsid w:val="00944EFB"/>
    <w:rsid w:val="00945270"/>
    <w:rsid w:val="0094555F"/>
    <w:rsid w:val="009456C2"/>
    <w:rsid w:val="00945BF5"/>
    <w:rsid w:val="00945D5E"/>
    <w:rsid w:val="00945DA6"/>
    <w:rsid w:val="00946278"/>
    <w:rsid w:val="0094628A"/>
    <w:rsid w:val="009462CF"/>
    <w:rsid w:val="0094633A"/>
    <w:rsid w:val="0094670F"/>
    <w:rsid w:val="00947783"/>
    <w:rsid w:val="00947B36"/>
    <w:rsid w:val="00947C98"/>
    <w:rsid w:val="009501F2"/>
    <w:rsid w:val="009517BB"/>
    <w:rsid w:val="00951C66"/>
    <w:rsid w:val="00951EB3"/>
    <w:rsid w:val="00952389"/>
    <w:rsid w:val="009526DC"/>
    <w:rsid w:val="00952849"/>
    <w:rsid w:val="00952C6F"/>
    <w:rsid w:val="00952F3C"/>
    <w:rsid w:val="0095323A"/>
    <w:rsid w:val="00953263"/>
    <w:rsid w:val="009532AF"/>
    <w:rsid w:val="0095374D"/>
    <w:rsid w:val="00953950"/>
    <w:rsid w:val="00953A8B"/>
    <w:rsid w:val="00953C96"/>
    <w:rsid w:val="00954025"/>
    <w:rsid w:val="0095409B"/>
    <w:rsid w:val="00954685"/>
    <w:rsid w:val="009549AB"/>
    <w:rsid w:val="00955A6B"/>
    <w:rsid w:val="00955C83"/>
    <w:rsid w:val="00955C92"/>
    <w:rsid w:val="00955F59"/>
    <w:rsid w:val="00955FA0"/>
    <w:rsid w:val="00955FFA"/>
    <w:rsid w:val="00956336"/>
    <w:rsid w:val="009563C9"/>
    <w:rsid w:val="009569E5"/>
    <w:rsid w:val="00956B2B"/>
    <w:rsid w:val="00956BC5"/>
    <w:rsid w:val="00956E87"/>
    <w:rsid w:val="009574CF"/>
    <w:rsid w:val="00957509"/>
    <w:rsid w:val="0095767E"/>
    <w:rsid w:val="009577A1"/>
    <w:rsid w:val="00957D68"/>
    <w:rsid w:val="00957DBD"/>
    <w:rsid w:val="009600BD"/>
    <w:rsid w:val="009605D5"/>
    <w:rsid w:val="00960A30"/>
    <w:rsid w:val="009612E3"/>
    <w:rsid w:val="0096146A"/>
    <w:rsid w:val="00961541"/>
    <w:rsid w:val="0096158C"/>
    <w:rsid w:val="009617D8"/>
    <w:rsid w:val="00961A9C"/>
    <w:rsid w:val="00961B9B"/>
    <w:rsid w:val="009625B8"/>
    <w:rsid w:val="00962651"/>
    <w:rsid w:val="0096283F"/>
    <w:rsid w:val="0096295C"/>
    <w:rsid w:val="00962A02"/>
    <w:rsid w:val="00962B02"/>
    <w:rsid w:val="00962CF5"/>
    <w:rsid w:val="00962F9D"/>
    <w:rsid w:val="00963029"/>
    <w:rsid w:val="009632E9"/>
    <w:rsid w:val="0096331D"/>
    <w:rsid w:val="009633C3"/>
    <w:rsid w:val="00963607"/>
    <w:rsid w:val="00963776"/>
    <w:rsid w:val="00963E9A"/>
    <w:rsid w:val="009642E8"/>
    <w:rsid w:val="009643F8"/>
    <w:rsid w:val="009644F5"/>
    <w:rsid w:val="00964C3B"/>
    <w:rsid w:val="00964C91"/>
    <w:rsid w:val="00965422"/>
    <w:rsid w:val="00965514"/>
    <w:rsid w:val="00965951"/>
    <w:rsid w:val="00965BDA"/>
    <w:rsid w:val="00965C86"/>
    <w:rsid w:val="00966829"/>
    <w:rsid w:val="00966B0D"/>
    <w:rsid w:val="00966C2D"/>
    <w:rsid w:val="00966E40"/>
    <w:rsid w:val="009673D9"/>
    <w:rsid w:val="00967595"/>
    <w:rsid w:val="0096770A"/>
    <w:rsid w:val="009679A2"/>
    <w:rsid w:val="00967CB5"/>
    <w:rsid w:val="00967CC1"/>
    <w:rsid w:val="00967DC6"/>
    <w:rsid w:val="00970331"/>
    <w:rsid w:val="00970448"/>
    <w:rsid w:val="00970480"/>
    <w:rsid w:val="00970687"/>
    <w:rsid w:val="00970934"/>
    <w:rsid w:val="00970C8B"/>
    <w:rsid w:val="00970E84"/>
    <w:rsid w:val="0097101B"/>
    <w:rsid w:val="0097132A"/>
    <w:rsid w:val="00971683"/>
    <w:rsid w:val="00971860"/>
    <w:rsid w:val="00971ABA"/>
    <w:rsid w:val="00971D25"/>
    <w:rsid w:val="00972ABA"/>
    <w:rsid w:val="00972CC8"/>
    <w:rsid w:val="009732FE"/>
    <w:rsid w:val="0097344F"/>
    <w:rsid w:val="009734EF"/>
    <w:rsid w:val="00973640"/>
    <w:rsid w:val="009736F6"/>
    <w:rsid w:val="009738D2"/>
    <w:rsid w:val="0097401B"/>
    <w:rsid w:val="009740CD"/>
    <w:rsid w:val="00974847"/>
    <w:rsid w:val="00974897"/>
    <w:rsid w:val="00974C10"/>
    <w:rsid w:val="00974D29"/>
    <w:rsid w:val="00974F00"/>
    <w:rsid w:val="00974F4F"/>
    <w:rsid w:val="009753F5"/>
    <w:rsid w:val="0097592D"/>
    <w:rsid w:val="00975B4D"/>
    <w:rsid w:val="009766F9"/>
    <w:rsid w:val="00976CB5"/>
    <w:rsid w:val="00976F2F"/>
    <w:rsid w:val="009802DE"/>
    <w:rsid w:val="009804B5"/>
    <w:rsid w:val="00980565"/>
    <w:rsid w:val="009805C2"/>
    <w:rsid w:val="009807C7"/>
    <w:rsid w:val="00980A0C"/>
    <w:rsid w:val="009811B8"/>
    <w:rsid w:val="00981A47"/>
    <w:rsid w:val="009825A2"/>
    <w:rsid w:val="00982DA6"/>
    <w:rsid w:val="0098326E"/>
    <w:rsid w:val="009836AB"/>
    <w:rsid w:val="009837ED"/>
    <w:rsid w:val="00983B00"/>
    <w:rsid w:val="00983BE6"/>
    <w:rsid w:val="00983F04"/>
    <w:rsid w:val="009845E3"/>
    <w:rsid w:val="009849A4"/>
    <w:rsid w:val="00984BAB"/>
    <w:rsid w:val="00984E39"/>
    <w:rsid w:val="00984E75"/>
    <w:rsid w:val="00985230"/>
    <w:rsid w:val="009857AA"/>
    <w:rsid w:val="00985FFB"/>
    <w:rsid w:val="00986326"/>
    <w:rsid w:val="00986E98"/>
    <w:rsid w:val="009870ED"/>
    <w:rsid w:val="00987140"/>
    <w:rsid w:val="00987175"/>
    <w:rsid w:val="00987578"/>
    <w:rsid w:val="0098782F"/>
    <w:rsid w:val="00987BC9"/>
    <w:rsid w:val="00987ED8"/>
    <w:rsid w:val="0099057F"/>
    <w:rsid w:val="009905D0"/>
    <w:rsid w:val="00990B94"/>
    <w:rsid w:val="00990C4F"/>
    <w:rsid w:val="00990CBD"/>
    <w:rsid w:val="00990CD6"/>
    <w:rsid w:val="00991092"/>
    <w:rsid w:val="0099127D"/>
    <w:rsid w:val="009912BC"/>
    <w:rsid w:val="009912D3"/>
    <w:rsid w:val="00991300"/>
    <w:rsid w:val="00991A83"/>
    <w:rsid w:val="00991D4A"/>
    <w:rsid w:val="00991EB5"/>
    <w:rsid w:val="00991FF0"/>
    <w:rsid w:val="00992160"/>
    <w:rsid w:val="009925CD"/>
    <w:rsid w:val="00992C89"/>
    <w:rsid w:val="009931D0"/>
    <w:rsid w:val="0099325A"/>
    <w:rsid w:val="00993EC4"/>
    <w:rsid w:val="009942BA"/>
    <w:rsid w:val="00994395"/>
    <w:rsid w:val="00994507"/>
    <w:rsid w:val="009950DA"/>
    <w:rsid w:val="009951DE"/>
    <w:rsid w:val="0099546E"/>
    <w:rsid w:val="009955CF"/>
    <w:rsid w:val="00995D20"/>
    <w:rsid w:val="00995E1E"/>
    <w:rsid w:val="00996581"/>
    <w:rsid w:val="00996C28"/>
    <w:rsid w:val="00996FC8"/>
    <w:rsid w:val="00997278"/>
    <w:rsid w:val="00997450"/>
    <w:rsid w:val="00997730"/>
    <w:rsid w:val="0099793B"/>
    <w:rsid w:val="00997E31"/>
    <w:rsid w:val="009A00F2"/>
    <w:rsid w:val="009A03DC"/>
    <w:rsid w:val="009A0546"/>
    <w:rsid w:val="009A0705"/>
    <w:rsid w:val="009A0930"/>
    <w:rsid w:val="009A0A7D"/>
    <w:rsid w:val="009A0D56"/>
    <w:rsid w:val="009A12B4"/>
    <w:rsid w:val="009A153A"/>
    <w:rsid w:val="009A194A"/>
    <w:rsid w:val="009A19E9"/>
    <w:rsid w:val="009A1E2C"/>
    <w:rsid w:val="009A1E9A"/>
    <w:rsid w:val="009A1F06"/>
    <w:rsid w:val="009A1F1F"/>
    <w:rsid w:val="009A26A4"/>
    <w:rsid w:val="009A28DF"/>
    <w:rsid w:val="009A29F9"/>
    <w:rsid w:val="009A2F47"/>
    <w:rsid w:val="009A3120"/>
    <w:rsid w:val="009A34F4"/>
    <w:rsid w:val="009A36A2"/>
    <w:rsid w:val="009A36FB"/>
    <w:rsid w:val="009A378B"/>
    <w:rsid w:val="009A3957"/>
    <w:rsid w:val="009A45E8"/>
    <w:rsid w:val="009A4BD5"/>
    <w:rsid w:val="009A4DC9"/>
    <w:rsid w:val="009A4EA0"/>
    <w:rsid w:val="009A5048"/>
    <w:rsid w:val="009A51AA"/>
    <w:rsid w:val="009A593F"/>
    <w:rsid w:val="009A5D88"/>
    <w:rsid w:val="009A5DB3"/>
    <w:rsid w:val="009A5F09"/>
    <w:rsid w:val="009A653A"/>
    <w:rsid w:val="009A6BA2"/>
    <w:rsid w:val="009A6C10"/>
    <w:rsid w:val="009A717A"/>
    <w:rsid w:val="009A7302"/>
    <w:rsid w:val="009A735D"/>
    <w:rsid w:val="009A73ED"/>
    <w:rsid w:val="009A78E2"/>
    <w:rsid w:val="009A7E87"/>
    <w:rsid w:val="009A7F70"/>
    <w:rsid w:val="009B035B"/>
    <w:rsid w:val="009B061F"/>
    <w:rsid w:val="009B0647"/>
    <w:rsid w:val="009B096F"/>
    <w:rsid w:val="009B0DBC"/>
    <w:rsid w:val="009B0EDD"/>
    <w:rsid w:val="009B1094"/>
    <w:rsid w:val="009B16DC"/>
    <w:rsid w:val="009B171D"/>
    <w:rsid w:val="009B17D6"/>
    <w:rsid w:val="009B1908"/>
    <w:rsid w:val="009B1E23"/>
    <w:rsid w:val="009B20C9"/>
    <w:rsid w:val="009B234F"/>
    <w:rsid w:val="009B2423"/>
    <w:rsid w:val="009B2609"/>
    <w:rsid w:val="009B264F"/>
    <w:rsid w:val="009B26AE"/>
    <w:rsid w:val="009B281D"/>
    <w:rsid w:val="009B2942"/>
    <w:rsid w:val="009B2BDC"/>
    <w:rsid w:val="009B2DB7"/>
    <w:rsid w:val="009B377C"/>
    <w:rsid w:val="009B3C85"/>
    <w:rsid w:val="009B3EBC"/>
    <w:rsid w:val="009B3FDA"/>
    <w:rsid w:val="009B4765"/>
    <w:rsid w:val="009B4ABA"/>
    <w:rsid w:val="009B4B3E"/>
    <w:rsid w:val="009B4C8C"/>
    <w:rsid w:val="009B5542"/>
    <w:rsid w:val="009B58F6"/>
    <w:rsid w:val="009B59E2"/>
    <w:rsid w:val="009B5BD6"/>
    <w:rsid w:val="009B6103"/>
    <w:rsid w:val="009B6DD7"/>
    <w:rsid w:val="009B6E45"/>
    <w:rsid w:val="009B72FC"/>
    <w:rsid w:val="009B77FA"/>
    <w:rsid w:val="009B7AAE"/>
    <w:rsid w:val="009B7B93"/>
    <w:rsid w:val="009C01A5"/>
    <w:rsid w:val="009C0698"/>
    <w:rsid w:val="009C0713"/>
    <w:rsid w:val="009C0B15"/>
    <w:rsid w:val="009C0C29"/>
    <w:rsid w:val="009C0C2C"/>
    <w:rsid w:val="009C0E2A"/>
    <w:rsid w:val="009C0F18"/>
    <w:rsid w:val="009C1765"/>
    <w:rsid w:val="009C197B"/>
    <w:rsid w:val="009C19FA"/>
    <w:rsid w:val="009C27A9"/>
    <w:rsid w:val="009C288D"/>
    <w:rsid w:val="009C297D"/>
    <w:rsid w:val="009C2D33"/>
    <w:rsid w:val="009C2D3C"/>
    <w:rsid w:val="009C2E33"/>
    <w:rsid w:val="009C2EB8"/>
    <w:rsid w:val="009C2F09"/>
    <w:rsid w:val="009C343F"/>
    <w:rsid w:val="009C359F"/>
    <w:rsid w:val="009C3976"/>
    <w:rsid w:val="009C3CC8"/>
    <w:rsid w:val="009C3F6F"/>
    <w:rsid w:val="009C43F5"/>
    <w:rsid w:val="009C466D"/>
    <w:rsid w:val="009C4A0E"/>
    <w:rsid w:val="009C4DF3"/>
    <w:rsid w:val="009C52EC"/>
    <w:rsid w:val="009C5EB3"/>
    <w:rsid w:val="009C651B"/>
    <w:rsid w:val="009C757D"/>
    <w:rsid w:val="009C7842"/>
    <w:rsid w:val="009C7878"/>
    <w:rsid w:val="009C7B34"/>
    <w:rsid w:val="009C7CBF"/>
    <w:rsid w:val="009C7D51"/>
    <w:rsid w:val="009D0203"/>
    <w:rsid w:val="009D0BC1"/>
    <w:rsid w:val="009D17B9"/>
    <w:rsid w:val="009D1A84"/>
    <w:rsid w:val="009D1D9F"/>
    <w:rsid w:val="009D1EE6"/>
    <w:rsid w:val="009D20EF"/>
    <w:rsid w:val="009D2308"/>
    <w:rsid w:val="009D2644"/>
    <w:rsid w:val="009D283D"/>
    <w:rsid w:val="009D2A00"/>
    <w:rsid w:val="009D2DF8"/>
    <w:rsid w:val="009D2FE5"/>
    <w:rsid w:val="009D2FFE"/>
    <w:rsid w:val="009D328F"/>
    <w:rsid w:val="009D33B9"/>
    <w:rsid w:val="009D3417"/>
    <w:rsid w:val="009D3469"/>
    <w:rsid w:val="009D34AA"/>
    <w:rsid w:val="009D34E8"/>
    <w:rsid w:val="009D36A3"/>
    <w:rsid w:val="009D36FF"/>
    <w:rsid w:val="009D3D17"/>
    <w:rsid w:val="009D3EAF"/>
    <w:rsid w:val="009D4637"/>
    <w:rsid w:val="009D4886"/>
    <w:rsid w:val="009D49D4"/>
    <w:rsid w:val="009D5A0F"/>
    <w:rsid w:val="009D601B"/>
    <w:rsid w:val="009D68C1"/>
    <w:rsid w:val="009D69B1"/>
    <w:rsid w:val="009D6B1A"/>
    <w:rsid w:val="009D6B6A"/>
    <w:rsid w:val="009D7429"/>
    <w:rsid w:val="009D7840"/>
    <w:rsid w:val="009D7CC8"/>
    <w:rsid w:val="009E00A4"/>
    <w:rsid w:val="009E02B9"/>
    <w:rsid w:val="009E03E8"/>
    <w:rsid w:val="009E0A1E"/>
    <w:rsid w:val="009E0D03"/>
    <w:rsid w:val="009E0D3A"/>
    <w:rsid w:val="009E0DD4"/>
    <w:rsid w:val="009E1430"/>
    <w:rsid w:val="009E2028"/>
    <w:rsid w:val="009E217A"/>
    <w:rsid w:val="009E2EBE"/>
    <w:rsid w:val="009E3C4E"/>
    <w:rsid w:val="009E3D2E"/>
    <w:rsid w:val="009E3F69"/>
    <w:rsid w:val="009E412B"/>
    <w:rsid w:val="009E4306"/>
    <w:rsid w:val="009E48AF"/>
    <w:rsid w:val="009E48FE"/>
    <w:rsid w:val="009E4BFC"/>
    <w:rsid w:val="009E4C2C"/>
    <w:rsid w:val="009E4D00"/>
    <w:rsid w:val="009E58BE"/>
    <w:rsid w:val="009E61C2"/>
    <w:rsid w:val="009E6204"/>
    <w:rsid w:val="009E6285"/>
    <w:rsid w:val="009E62DF"/>
    <w:rsid w:val="009E6827"/>
    <w:rsid w:val="009E702C"/>
    <w:rsid w:val="009E721D"/>
    <w:rsid w:val="009E738F"/>
    <w:rsid w:val="009E7776"/>
    <w:rsid w:val="009E7D6B"/>
    <w:rsid w:val="009F085C"/>
    <w:rsid w:val="009F0886"/>
    <w:rsid w:val="009F0958"/>
    <w:rsid w:val="009F0B97"/>
    <w:rsid w:val="009F11F0"/>
    <w:rsid w:val="009F11FC"/>
    <w:rsid w:val="009F1B7F"/>
    <w:rsid w:val="009F1D23"/>
    <w:rsid w:val="009F1E01"/>
    <w:rsid w:val="009F2763"/>
    <w:rsid w:val="009F2799"/>
    <w:rsid w:val="009F2C50"/>
    <w:rsid w:val="009F2C5E"/>
    <w:rsid w:val="009F2E42"/>
    <w:rsid w:val="009F2F00"/>
    <w:rsid w:val="009F35AF"/>
    <w:rsid w:val="009F3CF2"/>
    <w:rsid w:val="009F3DA5"/>
    <w:rsid w:val="009F45E8"/>
    <w:rsid w:val="009F4618"/>
    <w:rsid w:val="009F46B5"/>
    <w:rsid w:val="009F4707"/>
    <w:rsid w:val="009F526F"/>
    <w:rsid w:val="009F588E"/>
    <w:rsid w:val="009F5919"/>
    <w:rsid w:val="009F5CBE"/>
    <w:rsid w:val="009F5D9A"/>
    <w:rsid w:val="009F611D"/>
    <w:rsid w:val="009F61A1"/>
    <w:rsid w:val="009F63B3"/>
    <w:rsid w:val="009F65F5"/>
    <w:rsid w:val="009F6654"/>
    <w:rsid w:val="009F69AA"/>
    <w:rsid w:val="009F6AF7"/>
    <w:rsid w:val="009F6D92"/>
    <w:rsid w:val="009F73AA"/>
    <w:rsid w:val="009F757C"/>
    <w:rsid w:val="009F7742"/>
    <w:rsid w:val="00A001C7"/>
    <w:rsid w:val="00A00695"/>
    <w:rsid w:val="00A006CF"/>
    <w:rsid w:val="00A00998"/>
    <w:rsid w:val="00A00B44"/>
    <w:rsid w:val="00A0128B"/>
    <w:rsid w:val="00A013B0"/>
    <w:rsid w:val="00A013F8"/>
    <w:rsid w:val="00A01713"/>
    <w:rsid w:val="00A01778"/>
    <w:rsid w:val="00A018B1"/>
    <w:rsid w:val="00A01D74"/>
    <w:rsid w:val="00A01DA9"/>
    <w:rsid w:val="00A0254B"/>
    <w:rsid w:val="00A02740"/>
    <w:rsid w:val="00A0282A"/>
    <w:rsid w:val="00A02A8B"/>
    <w:rsid w:val="00A02ADC"/>
    <w:rsid w:val="00A032DD"/>
    <w:rsid w:val="00A038AD"/>
    <w:rsid w:val="00A03B19"/>
    <w:rsid w:val="00A03BDA"/>
    <w:rsid w:val="00A03EB0"/>
    <w:rsid w:val="00A044CE"/>
    <w:rsid w:val="00A045E5"/>
    <w:rsid w:val="00A04790"/>
    <w:rsid w:val="00A04811"/>
    <w:rsid w:val="00A04986"/>
    <w:rsid w:val="00A04B54"/>
    <w:rsid w:val="00A0515B"/>
    <w:rsid w:val="00A0522F"/>
    <w:rsid w:val="00A055B9"/>
    <w:rsid w:val="00A058B2"/>
    <w:rsid w:val="00A059F0"/>
    <w:rsid w:val="00A05F90"/>
    <w:rsid w:val="00A060CF"/>
    <w:rsid w:val="00A06D1C"/>
    <w:rsid w:val="00A06D31"/>
    <w:rsid w:val="00A06F38"/>
    <w:rsid w:val="00A070F7"/>
    <w:rsid w:val="00A074A3"/>
    <w:rsid w:val="00A0785D"/>
    <w:rsid w:val="00A078DF"/>
    <w:rsid w:val="00A07B34"/>
    <w:rsid w:val="00A07E52"/>
    <w:rsid w:val="00A10929"/>
    <w:rsid w:val="00A1096E"/>
    <w:rsid w:val="00A11112"/>
    <w:rsid w:val="00A11138"/>
    <w:rsid w:val="00A1145D"/>
    <w:rsid w:val="00A115AB"/>
    <w:rsid w:val="00A11BDC"/>
    <w:rsid w:val="00A12146"/>
    <w:rsid w:val="00A12349"/>
    <w:rsid w:val="00A13007"/>
    <w:rsid w:val="00A13039"/>
    <w:rsid w:val="00A130C5"/>
    <w:rsid w:val="00A13231"/>
    <w:rsid w:val="00A13265"/>
    <w:rsid w:val="00A1328D"/>
    <w:rsid w:val="00A1347F"/>
    <w:rsid w:val="00A13509"/>
    <w:rsid w:val="00A138B1"/>
    <w:rsid w:val="00A141A8"/>
    <w:rsid w:val="00A14641"/>
    <w:rsid w:val="00A14719"/>
    <w:rsid w:val="00A14836"/>
    <w:rsid w:val="00A15544"/>
    <w:rsid w:val="00A15A9D"/>
    <w:rsid w:val="00A15BD7"/>
    <w:rsid w:val="00A162B4"/>
    <w:rsid w:val="00A16873"/>
    <w:rsid w:val="00A16B78"/>
    <w:rsid w:val="00A16DC4"/>
    <w:rsid w:val="00A16E22"/>
    <w:rsid w:val="00A1768B"/>
    <w:rsid w:val="00A176D0"/>
    <w:rsid w:val="00A17732"/>
    <w:rsid w:val="00A178B9"/>
    <w:rsid w:val="00A17FB0"/>
    <w:rsid w:val="00A200AA"/>
    <w:rsid w:val="00A20491"/>
    <w:rsid w:val="00A207B9"/>
    <w:rsid w:val="00A20932"/>
    <w:rsid w:val="00A20ABD"/>
    <w:rsid w:val="00A20D3A"/>
    <w:rsid w:val="00A213FF"/>
    <w:rsid w:val="00A21A80"/>
    <w:rsid w:val="00A21C79"/>
    <w:rsid w:val="00A21E33"/>
    <w:rsid w:val="00A21FBF"/>
    <w:rsid w:val="00A2241B"/>
    <w:rsid w:val="00A22521"/>
    <w:rsid w:val="00A22A63"/>
    <w:rsid w:val="00A23001"/>
    <w:rsid w:val="00A23079"/>
    <w:rsid w:val="00A230C2"/>
    <w:rsid w:val="00A23A2C"/>
    <w:rsid w:val="00A23B52"/>
    <w:rsid w:val="00A23C6B"/>
    <w:rsid w:val="00A2401D"/>
    <w:rsid w:val="00A24132"/>
    <w:rsid w:val="00A243E0"/>
    <w:rsid w:val="00A24409"/>
    <w:rsid w:val="00A24821"/>
    <w:rsid w:val="00A25081"/>
    <w:rsid w:val="00A2550F"/>
    <w:rsid w:val="00A258D1"/>
    <w:rsid w:val="00A25B57"/>
    <w:rsid w:val="00A25F36"/>
    <w:rsid w:val="00A260E4"/>
    <w:rsid w:val="00A2647D"/>
    <w:rsid w:val="00A2685A"/>
    <w:rsid w:val="00A26942"/>
    <w:rsid w:val="00A26991"/>
    <w:rsid w:val="00A26DE7"/>
    <w:rsid w:val="00A26E54"/>
    <w:rsid w:val="00A26EAD"/>
    <w:rsid w:val="00A27120"/>
    <w:rsid w:val="00A27136"/>
    <w:rsid w:val="00A279F7"/>
    <w:rsid w:val="00A30200"/>
    <w:rsid w:val="00A303A6"/>
    <w:rsid w:val="00A308C5"/>
    <w:rsid w:val="00A30BB1"/>
    <w:rsid w:val="00A30C73"/>
    <w:rsid w:val="00A3107A"/>
    <w:rsid w:val="00A3119E"/>
    <w:rsid w:val="00A31599"/>
    <w:rsid w:val="00A31786"/>
    <w:rsid w:val="00A3228E"/>
    <w:rsid w:val="00A32695"/>
    <w:rsid w:val="00A327EB"/>
    <w:rsid w:val="00A33314"/>
    <w:rsid w:val="00A33EFB"/>
    <w:rsid w:val="00A3455D"/>
    <w:rsid w:val="00A34606"/>
    <w:rsid w:val="00A3468F"/>
    <w:rsid w:val="00A347D6"/>
    <w:rsid w:val="00A349D9"/>
    <w:rsid w:val="00A34EED"/>
    <w:rsid w:val="00A3502B"/>
    <w:rsid w:val="00A36098"/>
    <w:rsid w:val="00A36516"/>
    <w:rsid w:val="00A36A06"/>
    <w:rsid w:val="00A36E74"/>
    <w:rsid w:val="00A37416"/>
    <w:rsid w:val="00A37419"/>
    <w:rsid w:val="00A374CC"/>
    <w:rsid w:val="00A3789C"/>
    <w:rsid w:val="00A379D8"/>
    <w:rsid w:val="00A37DF4"/>
    <w:rsid w:val="00A4010D"/>
    <w:rsid w:val="00A405F8"/>
    <w:rsid w:val="00A40F08"/>
    <w:rsid w:val="00A40F5E"/>
    <w:rsid w:val="00A41225"/>
    <w:rsid w:val="00A41273"/>
    <w:rsid w:val="00A41824"/>
    <w:rsid w:val="00A41877"/>
    <w:rsid w:val="00A42050"/>
    <w:rsid w:val="00A42764"/>
    <w:rsid w:val="00A42E48"/>
    <w:rsid w:val="00A42F3B"/>
    <w:rsid w:val="00A4397D"/>
    <w:rsid w:val="00A43CD2"/>
    <w:rsid w:val="00A43E2C"/>
    <w:rsid w:val="00A441F8"/>
    <w:rsid w:val="00A44267"/>
    <w:rsid w:val="00A44AE7"/>
    <w:rsid w:val="00A44E4F"/>
    <w:rsid w:val="00A45582"/>
    <w:rsid w:val="00A45651"/>
    <w:rsid w:val="00A458DB"/>
    <w:rsid w:val="00A459CF"/>
    <w:rsid w:val="00A46EF1"/>
    <w:rsid w:val="00A46F55"/>
    <w:rsid w:val="00A473C3"/>
    <w:rsid w:val="00A47786"/>
    <w:rsid w:val="00A47D25"/>
    <w:rsid w:val="00A50401"/>
    <w:rsid w:val="00A50422"/>
    <w:rsid w:val="00A50590"/>
    <w:rsid w:val="00A50E1B"/>
    <w:rsid w:val="00A52136"/>
    <w:rsid w:val="00A524C8"/>
    <w:rsid w:val="00A526D4"/>
    <w:rsid w:val="00A52AA6"/>
    <w:rsid w:val="00A52B56"/>
    <w:rsid w:val="00A52F8D"/>
    <w:rsid w:val="00A52FEB"/>
    <w:rsid w:val="00A53194"/>
    <w:rsid w:val="00A53278"/>
    <w:rsid w:val="00A535C5"/>
    <w:rsid w:val="00A53848"/>
    <w:rsid w:val="00A538A3"/>
    <w:rsid w:val="00A53A53"/>
    <w:rsid w:val="00A53AAB"/>
    <w:rsid w:val="00A53B9A"/>
    <w:rsid w:val="00A53C40"/>
    <w:rsid w:val="00A53C7B"/>
    <w:rsid w:val="00A53CB0"/>
    <w:rsid w:val="00A546DF"/>
    <w:rsid w:val="00A55287"/>
    <w:rsid w:val="00A55CF6"/>
    <w:rsid w:val="00A56C56"/>
    <w:rsid w:val="00A56F02"/>
    <w:rsid w:val="00A56F7F"/>
    <w:rsid w:val="00A574FD"/>
    <w:rsid w:val="00A575CC"/>
    <w:rsid w:val="00A57A5D"/>
    <w:rsid w:val="00A57AD8"/>
    <w:rsid w:val="00A57B0E"/>
    <w:rsid w:val="00A601BD"/>
    <w:rsid w:val="00A60224"/>
    <w:rsid w:val="00A60243"/>
    <w:rsid w:val="00A60271"/>
    <w:rsid w:val="00A604D2"/>
    <w:rsid w:val="00A6050D"/>
    <w:rsid w:val="00A60753"/>
    <w:rsid w:val="00A609D3"/>
    <w:rsid w:val="00A609FC"/>
    <w:rsid w:val="00A609FE"/>
    <w:rsid w:val="00A61046"/>
    <w:rsid w:val="00A610F0"/>
    <w:rsid w:val="00A61327"/>
    <w:rsid w:val="00A61D10"/>
    <w:rsid w:val="00A6279C"/>
    <w:rsid w:val="00A62CAC"/>
    <w:rsid w:val="00A62ED9"/>
    <w:rsid w:val="00A62FE5"/>
    <w:rsid w:val="00A63186"/>
    <w:rsid w:val="00A63A91"/>
    <w:rsid w:val="00A63BF5"/>
    <w:rsid w:val="00A63F1A"/>
    <w:rsid w:val="00A6465E"/>
    <w:rsid w:val="00A64AF4"/>
    <w:rsid w:val="00A64D66"/>
    <w:rsid w:val="00A65092"/>
    <w:rsid w:val="00A65130"/>
    <w:rsid w:val="00A65303"/>
    <w:rsid w:val="00A657BD"/>
    <w:rsid w:val="00A65B14"/>
    <w:rsid w:val="00A65EBA"/>
    <w:rsid w:val="00A65EC9"/>
    <w:rsid w:val="00A66151"/>
    <w:rsid w:val="00A665DA"/>
    <w:rsid w:val="00A66BC8"/>
    <w:rsid w:val="00A66D57"/>
    <w:rsid w:val="00A66DA3"/>
    <w:rsid w:val="00A6781D"/>
    <w:rsid w:val="00A6792B"/>
    <w:rsid w:val="00A67B07"/>
    <w:rsid w:val="00A67C5C"/>
    <w:rsid w:val="00A704B7"/>
    <w:rsid w:val="00A70747"/>
    <w:rsid w:val="00A70757"/>
    <w:rsid w:val="00A70CF8"/>
    <w:rsid w:val="00A7132A"/>
    <w:rsid w:val="00A7167B"/>
    <w:rsid w:val="00A71AAC"/>
    <w:rsid w:val="00A71EF0"/>
    <w:rsid w:val="00A71FA0"/>
    <w:rsid w:val="00A7218B"/>
    <w:rsid w:val="00A72361"/>
    <w:rsid w:val="00A7274B"/>
    <w:rsid w:val="00A7274E"/>
    <w:rsid w:val="00A72790"/>
    <w:rsid w:val="00A729F3"/>
    <w:rsid w:val="00A72BCD"/>
    <w:rsid w:val="00A73021"/>
    <w:rsid w:val="00A7330F"/>
    <w:rsid w:val="00A7425C"/>
    <w:rsid w:val="00A74CA8"/>
    <w:rsid w:val="00A75580"/>
    <w:rsid w:val="00A756F4"/>
    <w:rsid w:val="00A75F9C"/>
    <w:rsid w:val="00A761F4"/>
    <w:rsid w:val="00A76708"/>
    <w:rsid w:val="00A76C6C"/>
    <w:rsid w:val="00A77480"/>
    <w:rsid w:val="00A7794C"/>
    <w:rsid w:val="00A804FD"/>
    <w:rsid w:val="00A80522"/>
    <w:rsid w:val="00A8065C"/>
    <w:rsid w:val="00A8072D"/>
    <w:rsid w:val="00A80A87"/>
    <w:rsid w:val="00A8113F"/>
    <w:rsid w:val="00A81656"/>
    <w:rsid w:val="00A81BCC"/>
    <w:rsid w:val="00A81E37"/>
    <w:rsid w:val="00A81EF5"/>
    <w:rsid w:val="00A820D0"/>
    <w:rsid w:val="00A82797"/>
    <w:rsid w:val="00A827E7"/>
    <w:rsid w:val="00A8291F"/>
    <w:rsid w:val="00A82B30"/>
    <w:rsid w:val="00A831AC"/>
    <w:rsid w:val="00A8356B"/>
    <w:rsid w:val="00A83587"/>
    <w:rsid w:val="00A835A9"/>
    <w:rsid w:val="00A83821"/>
    <w:rsid w:val="00A839B9"/>
    <w:rsid w:val="00A83CAD"/>
    <w:rsid w:val="00A83F36"/>
    <w:rsid w:val="00A83FF8"/>
    <w:rsid w:val="00A8401B"/>
    <w:rsid w:val="00A842D8"/>
    <w:rsid w:val="00A84B0F"/>
    <w:rsid w:val="00A84CC4"/>
    <w:rsid w:val="00A84E24"/>
    <w:rsid w:val="00A85277"/>
    <w:rsid w:val="00A8542E"/>
    <w:rsid w:val="00A85524"/>
    <w:rsid w:val="00A858D5"/>
    <w:rsid w:val="00A85AF1"/>
    <w:rsid w:val="00A85B55"/>
    <w:rsid w:val="00A85B5B"/>
    <w:rsid w:val="00A85ED9"/>
    <w:rsid w:val="00A8625E"/>
    <w:rsid w:val="00A86515"/>
    <w:rsid w:val="00A86B14"/>
    <w:rsid w:val="00A86FBB"/>
    <w:rsid w:val="00A87437"/>
    <w:rsid w:val="00A878FA"/>
    <w:rsid w:val="00A87CF1"/>
    <w:rsid w:val="00A903B5"/>
    <w:rsid w:val="00A904E7"/>
    <w:rsid w:val="00A91349"/>
    <w:rsid w:val="00A9136F"/>
    <w:rsid w:val="00A92119"/>
    <w:rsid w:val="00A92234"/>
    <w:rsid w:val="00A9248A"/>
    <w:rsid w:val="00A928B5"/>
    <w:rsid w:val="00A92A23"/>
    <w:rsid w:val="00A93402"/>
    <w:rsid w:val="00A9340A"/>
    <w:rsid w:val="00A93562"/>
    <w:rsid w:val="00A9362D"/>
    <w:rsid w:val="00A9364B"/>
    <w:rsid w:val="00A93A8F"/>
    <w:rsid w:val="00A93BEC"/>
    <w:rsid w:val="00A94237"/>
    <w:rsid w:val="00A94EBF"/>
    <w:rsid w:val="00A9567A"/>
    <w:rsid w:val="00A9575F"/>
    <w:rsid w:val="00A9599E"/>
    <w:rsid w:val="00A95AE1"/>
    <w:rsid w:val="00A96458"/>
    <w:rsid w:val="00A9653D"/>
    <w:rsid w:val="00A967F2"/>
    <w:rsid w:val="00A96DD1"/>
    <w:rsid w:val="00A97A5C"/>
    <w:rsid w:val="00A97B1C"/>
    <w:rsid w:val="00A97CA1"/>
    <w:rsid w:val="00A97D50"/>
    <w:rsid w:val="00A97E30"/>
    <w:rsid w:val="00AA067A"/>
    <w:rsid w:val="00AA0A0A"/>
    <w:rsid w:val="00AA0D6C"/>
    <w:rsid w:val="00AA0FE6"/>
    <w:rsid w:val="00AA115D"/>
    <w:rsid w:val="00AA11BD"/>
    <w:rsid w:val="00AA1214"/>
    <w:rsid w:val="00AA163D"/>
    <w:rsid w:val="00AA1AAE"/>
    <w:rsid w:val="00AA1BFD"/>
    <w:rsid w:val="00AA1C69"/>
    <w:rsid w:val="00AA2144"/>
    <w:rsid w:val="00AA2B68"/>
    <w:rsid w:val="00AA2D74"/>
    <w:rsid w:val="00AA3299"/>
    <w:rsid w:val="00AA339D"/>
    <w:rsid w:val="00AA3462"/>
    <w:rsid w:val="00AA377D"/>
    <w:rsid w:val="00AA3FBB"/>
    <w:rsid w:val="00AA3FDB"/>
    <w:rsid w:val="00AA4145"/>
    <w:rsid w:val="00AA4307"/>
    <w:rsid w:val="00AA4339"/>
    <w:rsid w:val="00AA521A"/>
    <w:rsid w:val="00AA5230"/>
    <w:rsid w:val="00AA52DB"/>
    <w:rsid w:val="00AA53B9"/>
    <w:rsid w:val="00AA5489"/>
    <w:rsid w:val="00AA55FD"/>
    <w:rsid w:val="00AA57BA"/>
    <w:rsid w:val="00AA5DA6"/>
    <w:rsid w:val="00AA60B6"/>
    <w:rsid w:val="00AA75AE"/>
    <w:rsid w:val="00AA77EB"/>
    <w:rsid w:val="00AA7F62"/>
    <w:rsid w:val="00AB0510"/>
    <w:rsid w:val="00AB0A4F"/>
    <w:rsid w:val="00AB0E11"/>
    <w:rsid w:val="00AB1253"/>
    <w:rsid w:val="00AB1681"/>
    <w:rsid w:val="00AB16D0"/>
    <w:rsid w:val="00AB1899"/>
    <w:rsid w:val="00AB1F10"/>
    <w:rsid w:val="00AB2C45"/>
    <w:rsid w:val="00AB2C88"/>
    <w:rsid w:val="00AB2F1E"/>
    <w:rsid w:val="00AB30E0"/>
    <w:rsid w:val="00AB3181"/>
    <w:rsid w:val="00AB3447"/>
    <w:rsid w:val="00AB361D"/>
    <w:rsid w:val="00AB3697"/>
    <w:rsid w:val="00AB38C3"/>
    <w:rsid w:val="00AB3A88"/>
    <w:rsid w:val="00AB3B50"/>
    <w:rsid w:val="00AB3E7A"/>
    <w:rsid w:val="00AB4183"/>
    <w:rsid w:val="00AB42EB"/>
    <w:rsid w:val="00AB44A6"/>
    <w:rsid w:val="00AB4E71"/>
    <w:rsid w:val="00AB4F89"/>
    <w:rsid w:val="00AB5467"/>
    <w:rsid w:val="00AB5A42"/>
    <w:rsid w:val="00AB5F44"/>
    <w:rsid w:val="00AB6016"/>
    <w:rsid w:val="00AB60AC"/>
    <w:rsid w:val="00AB617C"/>
    <w:rsid w:val="00AB6379"/>
    <w:rsid w:val="00AB6701"/>
    <w:rsid w:val="00AB68DC"/>
    <w:rsid w:val="00AB69B3"/>
    <w:rsid w:val="00AB6ACB"/>
    <w:rsid w:val="00AB6B10"/>
    <w:rsid w:val="00AB6D6A"/>
    <w:rsid w:val="00AB7321"/>
    <w:rsid w:val="00AB76A0"/>
    <w:rsid w:val="00AB7974"/>
    <w:rsid w:val="00AB7B6F"/>
    <w:rsid w:val="00AB7FCF"/>
    <w:rsid w:val="00AC0376"/>
    <w:rsid w:val="00AC08DC"/>
    <w:rsid w:val="00AC0D04"/>
    <w:rsid w:val="00AC13BF"/>
    <w:rsid w:val="00AC14E5"/>
    <w:rsid w:val="00AC17BD"/>
    <w:rsid w:val="00AC198C"/>
    <w:rsid w:val="00AC1AD5"/>
    <w:rsid w:val="00AC1E1F"/>
    <w:rsid w:val="00AC2567"/>
    <w:rsid w:val="00AC2873"/>
    <w:rsid w:val="00AC28A2"/>
    <w:rsid w:val="00AC2A50"/>
    <w:rsid w:val="00AC2B34"/>
    <w:rsid w:val="00AC3503"/>
    <w:rsid w:val="00AC3C24"/>
    <w:rsid w:val="00AC3E6C"/>
    <w:rsid w:val="00AC3F13"/>
    <w:rsid w:val="00AC42BE"/>
    <w:rsid w:val="00AC43DB"/>
    <w:rsid w:val="00AC4648"/>
    <w:rsid w:val="00AC4BBC"/>
    <w:rsid w:val="00AC5170"/>
    <w:rsid w:val="00AC55C0"/>
    <w:rsid w:val="00AC58DA"/>
    <w:rsid w:val="00AC5954"/>
    <w:rsid w:val="00AC59C3"/>
    <w:rsid w:val="00AC617A"/>
    <w:rsid w:val="00AC62D8"/>
    <w:rsid w:val="00AC6949"/>
    <w:rsid w:val="00AC6C9C"/>
    <w:rsid w:val="00AC7177"/>
    <w:rsid w:val="00AC72E6"/>
    <w:rsid w:val="00AC78E1"/>
    <w:rsid w:val="00AC7EFD"/>
    <w:rsid w:val="00AD0227"/>
    <w:rsid w:val="00AD02B1"/>
    <w:rsid w:val="00AD040E"/>
    <w:rsid w:val="00AD04FC"/>
    <w:rsid w:val="00AD05D4"/>
    <w:rsid w:val="00AD07DC"/>
    <w:rsid w:val="00AD0975"/>
    <w:rsid w:val="00AD0B87"/>
    <w:rsid w:val="00AD1162"/>
    <w:rsid w:val="00AD194F"/>
    <w:rsid w:val="00AD19B1"/>
    <w:rsid w:val="00AD1ABC"/>
    <w:rsid w:val="00AD29A6"/>
    <w:rsid w:val="00AD32B3"/>
    <w:rsid w:val="00AD3D40"/>
    <w:rsid w:val="00AD3DF6"/>
    <w:rsid w:val="00AD42D8"/>
    <w:rsid w:val="00AD46D3"/>
    <w:rsid w:val="00AD4CAF"/>
    <w:rsid w:val="00AD4E37"/>
    <w:rsid w:val="00AD5274"/>
    <w:rsid w:val="00AD582D"/>
    <w:rsid w:val="00AD5DBD"/>
    <w:rsid w:val="00AD659C"/>
    <w:rsid w:val="00AD663B"/>
    <w:rsid w:val="00AD665B"/>
    <w:rsid w:val="00AD72CF"/>
    <w:rsid w:val="00AD7490"/>
    <w:rsid w:val="00AD75E2"/>
    <w:rsid w:val="00AD7685"/>
    <w:rsid w:val="00AD7786"/>
    <w:rsid w:val="00AD786A"/>
    <w:rsid w:val="00AD7987"/>
    <w:rsid w:val="00AD79B7"/>
    <w:rsid w:val="00AD7FFB"/>
    <w:rsid w:val="00AE007B"/>
    <w:rsid w:val="00AE021B"/>
    <w:rsid w:val="00AE0243"/>
    <w:rsid w:val="00AE0791"/>
    <w:rsid w:val="00AE0C8C"/>
    <w:rsid w:val="00AE0FA8"/>
    <w:rsid w:val="00AE14CD"/>
    <w:rsid w:val="00AE18E7"/>
    <w:rsid w:val="00AE1973"/>
    <w:rsid w:val="00AE1D79"/>
    <w:rsid w:val="00AE20C9"/>
    <w:rsid w:val="00AE218A"/>
    <w:rsid w:val="00AE240C"/>
    <w:rsid w:val="00AE26F4"/>
    <w:rsid w:val="00AE2909"/>
    <w:rsid w:val="00AE2C01"/>
    <w:rsid w:val="00AE2D3B"/>
    <w:rsid w:val="00AE3025"/>
    <w:rsid w:val="00AE3618"/>
    <w:rsid w:val="00AE3665"/>
    <w:rsid w:val="00AE3687"/>
    <w:rsid w:val="00AE37F9"/>
    <w:rsid w:val="00AE3A40"/>
    <w:rsid w:val="00AE3B21"/>
    <w:rsid w:val="00AE3ECA"/>
    <w:rsid w:val="00AE3FCF"/>
    <w:rsid w:val="00AE433D"/>
    <w:rsid w:val="00AE487E"/>
    <w:rsid w:val="00AE48D8"/>
    <w:rsid w:val="00AE5474"/>
    <w:rsid w:val="00AE5651"/>
    <w:rsid w:val="00AE5713"/>
    <w:rsid w:val="00AE5761"/>
    <w:rsid w:val="00AE608A"/>
    <w:rsid w:val="00AE60E6"/>
    <w:rsid w:val="00AE6679"/>
    <w:rsid w:val="00AE6693"/>
    <w:rsid w:val="00AE6BD4"/>
    <w:rsid w:val="00AE6E95"/>
    <w:rsid w:val="00AE6FFC"/>
    <w:rsid w:val="00AE712A"/>
    <w:rsid w:val="00AE79B1"/>
    <w:rsid w:val="00AF03D4"/>
    <w:rsid w:val="00AF063F"/>
    <w:rsid w:val="00AF0764"/>
    <w:rsid w:val="00AF0CA0"/>
    <w:rsid w:val="00AF0E83"/>
    <w:rsid w:val="00AF126B"/>
    <w:rsid w:val="00AF1279"/>
    <w:rsid w:val="00AF1385"/>
    <w:rsid w:val="00AF1388"/>
    <w:rsid w:val="00AF13F2"/>
    <w:rsid w:val="00AF1711"/>
    <w:rsid w:val="00AF1CF2"/>
    <w:rsid w:val="00AF1E37"/>
    <w:rsid w:val="00AF2839"/>
    <w:rsid w:val="00AF294A"/>
    <w:rsid w:val="00AF2D1D"/>
    <w:rsid w:val="00AF3399"/>
    <w:rsid w:val="00AF3831"/>
    <w:rsid w:val="00AF4186"/>
    <w:rsid w:val="00AF53A9"/>
    <w:rsid w:val="00AF53F9"/>
    <w:rsid w:val="00AF5570"/>
    <w:rsid w:val="00AF57E4"/>
    <w:rsid w:val="00AF5812"/>
    <w:rsid w:val="00AF5889"/>
    <w:rsid w:val="00AF5ED7"/>
    <w:rsid w:val="00AF61C0"/>
    <w:rsid w:val="00AF6258"/>
    <w:rsid w:val="00AF641E"/>
    <w:rsid w:val="00AF673F"/>
    <w:rsid w:val="00AF67B5"/>
    <w:rsid w:val="00AF6870"/>
    <w:rsid w:val="00AF7096"/>
    <w:rsid w:val="00AF7AD8"/>
    <w:rsid w:val="00AF7B39"/>
    <w:rsid w:val="00AF7CCA"/>
    <w:rsid w:val="00AF7D8A"/>
    <w:rsid w:val="00B00196"/>
    <w:rsid w:val="00B00B86"/>
    <w:rsid w:val="00B00E87"/>
    <w:rsid w:val="00B01189"/>
    <w:rsid w:val="00B0155A"/>
    <w:rsid w:val="00B01585"/>
    <w:rsid w:val="00B015CA"/>
    <w:rsid w:val="00B01A61"/>
    <w:rsid w:val="00B01AB4"/>
    <w:rsid w:val="00B01B84"/>
    <w:rsid w:val="00B01C19"/>
    <w:rsid w:val="00B02253"/>
    <w:rsid w:val="00B02292"/>
    <w:rsid w:val="00B022D7"/>
    <w:rsid w:val="00B023CB"/>
    <w:rsid w:val="00B02DD7"/>
    <w:rsid w:val="00B03185"/>
    <w:rsid w:val="00B0364A"/>
    <w:rsid w:val="00B0394C"/>
    <w:rsid w:val="00B03B29"/>
    <w:rsid w:val="00B03C84"/>
    <w:rsid w:val="00B03E37"/>
    <w:rsid w:val="00B03E52"/>
    <w:rsid w:val="00B03F86"/>
    <w:rsid w:val="00B03FA4"/>
    <w:rsid w:val="00B04060"/>
    <w:rsid w:val="00B040CF"/>
    <w:rsid w:val="00B04391"/>
    <w:rsid w:val="00B045E2"/>
    <w:rsid w:val="00B04847"/>
    <w:rsid w:val="00B04A9D"/>
    <w:rsid w:val="00B04D82"/>
    <w:rsid w:val="00B05405"/>
    <w:rsid w:val="00B056F0"/>
    <w:rsid w:val="00B05A07"/>
    <w:rsid w:val="00B05AEC"/>
    <w:rsid w:val="00B06A65"/>
    <w:rsid w:val="00B06E38"/>
    <w:rsid w:val="00B06FCC"/>
    <w:rsid w:val="00B07022"/>
    <w:rsid w:val="00B0716B"/>
    <w:rsid w:val="00B07379"/>
    <w:rsid w:val="00B0766C"/>
    <w:rsid w:val="00B077B3"/>
    <w:rsid w:val="00B07F4B"/>
    <w:rsid w:val="00B10288"/>
    <w:rsid w:val="00B105C3"/>
    <w:rsid w:val="00B10AD1"/>
    <w:rsid w:val="00B10AFB"/>
    <w:rsid w:val="00B10CF5"/>
    <w:rsid w:val="00B10F24"/>
    <w:rsid w:val="00B10F9A"/>
    <w:rsid w:val="00B10FC7"/>
    <w:rsid w:val="00B11676"/>
    <w:rsid w:val="00B11864"/>
    <w:rsid w:val="00B11DF5"/>
    <w:rsid w:val="00B11F51"/>
    <w:rsid w:val="00B126FC"/>
    <w:rsid w:val="00B1273F"/>
    <w:rsid w:val="00B12783"/>
    <w:rsid w:val="00B12862"/>
    <w:rsid w:val="00B129F3"/>
    <w:rsid w:val="00B12D04"/>
    <w:rsid w:val="00B130FF"/>
    <w:rsid w:val="00B13104"/>
    <w:rsid w:val="00B1342F"/>
    <w:rsid w:val="00B13DD0"/>
    <w:rsid w:val="00B13E09"/>
    <w:rsid w:val="00B13F4D"/>
    <w:rsid w:val="00B145E3"/>
    <w:rsid w:val="00B14C08"/>
    <w:rsid w:val="00B14EE6"/>
    <w:rsid w:val="00B15E33"/>
    <w:rsid w:val="00B15F4A"/>
    <w:rsid w:val="00B16317"/>
    <w:rsid w:val="00B1642D"/>
    <w:rsid w:val="00B16DA6"/>
    <w:rsid w:val="00B17263"/>
    <w:rsid w:val="00B17403"/>
    <w:rsid w:val="00B1745D"/>
    <w:rsid w:val="00B178C7"/>
    <w:rsid w:val="00B17F5E"/>
    <w:rsid w:val="00B2078D"/>
    <w:rsid w:val="00B207F2"/>
    <w:rsid w:val="00B20B6A"/>
    <w:rsid w:val="00B20C60"/>
    <w:rsid w:val="00B20DC4"/>
    <w:rsid w:val="00B21052"/>
    <w:rsid w:val="00B211D8"/>
    <w:rsid w:val="00B21378"/>
    <w:rsid w:val="00B215F8"/>
    <w:rsid w:val="00B2176B"/>
    <w:rsid w:val="00B217C3"/>
    <w:rsid w:val="00B21B88"/>
    <w:rsid w:val="00B21FA4"/>
    <w:rsid w:val="00B22111"/>
    <w:rsid w:val="00B22424"/>
    <w:rsid w:val="00B2256B"/>
    <w:rsid w:val="00B22759"/>
    <w:rsid w:val="00B22CA3"/>
    <w:rsid w:val="00B23278"/>
    <w:rsid w:val="00B235A0"/>
    <w:rsid w:val="00B23917"/>
    <w:rsid w:val="00B23A3F"/>
    <w:rsid w:val="00B24137"/>
    <w:rsid w:val="00B242E8"/>
    <w:rsid w:val="00B2456C"/>
    <w:rsid w:val="00B245F4"/>
    <w:rsid w:val="00B24915"/>
    <w:rsid w:val="00B24AB6"/>
    <w:rsid w:val="00B24CDF"/>
    <w:rsid w:val="00B24D62"/>
    <w:rsid w:val="00B24E20"/>
    <w:rsid w:val="00B24EC1"/>
    <w:rsid w:val="00B25094"/>
    <w:rsid w:val="00B2526D"/>
    <w:rsid w:val="00B2556F"/>
    <w:rsid w:val="00B25BFA"/>
    <w:rsid w:val="00B25FDD"/>
    <w:rsid w:val="00B260E1"/>
    <w:rsid w:val="00B26995"/>
    <w:rsid w:val="00B269B9"/>
    <w:rsid w:val="00B273C6"/>
    <w:rsid w:val="00B275C9"/>
    <w:rsid w:val="00B27898"/>
    <w:rsid w:val="00B278D4"/>
    <w:rsid w:val="00B27A8F"/>
    <w:rsid w:val="00B27C8D"/>
    <w:rsid w:val="00B27CA1"/>
    <w:rsid w:val="00B27F54"/>
    <w:rsid w:val="00B30205"/>
    <w:rsid w:val="00B3185F"/>
    <w:rsid w:val="00B32164"/>
    <w:rsid w:val="00B32541"/>
    <w:rsid w:val="00B32542"/>
    <w:rsid w:val="00B33773"/>
    <w:rsid w:val="00B33E80"/>
    <w:rsid w:val="00B33EA2"/>
    <w:rsid w:val="00B33F47"/>
    <w:rsid w:val="00B3429B"/>
    <w:rsid w:val="00B346C7"/>
    <w:rsid w:val="00B34A18"/>
    <w:rsid w:val="00B3508E"/>
    <w:rsid w:val="00B350B2"/>
    <w:rsid w:val="00B352D1"/>
    <w:rsid w:val="00B35617"/>
    <w:rsid w:val="00B358D1"/>
    <w:rsid w:val="00B35BC1"/>
    <w:rsid w:val="00B35E35"/>
    <w:rsid w:val="00B361CB"/>
    <w:rsid w:val="00B36564"/>
    <w:rsid w:val="00B3687E"/>
    <w:rsid w:val="00B36D3C"/>
    <w:rsid w:val="00B37070"/>
    <w:rsid w:val="00B376B1"/>
    <w:rsid w:val="00B376C2"/>
    <w:rsid w:val="00B376DA"/>
    <w:rsid w:val="00B37D94"/>
    <w:rsid w:val="00B400DA"/>
    <w:rsid w:val="00B40734"/>
    <w:rsid w:val="00B407BE"/>
    <w:rsid w:val="00B40992"/>
    <w:rsid w:val="00B40FBD"/>
    <w:rsid w:val="00B417B1"/>
    <w:rsid w:val="00B41A37"/>
    <w:rsid w:val="00B41B70"/>
    <w:rsid w:val="00B41BBF"/>
    <w:rsid w:val="00B41C76"/>
    <w:rsid w:val="00B41DF3"/>
    <w:rsid w:val="00B41E17"/>
    <w:rsid w:val="00B426C5"/>
    <w:rsid w:val="00B42DC9"/>
    <w:rsid w:val="00B42F43"/>
    <w:rsid w:val="00B43006"/>
    <w:rsid w:val="00B433A9"/>
    <w:rsid w:val="00B4340B"/>
    <w:rsid w:val="00B43A50"/>
    <w:rsid w:val="00B43F49"/>
    <w:rsid w:val="00B444CF"/>
    <w:rsid w:val="00B44684"/>
    <w:rsid w:val="00B448B8"/>
    <w:rsid w:val="00B44969"/>
    <w:rsid w:val="00B44D79"/>
    <w:rsid w:val="00B45006"/>
    <w:rsid w:val="00B4586A"/>
    <w:rsid w:val="00B45A70"/>
    <w:rsid w:val="00B45E65"/>
    <w:rsid w:val="00B45E81"/>
    <w:rsid w:val="00B4662C"/>
    <w:rsid w:val="00B46683"/>
    <w:rsid w:val="00B472E9"/>
    <w:rsid w:val="00B4778D"/>
    <w:rsid w:val="00B47CCA"/>
    <w:rsid w:val="00B47E5D"/>
    <w:rsid w:val="00B50781"/>
    <w:rsid w:val="00B50C6B"/>
    <w:rsid w:val="00B50EED"/>
    <w:rsid w:val="00B50F79"/>
    <w:rsid w:val="00B51D5E"/>
    <w:rsid w:val="00B5205E"/>
    <w:rsid w:val="00B521E4"/>
    <w:rsid w:val="00B52372"/>
    <w:rsid w:val="00B52489"/>
    <w:rsid w:val="00B5264E"/>
    <w:rsid w:val="00B52748"/>
    <w:rsid w:val="00B52828"/>
    <w:rsid w:val="00B53150"/>
    <w:rsid w:val="00B535E5"/>
    <w:rsid w:val="00B537F2"/>
    <w:rsid w:val="00B53E19"/>
    <w:rsid w:val="00B542D0"/>
    <w:rsid w:val="00B54480"/>
    <w:rsid w:val="00B5455E"/>
    <w:rsid w:val="00B54BCC"/>
    <w:rsid w:val="00B54EA4"/>
    <w:rsid w:val="00B55477"/>
    <w:rsid w:val="00B554AD"/>
    <w:rsid w:val="00B55822"/>
    <w:rsid w:val="00B55C50"/>
    <w:rsid w:val="00B55DFC"/>
    <w:rsid w:val="00B55F1B"/>
    <w:rsid w:val="00B560B2"/>
    <w:rsid w:val="00B5622B"/>
    <w:rsid w:val="00B5631E"/>
    <w:rsid w:val="00B56330"/>
    <w:rsid w:val="00B5687E"/>
    <w:rsid w:val="00B56B4D"/>
    <w:rsid w:val="00B575D4"/>
    <w:rsid w:val="00B57BCB"/>
    <w:rsid w:val="00B57BE1"/>
    <w:rsid w:val="00B57D35"/>
    <w:rsid w:val="00B57D41"/>
    <w:rsid w:val="00B60043"/>
    <w:rsid w:val="00B60275"/>
    <w:rsid w:val="00B608E0"/>
    <w:rsid w:val="00B60ACC"/>
    <w:rsid w:val="00B60F1C"/>
    <w:rsid w:val="00B60F1D"/>
    <w:rsid w:val="00B6109B"/>
    <w:rsid w:val="00B61336"/>
    <w:rsid w:val="00B618D6"/>
    <w:rsid w:val="00B620C2"/>
    <w:rsid w:val="00B621C7"/>
    <w:rsid w:val="00B62562"/>
    <w:rsid w:val="00B6280C"/>
    <w:rsid w:val="00B62BA9"/>
    <w:rsid w:val="00B62DB8"/>
    <w:rsid w:val="00B62DC2"/>
    <w:rsid w:val="00B631C7"/>
    <w:rsid w:val="00B63866"/>
    <w:rsid w:val="00B63D99"/>
    <w:rsid w:val="00B63FC9"/>
    <w:rsid w:val="00B64340"/>
    <w:rsid w:val="00B649AF"/>
    <w:rsid w:val="00B64A71"/>
    <w:rsid w:val="00B65065"/>
    <w:rsid w:val="00B654BB"/>
    <w:rsid w:val="00B65591"/>
    <w:rsid w:val="00B665A0"/>
    <w:rsid w:val="00B66994"/>
    <w:rsid w:val="00B669E2"/>
    <w:rsid w:val="00B67259"/>
    <w:rsid w:val="00B677CD"/>
    <w:rsid w:val="00B6798E"/>
    <w:rsid w:val="00B67BAB"/>
    <w:rsid w:val="00B67E4D"/>
    <w:rsid w:val="00B67FAE"/>
    <w:rsid w:val="00B701BE"/>
    <w:rsid w:val="00B704A1"/>
    <w:rsid w:val="00B70528"/>
    <w:rsid w:val="00B70766"/>
    <w:rsid w:val="00B70A3B"/>
    <w:rsid w:val="00B70A97"/>
    <w:rsid w:val="00B70B57"/>
    <w:rsid w:val="00B70C36"/>
    <w:rsid w:val="00B7131F"/>
    <w:rsid w:val="00B715EA"/>
    <w:rsid w:val="00B718FB"/>
    <w:rsid w:val="00B71A09"/>
    <w:rsid w:val="00B72049"/>
    <w:rsid w:val="00B7257C"/>
    <w:rsid w:val="00B72722"/>
    <w:rsid w:val="00B72CFB"/>
    <w:rsid w:val="00B72F9D"/>
    <w:rsid w:val="00B73668"/>
    <w:rsid w:val="00B73EA6"/>
    <w:rsid w:val="00B740D8"/>
    <w:rsid w:val="00B74200"/>
    <w:rsid w:val="00B746AD"/>
    <w:rsid w:val="00B7479C"/>
    <w:rsid w:val="00B7480F"/>
    <w:rsid w:val="00B748C6"/>
    <w:rsid w:val="00B74D66"/>
    <w:rsid w:val="00B75046"/>
    <w:rsid w:val="00B75136"/>
    <w:rsid w:val="00B753D8"/>
    <w:rsid w:val="00B75548"/>
    <w:rsid w:val="00B7574A"/>
    <w:rsid w:val="00B759CF"/>
    <w:rsid w:val="00B75B9C"/>
    <w:rsid w:val="00B75E1E"/>
    <w:rsid w:val="00B75FAC"/>
    <w:rsid w:val="00B75FC3"/>
    <w:rsid w:val="00B763DD"/>
    <w:rsid w:val="00B768A5"/>
    <w:rsid w:val="00B76AD6"/>
    <w:rsid w:val="00B76F7D"/>
    <w:rsid w:val="00B76F95"/>
    <w:rsid w:val="00B77073"/>
    <w:rsid w:val="00B7755A"/>
    <w:rsid w:val="00B779DC"/>
    <w:rsid w:val="00B77AE8"/>
    <w:rsid w:val="00B77BD6"/>
    <w:rsid w:val="00B77D84"/>
    <w:rsid w:val="00B800CE"/>
    <w:rsid w:val="00B805C4"/>
    <w:rsid w:val="00B8086B"/>
    <w:rsid w:val="00B80BF1"/>
    <w:rsid w:val="00B80C54"/>
    <w:rsid w:val="00B80C86"/>
    <w:rsid w:val="00B80E30"/>
    <w:rsid w:val="00B80EAD"/>
    <w:rsid w:val="00B811E6"/>
    <w:rsid w:val="00B8173F"/>
    <w:rsid w:val="00B818A2"/>
    <w:rsid w:val="00B81E7B"/>
    <w:rsid w:val="00B82716"/>
    <w:rsid w:val="00B82A3F"/>
    <w:rsid w:val="00B82AC3"/>
    <w:rsid w:val="00B82DAF"/>
    <w:rsid w:val="00B82FA8"/>
    <w:rsid w:val="00B832EC"/>
    <w:rsid w:val="00B837E0"/>
    <w:rsid w:val="00B83EF3"/>
    <w:rsid w:val="00B84144"/>
    <w:rsid w:val="00B841A1"/>
    <w:rsid w:val="00B84294"/>
    <w:rsid w:val="00B845FC"/>
    <w:rsid w:val="00B84977"/>
    <w:rsid w:val="00B8526C"/>
    <w:rsid w:val="00B853DC"/>
    <w:rsid w:val="00B85692"/>
    <w:rsid w:val="00B857D7"/>
    <w:rsid w:val="00B85D22"/>
    <w:rsid w:val="00B865BA"/>
    <w:rsid w:val="00B8671D"/>
    <w:rsid w:val="00B86A8E"/>
    <w:rsid w:val="00B8721C"/>
    <w:rsid w:val="00B879C1"/>
    <w:rsid w:val="00B87D29"/>
    <w:rsid w:val="00B87E73"/>
    <w:rsid w:val="00B91378"/>
    <w:rsid w:val="00B913A1"/>
    <w:rsid w:val="00B9156B"/>
    <w:rsid w:val="00B91B0F"/>
    <w:rsid w:val="00B91CF8"/>
    <w:rsid w:val="00B91E42"/>
    <w:rsid w:val="00B9211B"/>
    <w:rsid w:val="00B92344"/>
    <w:rsid w:val="00B9245D"/>
    <w:rsid w:val="00B92561"/>
    <w:rsid w:val="00B92888"/>
    <w:rsid w:val="00B92937"/>
    <w:rsid w:val="00B92BD8"/>
    <w:rsid w:val="00B93603"/>
    <w:rsid w:val="00B93B2F"/>
    <w:rsid w:val="00B93FBB"/>
    <w:rsid w:val="00B941F8"/>
    <w:rsid w:val="00B944C4"/>
    <w:rsid w:val="00B94680"/>
    <w:rsid w:val="00B94761"/>
    <w:rsid w:val="00B9499C"/>
    <w:rsid w:val="00B94CAC"/>
    <w:rsid w:val="00B9586A"/>
    <w:rsid w:val="00B95A61"/>
    <w:rsid w:val="00B960FE"/>
    <w:rsid w:val="00B96339"/>
    <w:rsid w:val="00B9677D"/>
    <w:rsid w:val="00B968D0"/>
    <w:rsid w:val="00B96A5F"/>
    <w:rsid w:val="00B96ED5"/>
    <w:rsid w:val="00B96F0C"/>
    <w:rsid w:val="00B97D13"/>
    <w:rsid w:val="00B97F01"/>
    <w:rsid w:val="00BA02AD"/>
    <w:rsid w:val="00BA070D"/>
    <w:rsid w:val="00BA095E"/>
    <w:rsid w:val="00BA126C"/>
    <w:rsid w:val="00BA13E8"/>
    <w:rsid w:val="00BA1859"/>
    <w:rsid w:val="00BA1DC8"/>
    <w:rsid w:val="00BA22D4"/>
    <w:rsid w:val="00BA2338"/>
    <w:rsid w:val="00BA235C"/>
    <w:rsid w:val="00BA2445"/>
    <w:rsid w:val="00BA286A"/>
    <w:rsid w:val="00BA2979"/>
    <w:rsid w:val="00BA2B99"/>
    <w:rsid w:val="00BA2D2C"/>
    <w:rsid w:val="00BA2ED3"/>
    <w:rsid w:val="00BA3097"/>
    <w:rsid w:val="00BA37DF"/>
    <w:rsid w:val="00BA3C74"/>
    <w:rsid w:val="00BA4106"/>
    <w:rsid w:val="00BA41CA"/>
    <w:rsid w:val="00BA4242"/>
    <w:rsid w:val="00BA4336"/>
    <w:rsid w:val="00BA437E"/>
    <w:rsid w:val="00BA4A30"/>
    <w:rsid w:val="00BA4D1D"/>
    <w:rsid w:val="00BA5196"/>
    <w:rsid w:val="00BA5413"/>
    <w:rsid w:val="00BA5D74"/>
    <w:rsid w:val="00BA6505"/>
    <w:rsid w:val="00BA68FF"/>
    <w:rsid w:val="00BA6A06"/>
    <w:rsid w:val="00BA6CF6"/>
    <w:rsid w:val="00BA6D18"/>
    <w:rsid w:val="00BA6F26"/>
    <w:rsid w:val="00BA7C23"/>
    <w:rsid w:val="00BA7EA5"/>
    <w:rsid w:val="00BB073C"/>
    <w:rsid w:val="00BB0766"/>
    <w:rsid w:val="00BB08A5"/>
    <w:rsid w:val="00BB0AD9"/>
    <w:rsid w:val="00BB0C86"/>
    <w:rsid w:val="00BB0E46"/>
    <w:rsid w:val="00BB0F8F"/>
    <w:rsid w:val="00BB1060"/>
    <w:rsid w:val="00BB159D"/>
    <w:rsid w:val="00BB1648"/>
    <w:rsid w:val="00BB1744"/>
    <w:rsid w:val="00BB1AB2"/>
    <w:rsid w:val="00BB1B31"/>
    <w:rsid w:val="00BB21F9"/>
    <w:rsid w:val="00BB2528"/>
    <w:rsid w:val="00BB3182"/>
    <w:rsid w:val="00BB35AD"/>
    <w:rsid w:val="00BB3C3E"/>
    <w:rsid w:val="00BB3D03"/>
    <w:rsid w:val="00BB3E3D"/>
    <w:rsid w:val="00BB43EF"/>
    <w:rsid w:val="00BB456B"/>
    <w:rsid w:val="00BB4827"/>
    <w:rsid w:val="00BB4BF5"/>
    <w:rsid w:val="00BB4C91"/>
    <w:rsid w:val="00BB51B9"/>
    <w:rsid w:val="00BB5269"/>
    <w:rsid w:val="00BB5620"/>
    <w:rsid w:val="00BB5622"/>
    <w:rsid w:val="00BB5991"/>
    <w:rsid w:val="00BB5A38"/>
    <w:rsid w:val="00BB5E94"/>
    <w:rsid w:val="00BB6209"/>
    <w:rsid w:val="00BB62C5"/>
    <w:rsid w:val="00BB6944"/>
    <w:rsid w:val="00BB6BFE"/>
    <w:rsid w:val="00BB6F96"/>
    <w:rsid w:val="00BB70AF"/>
    <w:rsid w:val="00BB747C"/>
    <w:rsid w:val="00BB75AE"/>
    <w:rsid w:val="00BB7722"/>
    <w:rsid w:val="00BB7918"/>
    <w:rsid w:val="00BB792F"/>
    <w:rsid w:val="00BB7CD2"/>
    <w:rsid w:val="00BC00C2"/>
    <w:rsid w:val="00BC070A"/>
    <w:rsid w:val="00BC07B6"/>
    <w:rsid w:val="00BC09A7"/>
    <w:rsid w:val="00BC0E3D"/>
    <w:rsid w:val="00BC124A"/>
    <w:rsid w:val="00BC12C5"/>
    <w:rsid w:val="00BC155D"/>
    <w:rsid w:val="00BC1778"/>
    <w:rsid w:val="00BC1CFB"/>
    <w:rsid w:val="00BC20FE"/>
    <w:rsid w:val="00BC2161"/>
    <w:rsid w:val="00BC2B21"/>
    <w:rsid w:val="00BC2C01"/>
    <w:rsid w:val="00BC314F"/>
    <w:rsid w:val="00BC3318"/>
    <w:rsid w:val="00BC34E8"/>
    <w:rsid w:val="00BC3812"/>
    <w:rsid w:val="00BC3A84"/>
    <w:rsid w:val="00BC3C41"/>
    <w:rsid w:val="00BC3EC5"/>
    <w:rsid w:val="00BC43F3"/>
    <w:rsid w:val="00BC4A96"/>
    <w:rsid w:val="00BC4B3F"/>
    <w:rsid w:val="00BC4CF8"/>
    <w:rsid w:val="00BC5354"/>
    <w:rsid w:val="00BC53DC"/>
    <w:rsid w:val="00BC572F"/>
    <w:rsid w:val="00BC5C0D"/>
    <w:rsid w:val="00BC5C0F"/>
    <w:rsid w:val="00BC5D4E"/>
    <w:rsid w:val="00BC60C2"/>
    <w:rsid w:val="00BC6C3F"/>
    <w:rsid w:val="00BC6CC3"/>
    <w:rsid w:val="00BC6DC6"/>
    <w:rsid w:val="00BC748E"/>
    <w:rsid w:val="00BC7A59"/>
    <w:rsid w:val="00BD0058"/>
    <w:rsid w:val="00BD0082"/>
    <w:rsid w:val="00BD02EA"/>
    <w:rsid w:val="00BD040B"/>
    <w:rsid w:val="00BD0926"/>
    <w:rsid w:val="00BD12E0"/>
    <w:rsid w:val="00BD197F"/>
    <w:rsid w:val="00BD1BA9"/>
    <w:rsid w:val="00BD1BE9"/>
    <w:rsid w:val="00BD1E4E"/>
    <w:rsid w:val="00BD205E"/>
    <w:rsid w:val="00BD239E"/>
    <w:rsid w:val="00BD2487"/>
    <w:rsid w:val="00BD2738"/>
    <w:rsid w:val="00BD29B5"/>
    <w:rsid w:val="00BD2EC0"/>
    <w:rsid w:val="00BD2FD9"/>
    <w:rsid w:val="00BD34E4"/>
    <w:rsid w:val="00BD36E2"/>
    <w:rsid w:val="00BD37EE"/>
    <w:rsid w:val="00BD3944"/>
    <w:rsid w:val="00BD3D23"/>
    <w:rsid w:val="00BD3DD2"/>
    <w:rsid w:val="00BD3FBD"/>
    <w:rsid w:val="00BD3FF9"/>
    <w:rsid w:val="00BD4601"/>
    <w:rsid w:val="00BD477B"/>
    <w:rsid w:val="00BD4E44"/>
    <w:rsid w:val="00BD4F3E"/>
    <w:rsid w:val="00BD4F87"/>
    <w:rsid w:val="00BD4FDD"/>
    <w:rsid w:val="00BD55BF"/>
    <w:rsid w:val="00BD56E3"/>
    <w:rsid w:val="00BD59B7"/>
    <w:rsid w:val="00BD6259"/>
    <w:rsid w:val="00BD654E"/>
    <w:rsid w:val="00BD66D5"/>
    <w:rsid w:val="00BD698A"/>
    <w:rsid w:val="00BD6D66"/>
    <w:rsid w:val="00BD77DB"/>
    <w:rsid w:val="00BD795F"/>
    <w:rsid w:val="00BE014F"/>
    <w:rsid w:val="00BE0627"/>
    <w:rsid w:val="00BE0BE6"/>
    <w:rsid w:val="00BE0D67"/>
    <w:rsid w:val="00BE10F4"/>
    <w:rsid w:val="00BE12CD"/>
    <w:rsid w:val="00BE1A1B"/>
    <w:rsid w:val="00BE1EBB"/>
    <w:rsid w:val="00BE2124"/>
    <w:rsid w:val="00BE22CA"/>
    <w:rsid w:val="00BE24FD"/>
    <w:rsid w:val="00BE2639"/>
    <w:rsid w:val="00BE263E"/>
    <w:rsid w:val="00BE2890"/>
    <w:rsid w:val="00BE2CAC"/>
    <w:rsid w:val="00BE2EBA"/>
    <w:rsid w:val="00BE2FD8"/>
    <w:rsid w:val="00BE3350"/>
    <w:rsid w:val="00BE36EC"/>
    <w:rsid w:val="00BE3793"/>
    <w:rsid w:val="00BE387A"/>
    <w:rsid w:val="00BE3B79"/>
    <w:rsid w:val="00BE3E00"/>
    <w:rsid w:val="00BE4473"/>
    <w:rsid w:val="00BE44EB"/>
    <w:rsid w:val="00BE474E"/>
    <w:rsid w:val="00BE4D01"/>
    <w:rsid w:val="00BE577E"/>
    <w:rsid w:val="00BE5D19"/>
    <w:rsid w:val="00BE5E18"/>
    <w:rsid w:val="00BE5E6F"/>
    <w:rsid w:val="00BE6804"/>
    <w:rsid w:val="00BE68B5"/>
    <w:rsid w:val="00BE6D3B"/>
    <w:rsid w:val="00BE7272"/>
    <w:rsid w:val="00BE746A"/>
    <w:rsid w:val="00BE74C1"/>
    <w:rsid w:val="00BE75D7"/>
    <w:rsid w:val="00BE787C"/>
    <w:rsid w:val="00BF0362"/>
    <w:rsid w:val="00BF04D8"/>
    <w:rsid w:val="00BF0D01"/>
    <w:rsid w:val="00BF0DBE"/>
    <w:rsid w:val="00BF0DE4"/>
    <w:rsid w:val="00BF10FF"/>
    <w:rsid w:val="00BF1112"/>
    <w:rsid w:val="00BF131E"/>
    <w:rsid w:val="00BF1AE4"/>
    <w:rsid w:val="00BF1B9F"/>
    <w:rsid w:val="00BF1EAB"/>
    <w:rsid w:val="00BF2055"/>
    <w:rsid w:val="00BF2134"/>
    <w:rsid w:val="00BF240C"/>
    <w:rsid w:val="00BF26BC"/>
    <w:rsid w:val="00BF2BDA"/>
    <w:rsid w:val="00BF2C3B"/>
    <w:rsid w:val="00BF3198"/>
    <w:rsid w:val="00BF3267"/>
    <w:rsid w:val="00BF3631"/>
    <w:rsid w:val="00BF384E"/>
    <w:rsid w:val="00BF3DAA"/>
    <w:rsid w:val="00BF3E8B"/>
    <w:rsid w:val="00BF3FC8"/>
    <w:rsid w:val="00BF400B"/>
    <w:rsid w:val="00BF49F8"/>
    <w:rsid w:val="00BF4D06"/>
    <w:rsid w:val="00BF4F97"/>
    <w:rsid w:val="00BF550F"/>
    <w:rsid w:val="00BF557D"/>
    <w:rsid w:val="00BF6042"/>
    <w:rsid w:val="00BF7208"/>
    <w:rsid w:val="00BF77E9"/>
    <w:rsid w:val="00BF7B7C"/>
    <w:rsid w:val="00BF7B8E"/>
    <w:rsid w:val="00BF7C69"/>
    <w:rsid w:val="00C00717"/>
    <w:rsid w:val="00C007EE"/>
    <w:rsid w:val="00C00BD0"/>
    <w:rsid w:val="00C00CC2"/>
    <w:rsid w:val="00C011D9"/>
    <w:rsid w:val="00C013DE"/>
    <w:rsid w:val="00C014CB"/>
    <w:rsid w:val="00C01861"/>
    <w:rsid w:val="00C01DA4"/>
    <w:rsid w:val="00C02179"/>
    <w:rsid w:val="00C025C2"/>
    <w:rsid w:val="00C02622"/>
    <w:rsid w:val="00C027FD"/>
    <w:rsid w:val="00C02CF6"/>
    <w:rsid w:val="00C03AC4"/>
    <w:rsid w:val="00C03CA9"/>
    <w:rsid w:val="00C03D05"/>
    <w:rsid w:val="00C03F64"/>
    <w:rsid w:val="00C041B9"/>
    <w:rsid w:val="00C04495"/>
    <w:rsid w:val="00C04645"/>
    <w:rsid w:val="00C04982"/>
    <w:rsid w:val="00C04E12"/>
    <w:rsid w:val="00C04EF2"/>
    <w:rsid w:val="00C05287"/>
    <w:rsid w:val="00C05315"/>
    <w:rsid w:val="00C055F4"/>
    <w:rsid w:val="00C057BD"/>
    <w:rsid w:val="00C05C01"/>
    <w:rsid w:val="00C05E79"/>
    <w:rsid w:val="00C06636"/>
    <w:rsid w:val="00C0693F"/>
    <w:rsid w:val="00C069CD"/>
    <w:rsid w:val="00C06EA5"/>
    <w:rsid w:val="00C06F29"/>
    <w:rsid w:val="00C0739F"/>
    <w:rsid w:val="00C07A47"/>
    <w:rsid w:val="00C07CC1"/>
    <w:rsid w:val="00C07D1E"/>
    <w:rsid w:val="00C07DB2"/>
    <w:rsid w:val="00C07F8C"/>
    <w:rsid w:val="00C1032E"/>
    <w:rsid w:val="00C104EB"/>
    <w:rsid w:val="00C105B0"/>
    <w:rsid w:val="00C10663"/>
    <w:rsid w:val="00C109C8"/>
    <w:rsid w:val="00C10C4F"/>
    <w:rsid w:val="00C110C1"/>
    <w:rsid w:val="00C1135D"/>
    <w:rsid w:val="00C114B9"/>
    <w:rsid w:val="00C11547"/>
    <w:rsid w:val="00C1228B"/>
    <w:rsid w:val="00C12407"/>
    <w:rsid w:val="00C12694"/>
    <w:rsid w:val="00C12984"/>
    <w:rsid w:val="00C12B57"/>
    <w:rsid w:val="00C133B1"/>
    <w:rsid w:val="00C13973"/>
    <w:rsid w:val="00C13A21"/>
    <w:rsid w:val="00C13A28"/>
    <w:rsid w:val="00C14729"/>
    <w:rsid w:val="00C148A1"/>
    <w:rsid w:val="00C14F7A"/>
    <w:rsid w:val="00C155B4"/>
    <w:rsid w:val="00C15BDB"/>
    <w:rsid w:val="00C15D57"/>
    <w:rsid w:val="00C15F84"/>
    <w:rsid w:val="00C166AE"/>
    <w:rsid w:val="00C16745"/>
    <w:rsid w:val="00C16CAE"/>
    <w:rsid w:val="00C1752C"/>
    <w:rsid w:val="00C17ADA"/>
    <w:rsid w:val="00C17D83"/>
    <w:rsid w:val="00C17E48"/>
    <w:rsid w:val="00C17EE1"/>
    <w:rsid w:val="00C203BE"/>
    <w:rsid w:val="00C20448"/>
    <w:rsid w:val="00C2054F"/>
    <w:rsid w:val="00C20614"/>
    <w:rsid w:val="00C2099C"/>
    <w:rsid w:val="00C20BE4"/>
    <w:rsid w:val="00C20DBD"/>
    <w:rsid w:val="00C2171C"/>
    <w:rsid w:val="00C217F0"/>
    <w:rsid w:val="00C21A0E"/>
    <w:rsid w:val="00C21FA9"/>
    <w:rsid w:val="00C22212"/>
    <w:rsid w:val="00C22637"/>
    <w:rsid w:val="00C22848"/>
    <w:rsid w:val="00C22CA5"/>
    <w:rsid w:val="00C22E45"/>
    <w:rsid w:val="00C2384D"/>
    <w:rsid w:val="00C2395C"/>
    <w:rsid w:val="00C23FE1"/>
    <w:rsid w:val="00C25AAE"/>
    <w:rsid w:val="00C25BDC"/>
    <w:rsid w:val="00C25C96"/>
    <w:rsid w:val="00C25C9C"/>
    <w:rsid w:val="00C25D6D"/>
    <w:rsid w:val="00C25D9D"/>
    <w:rsid w:val="00C262E3"/>
    <w:rsid w:val="00C26385"/>
    <w:rsid w:val="00C269DE"/>
    <w:rsid w:val="00C2719E"/>
    <w:rsid w:val="00C273FA"/>
    <w:rsid w:val="00C2756C"/>
    <w:rsid w:val="00C27D4C"/>
    <w:rsid w:val="00C27E57"/>
    <w:rsid w:val="00C3072A"/>
    <w:rsid w:val="00C307DB"/>
    <w:rsid w:val="00C308DD"/>
    <w:rsid w:val="00C30EF0"/>
    <w:rsid w:val="00C310BC"/>
    <w:rsid w:val="00C310DF"/>
    <w:rsid w:val="00C31191"/>
    <w:rsid w:val="00C317E2"/>
    <w:rsid w:val="00C31C77"/>
    <w:rsid w:val="00C3236B"/>
    <w:rsid w:val="00C326E3"/>
    <w:rsid w:val="00C329C1"/>
    <w:rsid w:val="00C32AD6"/>
    <w:rsid w:val="00C32D8D"/>
    <w:rsid w:val="00C32F94"/>
    <w:rsid w:val="00C32FCC"/>
    <w:rsid w:val="00C3312D"/>
    <w:rsid w:val="00C3320A"/>
    <w:rsid w:val="00C3356A"/>
    <w:rsid w:val="00C338ED"/>
    <w:rsid w:val="00C3396F"/>
    <w:rsid w:val="00C34851"/>
    <w:rsid w:val="00C34E90"/>
    <w:rsid w:val="00C34FD4"/>
    <w:rsid w:val="00C35153"/>
    <w:rsid w:val="00C36AB3"/>
    <w:rsid w:val="00C36F94"/>
    <w:rsid w:val="00C36FD9"/>
    <w:rsid w:val="00C3733D"/>
    <w:rsid w:val="00C400B6"/>
    <w:rsid w:val="00C40293"/>
    <w:rsid w:val="00C4058E"/>
    <w:rsid w:val="00C40A44"/>
    <w:rsid w:val="00C40D04"/>
    <w:rsid w:val="00C40E68"/>
    <w:rsid w:val="00C41953"/>
    <w:rsid w:val="00C41BC9"/>
    <w:rsid w:val="00C41D07"/>
    <w:rsid w:val="00C41DF7"/>
    <w:rsid w:val="00C41E19"/>
    <w:rsid w:val="00C41E23"/>
    <w:rsid w:val="00C41F5D"/>
    <w:rsid w:val="00C4236D"/>
    <w:rsid w:val="00C4238A"/>
    <w:rsid w:val="00C42819"/>
    <w:rsid w:val="00C428C9"/>
    <w:rsid w:val="00C42B65"/>
    <w:rsid w:val="00C42EDF"/>
    <w:rsid w:val="00C43769"/>
    <w:rsid w:val="00C43B87"/>
    <w:rsid w:val="00C43BB1"/>
    <w:rsid w:val="00C43E8D"/>
    <w:rsid w:val="00C449B7"/>
    <w:rsid w:val="00C44C70"/>
    <w:rsid w:val="00C454D8"/>
    <w:rsid w:val="00C458DE"/>
    <w:rsid w:val="00C45A57"/>
    <w:rsid w:val="00C45AF1"/>
    <w:rsid w:val="00C45BED"/>
    <w:rsid w:val="00C45D2D"/>
    <w:rsid w:val="00C46357"/>
    <w:rsid w:val="00C46508"/>
    <w:rsid w:val="00C46521"/>
    <w:rsid w:val="00C467D7"/>
    <w:rsid w:val="00C46DD6"/>
    <w:rsid w:val="00C46FF4"/>
    <w:rsid w:val="00C470C3"/>
    <w:rsid w:val="00C47205"/>
    <w:rsid w:val="00C472B4"/>
    <w:rsid w:val="00C47963"/>
    <w:rsid w:val="00C47C87"/>
    <w:rsid w:val="00C502F6"/>
    <w:rsid w:val="00C50936"/>
    <w:rsid w:val="00C50D48"/>
    <w:rsid w:val="00C50EB5"/>
    <w:rsid w:val="00C510B2"/>
    <w:rsid w:val="00C5168B"/>
    <w:rsid w:val="00C51723"/>
    <w:rsid w:val="00C5194D"/>
    <w:rsid w:val="00C52730"/>
    <w:rsid w:val="00C52A9A"/>
    <w:rsid w:val="00C52BF3"/>
    <w:rsid w:val="00C52E0C"/>
    <w:rsid w:val="00C52E5A"/>
    <w:rsid w:val="00C52F24"/>
    <w:rsid w:val="00C52F8C"/>
    <w:rsid w:val="00C52FB1"/>
    <w:rsid w:val="00C53070"/>
    <w:rsid w:val="00C54030"/>
    <w:rsid w:val="00C546BF"/>
    <w:rsid w:val="00C546FD"/>
    <w:rsid w:val="00C54E69"/>
    <w:rsid w:val="00C54EA2"/>
    <w:rsid w:val="00C555A7"/>
    <w:rsid w:val="00C55A73"/>
    <w:rsid w:val="00C55AD6"/>
    <w:rsid w:val="00C55D84"/>
    <w:rsid w:val="00C55F26"/>
    <w:rsid w:val="00C56886"/>
    <w:rsid w:val="00C56FEE"/>
    <w:rsid w:val="00C57644"/>
    <w:rsid w:val="00C577D2"/>
    <w:rsid w:val="00C57C40"/>
    <w:rsid w:val="00C57E15"/>
    <w:rsid w:val="00C57E96"/>
    <w:rsid w:val="00C6017F"/>
    <w:rsid w:val="00C601C4"/>
    <w:rsid w:val="00C60771"/>
    <w:rsid w:val="00C61446"/>
    <w:rsid w:val="00C61511"/>
    <w:rsid w:val="00C61682"/>
    <w:rsid w:val="00C6196A"/>
    <w:rsid w:val="00C61FBE"/>
    <w:rsid w:val="00C62324"/>
    <w:rsid w:val="00C62CA8"/>
    <w:rsid w:val="00C62DA5"/>
    <w:rsid w:val="00C62E05"/>
    <w:rsid w:val="00C637EF"/>
    <w:rsid w:val="00C63C79"/>
    <w:rsid w:val="00C63C8B"/>
    <w:rsid w:val="00C643FB"/>
    <w:rsid w:val="00C6474A"/>
    <w:rsid w:val="00C64948"/>
    <w:rsid w:val="00C64964"/>
    <w:rsid w:val="00C64A02"/>
    <w:rsid w:val="00C64B2B"/>
    <w:rsid w:val="00C651CD"/>
    <w:rsid w:val="00C656DB"/>
    <w:rsid w:val="00C66131"/>
    <w:rsid w:val="00C6671B"/>
    <w:rsid w:val="00C66E8D"/>
    <w:rsid w:val="00C6714B"/>
    <w:rsid w:val="00C677BE"/>
    <w:rsid w:val="00C67E1D"/>
    <w:rsid w:val="00C7045D"/>
    <w:rsid w:val="00C7092D"/>
    <w:rsid w:val="00C70961"/>
    <w:rsid w:val="00C71562"/>
    <w:rsid w:val="00C7194C"/>
    <w:rsid w:val="00C71AFB"/>
    <w:rsid w:val="00C7204D"/>
    <w:rsid w:val="00C72229"/>
    <w:rsid w:val="00C7242D"/>
    <w:rsid w:val="00C72A4A"/>
    <w:rsid w:val="00C72BA1"/>
    <w:rsid w:val="00C73325"/>
    <w:rsid w:val="00C738DE"/>
    <w:rsid w:val="00C73AF7"/>
    <w:rsid w:val="00C73E34"/>
    <w:rsid w:val="00C740B5"/>
    <w:rsid w:val="00C7426B"/>
    <w:rsid w:val="00C7432B"/>
    <w:rsid w:val="00C7466C"/>
    <w:rsid w:val="00C74674"/>
    <w:rsid w:val="00C74781"/>
    <w:rsid w:val="00C747ED"/>
    <w:rsid w:val="00C74D1A"/>
    <w:rsid w:val="00C74D57"/>
    <w:rsid w:val="00C754D5"/>
    <w:rsid w:val="00C7557D"/>
    <w:rsid w:val="00C755AC"/>
    <w:rsid w:val="00C756D2"/>
    <w:rsid w:val="00C75D41"/>
    <w:rsid w:val="00C75EC1"/>
    <w:rsid w:val="00C7620D"/>
    <w:rsid w:val="00C768FE"/>
    <w:rsid w:val="00C76CEA"/>
    <w:rsid w:val="00C76E25"/>
    <w:rsid w:val="00C772E6"/>
    <w:rsid w:val="00C7789D"/>
    <w:rsid w:val="00C77AD1"/>
    <w:rsid w:val="00C77C43"/>
    <w:rsid w:val="00C77C56"/>
    <w:rsid w:val="00C77DA3"/>
    <w:rsid w:val="00C77DF9"/>
    <w:rsid w:val="00C8014E"/>
    <w:rsid w:val="00C8035A"/>
    <w:rsid w:val="00C803B3"/>
    <w:rsid w:val="00C803B5"/>
    <w:rsid w:val="00C806A4"/>
    <w:rsid w:val="00C806EE"/>
    <w:rsid w:val="00C80A57"/>
    <w:rsid w:val="00C81494"/>
    <w:rsid w:val="00C81520"/>
    <w:rsid w:val="00C816FF"/>
    <w:rsid w:val="00C818A7"/>
    <w:rsid w:val="00C81A37"/>
    <w:rsid w:val="00C827B0"/>
    <w:rsid w:val="00C828C9"/>
    <w:rsid w:val="00C82AB0"/>
    <w:rsid w:val="00C82ACD"/>
    <w:rsid w:val="00C82C97"/>
    <w:rsid w:val="00C82EA2"/>
    <w:rsid w:val="00C831E8"/>
    <w:rsid w:val="00C83500"/>
    <w:rsid w:val="00C83814"/>
    <w:rsid w:val="00C8395C"/>
    <w:rsid w:val="00C83D6F"/>
    <w:rsid w:val="00C83F62"/>
    <w:rsid w:val="00C841A0"/>
    <w:rsid w:val="00C84633"/>
    <w:rsid w:val="00C84794"/>
    <w:rsid w:val="00C849CC"/>
    <w:rsid w:val="00C84AFD"/>
    <w:rsid w:val="00C84BC4"/>
    <w:rsid w:val="00C8507D"/>
    <w:rsid w:val="00C850B2"/>
    <w:rsid w:val="00C8539C"/>
    <w:rsid w:val="00C8539F"/>
    <w:rsid w:val="00C8601B"/>
    <w:rsid w:val="00C86066"/>
    <w:rsid w:val="00C86D21"/>
    <w:rsid w:val="00C86F36"/>
    <w:rsid w:val="00C8730E"/>
    <w:rsid w:val="00C876C2"/>
    <w:rsid w:val="00C878B1"/>
    <w:rsid w:val="00C87A30"/>
    <w:rsid w:val="00C87EA7"/>
    <w:rsid w:val="00C87FEE"/>
    <w:rsid w:val="00C90BAC"/>
    <w:rsid w:val="00C90D9A"/>
    <w:rsid w:val="00C91590"/>
    <w:rsid w:val="00C91784"/>
    <w:rsid w:val="00C91980"/>
    <w:rsid w:val="00C91A1C"/>
    <w:rsid w:val="00C91CD5"/>
    <w:rsid w:val="00C9271F"/>
    <w:rsid w:val="00C9287A"/>
    <w:rsid w:val="00C928D1"/>
    <w:rsid w:val="00C92B40"/>
    <w:rsid w:val="00C92CF1"/>
    <w:rsid w:val="00C93013"/>
    <w:rsid w:val="00C9315F"/>
    <w:rsid w:val="00C9323D"/>
    <w:rsid w:val="00C93F92"/>
    <w:rsid w:val="00C93FFA"/>
    <w:rsid w:val="00C94238"/>
    <w:rsid w:val="00C945A9"/>
    <w:rsid w:val="00C94637"/>
    <w:rsid w:val="00C946BD"/>
    <w:rsid w:val="00C94E60"/>
    <w:rsid w:val="00C96413"/>
    <w:rsid w:val="00C96977"/>
    <w:rsid w:val="00C96CD8"/>
    <w:rsid w:val="00C96EB8"/>
    <w:rsid w:val="00C978BE"/>
    <w:rsid w:val="00C97995"/>
    <w:rsid w:val="00C979B0"/>
    <w:rsid w:val="00C97A52"/>
    <w:rsid w:val="00C97CA3"/>
    <w:rsid w:val="00C97D4D"/>
    <w:rsid w:val="00C97FB7"/>
    <w:rsid w:val="00CA0298"/>
    <w:rsid w:val="00CA05A4"/>
    <w:rsid w:val="00CA0789"/>
    <w:rsid w:val="00CA098C"/>
    <w:rsid w:val="00CA0B0B"/>
    <w:rsid w:val="00CA0B41"/>
    <w:rsid w:val="00CA0EF1"/>
    <w:rsid w:val="00CA1345"/>
    <w:rsid w:val="00CA153B"/>
    <w:rsid w:val="00CA1806"/>
    <w:rsid w:val="00CA184E"/>
    <w:rsid w:val="00CA19E2"/>
    <w:rsid w:val="00CA1A1D"/>
    <w:rsid w:val="00CA1B85"/>
    <w:rsid w:val="00CA24BA"/>
    <w:rsid w:val="00CA3177"/>
    <w:rsid w:val="00CA32E2"/>
    <w:rsid w:val="00CA3866"/>
    <w:rsid w:val="00CA3957"/>
    <w:rsid w:val="00CA3C01"/>
    <w:rsid w:val="00CA3C09"/>
    <w:rsid w:val="00CA3E10"/>
    <w:rsid w:val="00CA3E94"/>
    <w:rsid w:val="00CA3EEF"/>
    <w:rsid w:val="00CA3FD5"/>
    <w:rsid w:val="00CA47A7"/>
    <w:rsid w:val="00CA4AE9"/>
    <w:rsid w:val="00CA4D4D"/>
    <w:rsid w:val="00CA523E"/>
    <w:rsid w:val="00CA56BE"/>
    <w:rsid w:val="00CA5C20"/>
    <w:rsid w:val="00CA6198"/>
    <w:rsid w:val="00CA61E1"/>
    <w:rsid w:val="00CA63F4"/>
    <w:rsid w:val="00CA642C"/>
    <w:rsid w:val="00CA6474"/>
    <w:rsid w:val="00CA64E2"/>
    <w:rsid w:val="00CA65E6"/>
    <w:rsid w:val="00CA660C"/>
    <w:rsid w:val="00CA67C0"/>
    <w:rsid w:val="00CA68A9"/>
    <w:rsid w:val="00CA6B32"/>
    <w:rsid w:val="00CA6B35"/>
    <w:rsid w:val="00CA6B52"/>
    <w:rsid w:val="00CA6EDD"/>
    <w:rsid w:val="00CA6F31"/>
    <w:rsid w:val="00CA72F8"/>
    <w:rsid w:val="00CA7A3F"/>
    <w:rsid w:val="00CA7AED"/>
    <w:rsid w:val="00CA7C39"/>
    <w:rsid w:val="00CA7D0B"/>
    <w:rsid w:val="00CB05F9"/>
    <w:rsid w:val="00CB062E"/>
    <w:rsid w:val="00CB06A7"/>
    <w:rsid w:val="00CB09ED"/>
    <w:rsid w:val="00CB0B97"/>
    <w:rsid w:val="00CB0F60"/>
    <w:rsid w:val="00CB1394"/>
    <w:rsid w:val="00CB1933"/>
    <w:rsid w:val="00CB1BEF"/>
    <w:rsid w:val="00CB1D39"/>
    <w:rsid w:val="00CB2E13"/>
    <w:rsid w:val="00CB3583"/>
    <w:rsid w:val="00CB3B77"/>
    <w:rsid w:val="00CB40A0"/>
    <w:rsid w:val="00CB45C4"/>
    <w:rsid w:val="00CB4670"/>
    <w:rsid w:val="00CB49E7"/>
    <w:rsid w:val="00CB4A06"/>
    <w:rsid w:val="00CB53A5"/>
    <w:rsid w:val="00CB56B4"/>
    <w:rsid w:val="00CB59F2"/>
    <w:rsid w:val="00CB5B16"/>
    <w:rsid w:val="00CB5C9C"/>
    <w:rsid w:val="00CB5D2A"/>
    <w:rsid w:val="00CB5D56"/>
    <w:rsid w:val="00CB664A"/>
    <w:rsid w:val="00CB6B30"/>
    <w:rsid w:val="00CB6E21"/>
    <w:rsid w:val="00CB700C"/>
    <w:rsid w:val="00CB7341"/>
    <w:rsid w:val="00CB750E"/>
    <w:rsid w:val="00CB7961"/>
    <w:rsid w:val="00CC0449"/>
    <w:rsid w:val="00CC07FE"/>
    <w:rsid w:val="00CC0AA7"/>
    <w:rsid w:val="00CC0B90"/>
    <w:rsid w:val="00CC0E1E"/>
    <w:rsid w:val="00CC0F85"/>
    <w:rsid w:val="00CC1013"/>
    <w:rsid w:val="00CC12C1"/>
    <w:rsid w:val="00CC1398"/>
    <w:rsid w:val="00CC1518"/>
    <w:rsid w:val="00CC1C9E"/>
    <w:rsid w:val="00CC1CA6"/>
    <w:rsid w:val="00CC1D24"/>
    <w:rsid w:val="00CC1FDB"/>
    <w:rsid w:val="00CC24D6"/>
    <w:rsid w:val="00CC26DC"/>
    <w:rsid w:val="00CC2836"/>
    <w:rsid w:val="00CC2883"/>
    <w:rsid w:val="00CC299F"/>
    <w:rsid w:val="00CC2A17"/>
    <w:rsid w:val="00CC2BF4"/>
    <w:rsid w:val="00CC31A7"/>
    <w:rsid w:val="00CC34ED"/>
    <w:rsid w:val="00CC3B9D"/>
    <w:rsid w:val="00CC3FB8"/>
    <w:rsid w:val="00CC445C"/>
    <w:rsid w:val="00CC4950"/>
    <w:rsid w:val="00CC4B57"/>
    <w:rsid w:val="00CC4D85"/>
    <w:rsid w:val="00CC50C8"/>
    <w:rsid w:val="00CC55DF"/>
    <w:rsid w:val="00CC5750"/>
    <w:rsid w:val="00CC5878"/>
    <w:rsid w:val="00CC58AA"/>
    <w:rsid w:val="00CC5B02"/>
    <w:rsid w:val="00CC5B0E"/>
    <w:rsid w:val="00CC5D58"/>
    <w:rsid w:val="00CC6251"/>
    <w:rsid w:val="00CC6252"/>
    <w:rsid w:val="00CC6A8E"/>
    <w:rsid w:val="00CC75C8"/>
    <w:rsid w:val="00CC785D"/>
    <w:rsid w:val="00CC7C63"/>
    <w:rsid w:val="00CD0155"/>
    <w:rsid w:val="00CD07C0"/>
    <w:rsid w:val="00CD0D06"/>
    <w:rsid w:val="00CD0DA0"/>
    <w:rsid w:val="00CD1198"/>
    <w:rsid w:val="00CD1AF3"/>
    <w:rsid w:val="00CD1E21"/>
    <w:rsid w:val="00CD1F60"/>
    <w:rsid w:val="00CD21BD"/>
    <w:rsid w:val="00CD232D"/>
    <w:rsid w:val="00CD265E"/>
    <w:rsid w:val="00CD2773"/>
    <w:rsid w:val="00CD2818"/>
    <w:rsid w:val="00CD2910"/>
    <w:rsid w:val="00CD3577"/>
    <w:rsid w:val="00CD363D"/>
    <w:rsid w:val="00CD38CC"/>
    <w:rsid w:val="00CD3A4F"/>
    <w:rsid w:val="00CD3C53"/>
    <w:rsid w:val="00CD4136"/>
    <w:rsid w:val="00CD4214"/>
    <w:rsid w:val="00CD431D"/>
    <w:rsid w:val="00CD4A43"/>
    <w:rsid w:val="00CD50E4"/>
    <w:rsid w:val="00CD5132"/>
    <w:rsid w:val="00CD5499"/>
    <w:rsid w:val="00CD54B6"/>
    <w:rsid w:val="00CD560A"/>
    <w:rsid w:val="00CD571C"/>
    <w:rsid w:val="00CD5A3B"/>
    <w:rsid w:val="00CD5E17"/>
    <w:rsid w:val="00CD626F"/>
    <w:rsid w:val="00CD65AC"/>
    <w:rsid w:val="00CD6721"/>
    <w:rsid w:val="00CD68BD"/>
    <w:rsid w:val="00CD68F0"/>
    <w:rsid w:val="00CD6C26"/>
    <w:rsid w:val="00CD6F21"/>
    <w:rsid w:val="00CD6F5D"/>
    <w:rsid w:val="00CD7506"/>
    <w:rsid w:val="00CD7C39"/>
    <w:rsid w:val="00CE0105"/>
    <w:rsid w:val="00CE0816"/>
    <w:rsid w:val="00CE1028"/>
    <w:rsid w:val="00CE13AB"/>
    <w:rsid w:val="00CE13DE"/>
    <w:rsid w:val="00CE1625"/>
    <w:rsid w:val="00CE187A"/>
    <w:rsid w:val="00CE1F7B"/>
    <w:rsid w:val="00CE2222"/>
    <w:rsid w:val="00CE29BD"/>
    <w:rsid w:val="00CE2A3E"/>
    <w:rsid w:val="00CE3086"/>
    <w:rsid w:val="00CE3471"/>
    <w:rsid w:val="00CE3774"/>
    <w:rsid w:val="00CE4017"/>
    <w:rsid w:val="00CE4D2B"/>
    <w:rsid w:val="00CE4DF1"/>
    <w:rsid w:val="00CE5187"/>
    <w:rsid w:val="00CE56B7"/>
    <w:rsid w:val="00CE572B"/>
    <w:rsid w:val="00CE5ACC"/>
    <w:rsid w:val="00CE5B16"/>
    <w:rsid w:val="00CE5B42"/>
    <w:rsid w:val="00CE61A1"/>
    <w:rsid w:val="00CE6D08"/>
    <w:rsid w:val="00CE7755"/>
    <w:rsid w:val="00CE7943"/>
    <w:rsid w:val="00CF013E"/>
    <w:rsid w:val="00CF020E"/>
    <w:rsid w:val="00CF036B"/>
    <w:rsid w:val="00CF0729"/>
    <w:rsid w:val="00CF0781"/>
    <w:rsid w:val="00CF0FC3"/>
    <w:rsid w:val="00CF101C"/>
    <w:rsid w:val="00CF11F5"/>
    <w:rsid w:val="00CF163C"/>
    <w:rsid w:val="00CF2037"/>
    <w:rsid w:val="00CF2324"/>
    <w:rsid w:val="00CF26AB"/>
    <w:rsid w:val="00CF2817"/>
    <w:rsid w:val="00CF2932"/>
    <w:rsid w:val="00CF33EB"/>
    <w:rsid w:val="00CF3F1E"/>
    <w:rsid w:val="00CF40AD"/>
    <w:rsid w:val="00CF4342"/>
    <w:rsid w:val="00CF464D"/>
    <w:rsid w:val="00CF476F"/>
    <w:rsid w:val="00CF4CDF"/>
    <w:rsid w:val="00CF4CFD"/>
    <w:rsid w:val="00CF4E52"/>
    <w:rsid w:val="00CF5A34"/>
    <w:rsid w:val="00CF5AC9"/>
    <w:rsid w:val="00CF5B8D"/>
    <w:rsid w:val="00CF5F9A"/>
    <w:rsid w:val="00CF645F"/>
    <w:rsid w:val="00CF65D0"/>
    <w:rsid w:val="00CF6617"/>
    <w:rsid w:val="00CF668C"/>
    <w:rsid w:val="00CF681D"/>
    <w:rsid w:val="00CF6968"/>
    <w:rsid w:val="00CF7B82"/>
    <w:rsid w:val="00D003E9"/>
    <w:rsid w:val="00D007F6"/>
    <w:rsid w:val="00D007FE"/>
    <w:rsid w:val="00D00ADD"/>
    <w:rsid w:val="00D00D92"/>
    <w:rsid w:val="00D00F8E"/>
    <w:rsid w:val="00D0116A"/>
    <w:rsid w:val="00D01333"/>
    <w:rsid w:val="00D01420"/>
    <w:rsid w:val="00D01A9A"/>
    <w:rsid w:val="00D01AAE"/>
    <w:rsid w:val="00D01D44"/>
    <w:rsid w:val="00D0281C"/>
    <w:rsid w:val="00D02840"/>
    <w:rsid w:val="00D02B8F"/>
    <w:rsid w:val="00D02DF4"/>
    <w:rsid w:val="00D02EC2"/>
    <w:rsid w:val="00D032BE"/>
    <w:rsid w:val="00D03542"/>
    <w:rsid w:val="00D03611"/>
    <w:rsid w:val="00D03683"/>
    <w:rsid w:val="00D037D6"/>
    <w:rsid w:val="00D0380E"/>
    <w:rsid w:val="00D03994"/>
    <w:rsid w:val="00D03A78"/>
    <w:rsid w:val="00D03B7E"/>
    <w:rsid w:val="00D03D9C"/>
    <w:rsid w:val="00D0413C"/>
    <w:rsid w:val="00D0414E"/>
    <w:rsid w:val="00D041B1"/>
    <w:rsid w:val="00D0426D"/>
    <w:rsid w:val="00D046E1"/>
    <w:rsid w:val="00D04866"/>
    <w:rsid w:val="00D05216"/>
    <w:rsid w:val="00D05C9C"/>
    <w:rsid w:val="00D05E51"/>
    <w:rsid w:val="00D06334"/>
    <w:rsid w:val="00D065D2"/>
    <w:rsid w:val="00D06D31"/>
    <w:rsid w:val="00D06ED4"/>
    <w:rsid w:val="00D07078"/>
    <w:rsid w:val="00D07596"/>
    <w:rsid w:val="00D0768D"/>
    <w:rsid w:val="00D07727"/>
    <w:rsid w:val="00D078B9"/>
    <w:rsid w:val="00D07941"/>
    <w:rsid w:val="00D07BA5"/>
    <w:rsid w:val="00D07C47"/>
    <w:rsid w:val="00D103BF"/>
    <w:rsid w:val="00D10B63"/>
    <w:rsid w:val="00D10B8F"/>
    <w:rsid w:val="00D10CAD"/>
    <w:rsid w:val="00D111DA"/>
    <w:rsid w:val="00D11326"/>
    <w:rsid w:val="00D1150A"/>
    <w:rsid w:val="00D11715"/>
    <w:rsid w:val="00D119B2"/>
    <w:rsid w:val="00D123F0"/>
    <w:rsid w:val="00D136B3"/>
    <w:rsid w:val="00D137C5"/>
    <w:rsid w:val="00D13999"/>
    <w:rsid w:val="00D13E05"/>
    <w:rsid w:val="00D140C6"/>
    <w:rsid w:val="00D143A3"/>
    <w:rsid w:val="00D1444D"/>
    <w:rsid w:val="00D146C3"/>
    <w:rsid w:val="00D14AB4"/>
    <w:rsid w:val="00D14C71"/>
    <w:rsid w:val="00D14D6D"/>
    <w:rsid w:val="00D14E97"/>
    <w:rsid w:val="00D158FE"/>
    <w:rsid w:val="00D15921"/>
    <w:rsid w:val="00D159D2"/>
    <w:rsid w:val="00D15C81"/>
    <w:rsid w:val="00D15FBF"/>
    <w:rsid w:val="00D1641D"/>
    <w:rsid w:val="00D1697A"/>
    <w:rsid w:val="00D17026"/>
    <w:rsid w:val="00D173EF"/>
    <w:rsid w:val="00D175E9"/>
    <w:rsid w:val="00D1765B"/>
    <w:rsid w:val="00D176A3"/>
    <w:rsid w:val="00D176C7"/>
    <w:rsid w:val="00D20334"/>
    <w:rsid w:val="00D2073C"/>
    <w:rsid w:val="00D20854"/>
    <w:rsid w:val="00D20873"/>
    <w:rsid w:val="00D20957"/>
    <w:rsid w:val="00D20BDB"/>
    <w:rsid w:val="00D20CB0"/>
    <w:rsid w:val="00D20D16"/>
    <w:rsid w:val="00D20EC1"/>
    <w:rsid w:val="00D214BE"/>
    <w:rsid w:val="00D21A6C"/>
    <w:rsid w:val="00D21AA6"/>
    <w:rsid w:val="00D22212"/>
    <w:rsid w:val="00D224AA"/>
    <w:rsid w:val="00D228D3"/>
    <w:rsid w:val="00D22C11"/>
    <w:rsid w:val="00D22D72"/>
    <w:rsid w:val="00D23565"/>
    <w:rsid w:val="00D23CE8"/>
    <w:rsid w:val="00D24071"/>
    <w:rsid w:val="00D240A9"/>
    <w:rsid w:val="00D241E3"/>
    <w:rsid w:val="00D241E4"/>
    <w:rsid w:val="00D24411"/>
    <w:rsid w:val="00D2496C"/>
    <w:rsid w:val="00D24F3B"/>
    <w:rsid w:val="00D25162"/>
    <w:rsid w:val="00D251B6"/>
    <w:rsid w:val="00D257F5"/>
    <w:rsid w:val="00D25D5E"/>
    <w:rsid w:val="00D2675C"/>
    <w:rsid w:val="00D26F21"/>
    <w:rsid w:val="00D26FFA"/>
    <w:rsid w:val="00D27312"/>
    <w:rsid w:val="00D275BA"/>
    <w:rsid w:val="00D27860"/>
    <w:rsid w:val="00D27BC4"/>
    <w:rsid w:val="00D3010A"/>
    <w:rsid w:val="00D306C7"/>
    <w:rsid w:val="00D30943"/>
    <w:rsid w:val="00D309B3"/>
    <w:rsid w:val="00D30AE4"/>
    <w:rsid w:val="00D30D07"/>
    <w:rsid w:val="00D31355"/>
    <w:rsid w:val="00D3147E"/>
    <w:rsid w:val="00D31730"/>
    <w:rsid w:val="00D317D3"/>
    <w:rsid w:val="00D3192B"/>
    <w:rsid w:val="00D319A8"/>
    <w:rsid w:val="00D31A97"/>
    <w:rsid w:val="00D31AF0"/>
    <w:rsid w:val="00D31B23"/>
    <w:rsid w:val="00D31D76"/>
    <w:rsid w:val="00D3206C"/>
    <w:rsid w:val="00D32363"/>
    <w:rsid w:val="00D32388"/>
    <w:rsid w:val="00D323B2"/>
    <w:rsid w:val="00D325A9"/>
    <w:rsid w:val="00D3268C"/>
    <w:rsid w:val="00D32816"/>
    <w:rsid w:val="00D32828"/>
    <w:rsid w:val="00D32C7C"/>
    <w:rsid w:val="00D32DAE"/>
    <w:rsid w:val="00D32F57"/>
    <w:rsid w:val="00D331C0"/>
    <w:rsid w:val="00D3338A"/>
    <w:rsid w:val="00D33D8F"/>
    <w:rsid w:val="00D340B6"/>
    <w:rsid w:val="00D342A1"/>
    <w:rsid w:val="00D3461D"/>
    <w:rsid w:val="00D34B9F"/>
    <w:rsid w:val="00D34F0D"/>
    <w:rsid w:val="00D35060"/>
    <w:rsid w:val="00D351D3"/>
    <w:rsid w:val="00D35B2A"/>
    <w:rsid w:val="00D35B86"/>
    <w:rsid w:val="00D365EB"/>
    <w:rsid w:val="00D37476"/>
    <w:rsid w:val="00D374FC"/>
    <w:rsid w:val="00D37F48"/>
    <w:rsid w:val="00D4080A"/>
    <w:rsid w:val="00D40C1B"/>
    <w:rsid w:val="00D40F37"/>
    <w:rsid w:val="00D4121E"/>
    <w:rsid w:val="00D4156C"/>
    <w:rsid w:val="00D41664"/>
    <w:rsid w:val="00D41994"/>
    <w:rsid w:val="00D419D6"/>
    <w:rsid w:val="00D41F3E"/>
    <w:rsid w:val="00D41F6D"/>
    <w:rsid w:val="00D42C47"/>
    <w:rsid w:val="00D42D1D"/>
    <w:rsid w:val="00D42E0B"/>
    <w:rsid w:val="00D43058"/>
    <w:rsid w:val="00D43317"/>
    <w:rsid w:val="00D43740"/>
    <w:rsid w:val="00D437B7"/>
    <w:rsid w:val="00D43DA7"/>
    <w:rsid w:val="00D44085"/>
    <w:rsid w:val="00D4429F"/>
    <w:rsid w:val="00D44E45"/>
    <w:rsid w:val="00D4534F"/>
    <w:rsid w:val="00D453C0"/>
    <w:rsid w:val="00D45564"/>
    <w:rsid w:val="00D45B6F"/>
    <w:rsid w:val="00D46221"/>
    <w:rsid w:val="00D46287"/>
    <w:rsid w:val="00D46681"/>
    <w:rsid w:val="00D4672F"/>
    <w:rsid w:val="00D46C01"/>
    <w:rsid w:val="00D46DC1"/>
    <w:rsid w:val="00D46F1E"/>
    <w:rsid w:val="00D47276"/>
    <w:rsid w:val="00D47503"/>
    <w:rsid w:val="00D4794A"/>
    <w:rsid w:val="00D50005"/>
    <w:rsid w:val="00D50541"/>
    <w:rsid w:val="00D50DE4"/>
    <w:rsid w:val="00D50E43"/>
    <w:rsid w:val="00D51450"/>
    <w:rsid w:val="00D5152B"/>
    <w:rsid w:val="00D51658"/>
    <w:rsid w:val="00D517D7"/>
    <w:rsid w:val="00D51D7D"/>
    <w:rsid w:val="00D52271"/>
    <w:rsid w:val="00D528BF"/>
    <w:rsid w:val="00D52C79"/>
    <w:rsid w:val="00D53087"/>
    <w:rsid w:val="00D53270"/>
    <w:rsid w:val="00D53C80"/>
    <w:rsid w:val="00D53F42"/>
    <w:rsid w:val="00D54390"/>
    <w:rsid w:val="00D544DF"/>
    <w:rsid w:val="00D544E7"/>
    <w:rsid w:val="00D54675"/>
    <w:rsid w:val="00D5481A"/>
    <w:rsid w:val="00D54AE7"/>
    <w:rsid w:val="00D54E0C"/>
    <w:rsid w:val="00D54E83"/>
    <w:rsid w:val="00D55BD9"/>
    <w:rsid w:val="00D55CE9"/>
    <w:rsid w:val="00D562FA"/>
    <w:rsid w:val="00D56A29"/>
    <w:rsid w:val="00D56FE9"/>
    <w:rsid w:val="00D570BE"/>
    <w:rsid w:val="00D574E9"/>
    <w:rsid w:val="00D5759A"/>
    <w:rsid w:val="00D577FF"/>
    <w:rsid w:val="00D60243"/>
    <w:rsid w:val="00D614F3"/>
    <w:rsid w:val="00D617A5"/>
    <w:rsid w:val="00D61947"/>
    <w:rsid w:val="00D61CE8"/>
    <w:rsid w:val="00D61F5D"/>
    <w:rsid w:val="00D61FAF"/>
    <w:rsid w:val="00D627DD"/>
    <w:rsid w:val="00D6299E"/>
    <w:rsid w:val="00D62E38"/>
    <w:rsid w:val="00D62FEC"/>
    <w:rsid w:val="00D6317F"/>
    <w:rsid w:val="00D631C4"/>
    <w:rsid w:val="00D634D1"/>
    <w:rsid w:val="00D6362C"/>
    <w:rsid w:val="00D638DA"/>
    <w:rsid w:val="00D6398E"/>
    <w:rsid w:val="00D639D6"/>
    <w:rsid w:val="00D63CCC"/>
    <w:rsid w:val="00D63EE2"/>
    <w:rsid w:val="00D643EF"/>
    <w:rsid w:val="00D645F8"/>
    <w:rsid w:val="00D64B0A"/>
    <w:rsid w:val="00D64E40"/>
    <w:rsid w:val="00D65241"/>
    <w:rsid w:val="00D65F50"/>
    <w:rsid w:val="00D66291"/>
    <w:rsid w:val="00D662EF"/>
    <w:rsid w:val="00D66472"/>
    <w:rsid w:val="00D66481"/>
    <w:rsid w:val="00D66530"/>
    <w:rsid w:val="00D6658E"/>
    <w:rsid w:val="00D665AF"/>
    <w:rsid w:val="00D6678F"/>
    <w:rsid w:val="00D669A7"/>
    <w:rsid w:val="00D66A39"/>
    <w:rsid w:val="00D66A44"/>
    <w:rsid w:val="00D66F6E"/>
    <w:rsid w:val="00D67137"/>
    <w:rsid w:val="00D671E0"/>
    <w:rsid w:val="00D679E0"/>
    <w:rsid w:val="00D67F26"/>
    <w:rsid w:val="00D67F2D"/>
    <w:rsid w:val="00D700DD"/>
    <w:rsid w:val="00D70606"/>
    <w:rsid w:val="00D706ED"/>
    <w:rsid w:val="00D708E2"/>
    <w:rsid w:val="00D70D6C"/>
    <w:rsid w:val="00D712E1"/>
    <w:rsid w:val="00D7151C"/>
    <w:rsid w:val="00D716F2"/>
    <w:rsid w:val="00D719C5"/>
    <w:rsid w:val="00D71C25"/>
    <w:rsid w:val="00D71E73"/>
    <w:rsid w:val="00D71FFA"/>
    <w:rsid w:val="00D7230E"/>
    <w:rsid w:val="00D7252C"/>
    <w:rsid w:val="00D726A1"/>
    <w:rsid w:val="00D72CB6"/>
    <w:rsid w:val="00D7345C"/>
    <w:rsid w:val="00D7385F"/>
    <w:rsid w:val="00D73A58"/>
    <w:rsid w:val="00D73A92"/>
    <w:rsid w:val="00D73D5A"/>
    <w:rsid w:val="00D74026"/>
    <w:rsid w:val="00D7406F"/>
    <w:rsid w:val="00D746E4"/>
    <w:rsid w:val="00D747D7"/>
    <w:rsid w:val="00D74A11"/>
    <w:rsid w:val="00D74B30"/>
    <w:rsid w:val="00D74C2C"/>
    <w:rsid w:val="00D74D24"/>
    <w:rsid w:val="00D74FFD"/>
    <w:rsid w:val="00D751E5"/>
    <w:rsid w:val="00D754BD"/>
    <w:rsid w:val="00D75961"/>
    <w:rsid w:val="00D75E7A"/>
    <w:rsid w:val="00D760B7"/>
    <w:rsid w:val="00D76128"/>
    <w:rsid w:val="00D7623D"/>
    <w:rsid w:val="00D7647E"/>
    <w:rsid w:val="00D764A9"/>
    <w:rsid w:val="00D768AB"/>
    <w:rsid w:val="00D76B40"/>
    <w:rsid w:val="00D76E81"/>
    <w:rsid w:val="00D772EE"/>
    <w:rsid w:val="00D77396"/>
    <w:rsid w:val="00D7797D"/>
    <w:rsid w:val="00D77AAF"/>
    <w:rsid w:val="00D77F00"/>
    <w:rsid w:val="00D8026A"/>
    <w:rsid w:val="00D80588"/>
    <w:rsid w:val="00D8066C"/>
    <w:rsid w:val="00D80D13"/>
    <w:rsid w:val="00D812B5"/>
    <w:rsid w:val="00D819C5"/>
    <w:rsid w:val="00D81AD0"/>
    <w:rsid w:val="00D81CAA"/>
    <w:rsid w:val="00D81E2D"/>
    <w:rsid w:val="00D81ED3"/>
    <w:rsid w:val="00D82761"/>
    <w:rsid w:val="00D829B1"/>
    <w:rsid w:val="00D82C8E"/>
    <w:rsid w:val="00D83BDE"/>
    <w:rsid w:val="00D8441B"/>
    <w:rsid w:val="00D84CE3"/>
    <w:rsid w:val="00D84F75"/>
    <w:rsid w:val="00D84F91"/>
    <w:rsid w:val="00D855BF"/>
    <w:rsid w:val="00D855D3"/>
    <w:rsid w:val="00D856AD"/>
    <w:rsid w:val="00D85790"/>
    <w:rsid w:val="00D85A1F"/>
    <w:rsid w:val="00D85A21"/>
    <w:rsid w:val="00D85AF5"/>
    <w:rsid w:val="00D863A5"/>
    <w:rsid w:val="00D86B30"/>
    <w:rsid w:val="00D86BA0"/>
    <w:rsid w:val="00D86DBA"/>
    <w:rsid w:val="00D86F8F"/>
    <w:rsid w:val="00D86FF6"/>
    <w:rsid w:val="00D87DFC"/>
    <w:rsid w:val="00D90265"/>
    <w:rsid w:val="00D9077D"/>
    <w:rsid w:val="00D909E7"/>
    <w:rsid w:val="00D90D08"/>
    <w:rsid w:val="00D90DDE"/>
    <w:rsid w:val="00D90F1C"/>
    <w:rsid w:val="00D9106D"/>
    <w:rsid w:val="00D91966"/>
    <w:rsid w:val="00D92EE4"/>
    <w:rsid w:val="00D934AB"/>
    <w:rsid w:val="00D934B2"/>
    <w:rsid w:val="00D936A0"/>
    <w:rsid w:val="00D9379D"/>
    <w:rsid w:val="00D93A39"/>
    <w:rsid w:val="00D9466C"/>
    <w:rsid w:val="00D9472F"/>
    <w:rsid w:val="00D948AB"/>
    <w:rsid w:val="00D94D02"/>
    <w:rsid w:val="00D95187"/>
    <w:rsid w:val="00D955EF"/>
    <w:rsid w:val="00D969AC"/>
    <w:rsid w:val="00D96B55"/>
    <w:rsid w:val="00D972D9"/>
    <w:rsid w:val="00D9734B"/>
    <w:rsid w:val="00D9748B"/>
    <w:rsid w:val="00D9782B"/>
    <w:rsid w:val="00D9793F"/>
    <w:rsid w:val="00D97CC6"/>
    <w:rsid w:val="00D97D02"/>
    <w:rsid w:val="00D97F6D"/>
    <w:rsid w:val="00DA0213"/>
    <w:rsid w:val="00DA0821"/>
    <w:rsid w:val="00DA0B8C"/>
    <w:rsid w:val="00DA0EC2"/>
    <w:rsid w:val="00DA0FD5"/>
    <w:rsid w:val="00DA1238"/>
    <w:rsid w:val="00DA14D0"/>
    <w:rsid w:val="00DA15F1"/>
    <w:rsid w:val="00DA163B"/>
    <w:rsid w:val="00DA168F"/>
    <w:rsid w:val="00DA16D0"/>
    <w:rsid w:val="00DA18AB"/>
    <w:rsid w:val="00DA1D46"/>
    <w:rsid w:val="00DA1F4E"/>
    <w:rsid w:val="00DA2159"/>
    <w:rsid w:val="00DA2607"/>
    <w:rsid w:val="00DA2684"/>
    <w:rsid w:val="00DA2B85"/>
    <w:rsid w:val="00DA2E34"/>
    <w:rsid w:val="00DA3065"/>
    <w:rsid w:val="00DA3119"/>
    <w:rsid w:val="00DA34A0"/>
    <w:rsid w:val="00DA3D8A"/>
    <w:rsid w:val="00DA3FD7"/>
    <w:rsid w:val="00DA5398"/>
    <w:rsid w:val="00DA55B5"/>
    <w:rsid w:val="00DA594A"/>
    <w:rsid w:val="00DA5997"/>
    <w:rsid w:val="00DA5C93"/>
    <w:rsid w:val="00DA5DE8"/>
    <w:rsid w:val="00DA5E29"/>
    <w:rsid w:val="00DA63E2"/>
    <w:rsid w:val="00DA6458"/>
    <w:rsid w:val="00DA658C"/>
    <w:rsid w:val="00DA6841"/>
    <w:rsid w:val="00DB00C2"/>
    <w:rsid w:val="00DB02A6"/>
    <w:rsid w:val="00DB075B"/>
    <w:rsid w:val="00DB08C3"/>
    <w:rsid w:val="00DB09E2"/>
    <w:rsid w:val="00DB0B2C"/>
    <w:rsid w:val="00DB0C0D"/>
    <w:rsid w:val="00DB1351"/>
    <w:rsid w:val="00DB1562"/>
    <w:rsid w:val="00DB1935"/>
    <w:rsid w:val="00DB1B67"/>
    <w:rsid w:val="00DB2013"/>
    <w:rsid w:val="00DB230F"/>
    <w:rsid w:val="00DB262D"/>
    <w:rsid w:val="00DB281B"/>
    <w:rsid w:val="00DB287B"/>
    <w:rsid w:val="00DB291A"/>
    <w:rsid w:val="00DB2F5B"/>
    <w:rsid w:val="00DB2F96"/>
    <w:rsid w:val="00DB4200"/>
    <w:rsid w:val="00DB4605"/>
    <w:rsid w:val="00DB4895"/>
    <w:rsid w:val="00DB4BE5"/>
    <w:rsid w:val="00DB5090"/>
    <w:rsid w:val="00DB56E1"/>
    <w:rsid w:val="00DB59AF"/>
    <w:rsid w:val="00DB5D13"/>
    <w:rsid w:val="00DB5D22"/>
    <w:rsid w:val="00DB5EF5"/>
    <w:rsid w:val="00DB62A9"/>
    <w:rsid w:val="00DB6340"/>
    <w:rsid w:val="00DB6418"/>
    <w:rsid w:val="00DB675F"/>
    <w:rsid w:val="00DB6963"/>
    <w:rsid w:val="00DB6A9D"/>
    <w:rsid w:val="00DB6F58"/>
    <w:rsid w:val="00DB6F8F"/>
    <w:rsid w:val="00DB70DF"/>
    <w:rsid w:val="00DB729B"/>
    <w:rsid w:val="00DB7C93"/>
    <w:rsid w:val="00DC0120"/>
    <w:rsid w:val="00DC087C"/>
    <w:rsid w:val="00DC0E39"/>
    <w:rsid w:val="00DC106E"/>
    <w:rsid w:val="00DC1293"/>
    <w:rsid w:val="00DC158F"/>
    <w:rsid w:val="00DC1672"/>
    <w:rsid w:val="00DC197C"/>
    <w:rsid w:val="00DC1AAC"/>
    <w:rsid w:val="00DC1D5E"/>
    <w:rsid w:val="00DC1F45"/>
    <w:rsid w:val="00DC1F6B"/>
    <w:rsid w:val="00DC27E9"/>
    <w:rsid w:val="00DC28D9"/>
    <w:rsid w:val="00DC2979"/>
    <w:rsid w:val="00DC299A"/>
    <w:rsid w:val="00DC2C77"/>
    <w:rsid w:val="00DC2F6E"/>
    <w:rsid w:val="00DC316E"/>
    <w:rsid w:val="00DC3864"/>
    <w:rsid w:val="00DC452B"/>
    <w:rsid w:val="00DC4DF7"/>
    <w:rsid w:val="00DC5192"/>
    <w:rsid w:val="00DC5857"/>
    <w:rsid w:val="00DC5ADE"/>
    <w:rsid w:val="00DC5BB5"/>
    <w:rsid w:val="00DC6213"/>
    <w:rsid w:val="00DC643B"/>
    <w:rsid w:val="00DC6758"/>
    <w:rsid w:val="00DC6A73"/>
    <w:rsid w:val="00DC6BC6"/>
    <w:rsid w:val="00DC6E25"/>
    <w:rsid w:val="00DC7138"/>
    <w:rsid w:val="00DC7318"/>
    <w:rsid w:val="00DC7A02"/>
    <w:rsid w:val="00DC7B63"/>
    <w:rsid w:val="00DC7EEB"/>
    <w:rsid w:val="00DD0035"/>
    <w:rsid w:val="00DD046A"/>
    <w:rsid w:val="00DD16E1"/>
    <w:rsid w:val="00DD1DEF"/>
    <w:rsid w:val="00DD2BF5"/>
    <w:rsid w:val="00DD31A6"/>
    <w:rsid w:val="00DD3D61"/>
    <w:rsid w:val="00DD48EC"/>
    <w:rsid w:val="00DD521E"/>
    <w:rsid w:val="00DD53E5"/>
    <w:rsid w:val="00DD5A20"/>
    <w:rsid w:val="00DD5CF5"/>
    <w:rsid w:val="00DD6180"/>
    <w:rsid w:val="00DD6ABE"/>
    <w:rsid w:val="00DD6E13"/>
    <w:rsid w:val="00DD71EB"/>
    <w:rsid w:val="00DD7209"/>
    <w:rsid w:val="00DD75DE"/>
    <w:rsid w:val="00DD7C55"/>
    <w:rsid w:val="00DE004B"/>
    <w:rsid w:val="00DE00BB"/>
    <w:rsid w:val="00DE00CD"/>
    <w:rsid w:val="00DE044D"/>
    <w:rsid w:val="00DE04F5"/>
    <w:rsid w:val="00DE0602"/>
    <w:rsid w:val="00DE0CFA"/>
    <w:rsid w:val="00DE108E"/>
    <w:rsid w:val="00DE1DFF"/>
    <w:rsid w:val="00DE1ECF"/>
    <w:rsid w:val="00DE2821"/>
    <w:rsid w:val="00DE2B27"/>
    <w:rsid w:val="00DE2C50"/>
    <w:rsid w:val="00DE2C72"/>
    <w:rsid w:val="00DE311B"/>
    <w:rsid w:val="00DE3719"/>
    <w:rsid w:val="00DE3896"/>
    <w:rsid w:val="00DE3E7B"/>
    <w:rsid w:val="00DE4705"/>
    <w:rsid w:val="00DE4901"/>
    <w:rsid w:val="00DE4921"/>
    <w:rsid w:val="00DE5330"/>
    <w:rsid w:val="00DE53FA"/>
    <w:rsid w:val="00DE5566"/>
    <w:rsid w:val="00DE5D9E"/>
    <w:rsid w:val="00DE65DA"/>
    <w:rsid w:val="00DE664E"/>
    <w:rsid w:val="00DE668F"/>
    <w:rsid w:val="00DE67A8"/>
    <w:rsid w:val="00DE6A3D"/>
    <w:rsid w:val="00DE6B18"/>
    <w:rsid w:val="00DE735C"/>
    <w:rsid w:val="00DE749C"/>
    <w:rsid w:val="00DE7560"/>
    <w:rsid w:val="00DE76CE"/>
    <w:rsid w:val="00DE7D27"/>
    <w:rsid w:val="00DF0264"/>
    <w:rsid w:val="00DF049D"/>
    <w:rsid w:val="00DF0617"/>
    <w:rsid w:val="00DF0D89"/>
    <w:rsid w:val="00DF1228"/>
    <w:rsid w:val="00DF124F"/>
    <w:rsid w:val="00DF15DF"/>
    <w:rsid w:val="00DF1CCD"/>
    <w:rsid w:val="00DF1E4A"/>
    <w:rsid w:val="00DF2065"/>
    <w:rsid w:val="00DF22DD"/>
    <w:rsid w:val="00DF25A0"/>
    <w:rsid w:val="00DF27D4"/>
    <w:rsid w:val="00DF29E6"/>
    <w:rsid w:val="00DF2A27"/>
    <w:rsid w:val="00DF2D65"/>
    <w:rsid w:val="00DF35FD"/>
    <w:rsid w:val="00DF382F"/>
    <w:rsid w:val="00DF3AAF"/>
    <w:rsid w:val="00DF3C10"/>
    <w:rsid w:val="00DF4124"/>
    <w:rsid w:val="00DF4450"/>
    <w:rsid w:val="00DF4542"/>
    <w:rsid w:val="00DF4692"/>
    <w:rsid w:val="00DF4727"/>
    <w:rsid w:val="00DF4EE0"/>
    <w:rsid w:val="00DF5B7F"/>
    <w:rsid w:val="00DF5C07"/>
    <w:rsid w:val="00DF60DF"/>
    <w:rsid w:val="00DF62E6"/>
    <w:rsid w:val="00DF6323"/>
    <w:rsid w:val="00DF6533"/>
    <w:rsid w:val="00DF6563"/>
    <w:rsid w:val="00DF6A15"/>
    <w:rsid w:val="00DF6ABB"/>
    <w:rsid w:val="00DF6F93"/>
    <w:rsid w:val="00DF78BB"/>
    <w:rsid w:val="00DF7B25"/>
    <w:rsid w:val="00E00E4D"/>
    <w:rsid w:val="00E0129C"/>
    <w:rsid w:val="00E01597"/>
    <w:rsid w:val="00E017AC"/>
    <w:rsid w:val="00E01AF3"/>
    <w:rsid w:val="00E01C18"/>
    <w:rsid w:val="00E01CC9"/>
    <w:rsid w:val="00E01FFA"/>
    <w:rsid w:val="00E02324"/>
    <w:rsid w:val="00E0346E"/>
    <w:rsid w:val="00E035C7"/>
    <w:rsid w:val="00E03E65"/>
    <w:rsid w:val="00E041CE"/>
    <w:rsid w:val="00E0452B"/>
    <w:rsid w:val="00E04C1A"/>
    <w:rsid w:val="00E04ED3"/>
    <w:rsid w:val="00E05205"/>
    <w:rsid w:val="00E05885"/>
    <w:rsid w:val="00E0589A"/>
    <w:rsid w:val="00E05B90"/>
    <w:rsid w:val="00E05E6F"/>
    <w:rsid w:val="00E06088"/>
    <w:rsid w:val="00E060E4"/>
    <w:rsid w:val="00E06340"/>
    <w:rsid w:val="00E063F4"/>
    <w:rsid w:val="00E06441"/>
    <w:rsid w:val="00E0660B"/>
    <w:rsid w:val="00E06C1B"/>
    <w:rsid w:val="00E0716E"/>
    <w:rsid w:val="00E071FC"/>
    <w:rsid w:val="00E07C75"/>
    <w:rsid w:val="00E100E9"/>
    <w:rsid w:val="00E100F7"/>
    <w:rsid w:val="00E104BB"/>
    <w:rsid w:val="00E10737"/>
    <w:rsid w:val="00E10BD6"/>
    <w:rsid w:val="00E10DFF"/>
    <w:rsid w:val="00E10F16"/>
    <w:rsid w:val="00E10FC4"/>
    <w:rsid w:val="00E11156"/>
    <w:rsid w:val="00E116F6"/>
    <w:rsid w:val="00E1173B"/>
    <w:rsid w:val="00E11C87"/>
    <w:rsid w:val="00E11FA1"/>
    <w:rsid w:val="00E12100"/>
    <w:rsid w:val="00E12157"/>
    <w:rsid w:val="00E128A0"/>
    <w:rsid w:val="00E133C2"/>
    <w:rsid w:val="00E13653"/>
    <w:rsid w:val="00E136DB"/>
    <w:rsid w:val="00E13A78"/>
    <w:rsid w:val="00E13D9D"/>
    <w:rsid w:val="00E14425"/>
    <w:rsid w:val="00E14508"/>
    <w:rsid w:val="00E14A01"/>
    <w:rsid w:val="00E14C09"/>
    <w:rsid w:val="00E14F2B"/>
    <w:rsid w:val="00E150DC"/>
    <w:rsid w:val="00E1513D"/>
    <w:rsid w:val="00E15915"/>
    <w:rsid w:val="00E15B41"/>
    <w:rsid w:val="00E15BCE"/>
    <w:rsid w:val="00E15DED"/>
    <w:rsid w:val="00E15E98"/>
    <w:rsid w:val="00E15FC9"/>
    <w:rsid w:val="00E163CA"/>
    <w:rsid w:val="00E1697A"/>
    <w:rsid w:val="00E16BFC"/>
    <w:rsid w:val="00E17201"/>
    <w:rsid w:val="00E2135E"/>
    <w:rsid w:val="00E21617"/>
    <w:rsid w:val="00E21C9E"/>
    <w:rsid w:val="00E21F1D"/>
    <w:rsid w:val="00E21FAC"/>
    <w:rsid w:val="00E21FF9"/>
    <w:rsid w:val="00E22BA7"/>
    <w:rsid w:val="00E233C2"/>
    <w:rsid w:val="00E2342F"/>
    <w:rsid w:val="00E235CF"/>
    <w:rsid w:val="00E2367E"/>
    <w:rsid w:val="00E23759"/>
    <w:rsid w:val="00E2378B"/>
    <w:rsid w:val="00E237C1"/>
    <w:rsid w:val="00E23C5D"/>
    <w:rsid w:val="00E23F94"/>
    <w:rsid w:val="00E23FFC"/>
    <w:rsid w:val="00E24534"/>
    <w:rsid w:val="00E2499E"/>
    <w:rsid w:val="00E24C3A"/>
    <w:rsid w:val="00E24C77"/>
    <w:rsid w:val="00E25592"/>
    <w:rsid w:val="00E25597"/>
    <w:rsid w:val="00E2569C"/>
    <w:rsid w:val="00E25B9F"/>
    <w:rsid w:val="00E25BAE"/>
    <w:rsid w:val="00E25E37"/>
    <w:rsid w:val="00E266A2"/>
    <w:rsid w:val="00E266DB"/>
    <w:rsid w:val="00E2699C"/>
    <w:rsid w:val="00E269AB"/>
    <w:rsid w:val="00E2763D"/>
    <w:rsid w:val="00E27717"/>
    <w:rsid w:val="00E2790C"/>
    <w:rsid w:val="00E27D83"/>
    <w:rsid w:val="00E27E5E"/>
    <w:rsid w:val="00E3004B"/>
    <w:rsid w:val="00E302A1"/>
    <w:rsid w:val="00E305F0"/>
    <w:rsid w:val="00E306FA"/>
    <w:rsid w:val="00E30748"/>
    <w:rsid w:val="00E30C59"/>
    <w:rsid w:val="00E30C92"/>
    <w:rsid w:val="00E30DCB"/>
    <w:rsid w:val="00E30E70"/>
    <w:rsid w:val="00E317A5"/>
    <w:rsid w:val="00E3194D"/>
    <w:rsid w:val="00E31EA6"/>
    <w:rsid w:val="00E3289A"/>
    <w:rsid w:val="00E32BAD"/>
    <w:rsid w:val="00E32C6F"/>
    <w:rsid w:val="00E330E6"/>
    <w:rsid w:val="00E33201"/>
    <w:rsid w:val="00E33230"/>
    <w:rsid w:val="00E334C2"/>
    <w:rsid w:val="00E33785"/>
    <w:rsid w:val="00E33B2E"/>
    <w:rsid w:val="00E33E72"/>
    <w:rsid w:val="00E33ED2"/>
    <w:rsid w:val="00E34107"/>
    <w:rsid w:val="00E34702"/>
    <w:rsid w:val="00E347EF"/>
    <w:rsid w:val="00E34810"/>
    <w:rsid w:val="00E34849"/>
    <w:rsid w:val="00E3515B"/>
    <w:rsid w:val="00E352E8"/>
    <w:rsid w:val="00E354FD"/>
    <w:rsid w:val="00E355E6"/>
    <w:rsid w:val="00E35721"/>
    <w:rsid w:val="00E358D7"/>
    <w:rsid w:val="00E3625E"/>
    <w:rsid w:val="00E365AA"/>
    <w:rsid w:val="00E368C8"/>
    <w:rsid w:val="00E36B44"/>
    <w:rsid w:val="00E36CC0"/>
    <w:rsid w:val="00E36DD4"/>
    <w:rsid w:val="00E370D1"/>
    <w:rsid w:val="00E37275"/>
    <w:rsid w:val="00E37685"/>
    <w:rsid w:val="00E378CD"/>
    <w:rsid w:val="00E37CEF"/>
    <w:rsid w:val="00E37D26"/>
    <w:rsid w:val="00E37DD1"/>
    <w:rsid w:val="00E37ECC"/>
    <w:rsid w:val="00E40711"/>
    <w:rsid w:val="00E40A0C"/>
    <w:rsid w:val="00E40C1D"/>
    <w:rsid w:val="00E40E68"/>
    <w:rsid w:val="00E412CE"/>
    <w:rsid w:val="00E417DD"/>
    <w:rsid w:val="00E41CA2"/>
    <w:rsid w:val="00E41DDD"/>
    <w:rsid w:val="00E41FE6"/>
    <w:rsid w:val="00E421F8"/>
    <w:rsid w:val="00E42C23"/>
    <w:rsid w:val="00E42CE5"/>
    <w:rsid w:val="00E42F8D"/>
    <w:rsid w:val="00E43A3D"/>
    <w:rsid w:val="00E43B47"/>
    <w:rsid w:val="00E43C60"/>
    <w:rsid w:val="00E43CA5"/>
    <w:rsid w:val="00E443FE"/>
    <w:rsid w:val="00E4454D"/>
    <w:rsid w:val="00E44595"/>
    <w:rsid w:val="00E44619"/>
    <w:rsid w:val="00E44C9B"/>
    <w:rsid w:val="00E44F45"/>
    <w:rsid w:val="00E450B8"/>
    <w:rsid w:val="00E453E6"/>
    <w:rsid w:val="00E45694"/>
    <w:rsid w:val="00E456A1"/>
    <w:rsid w:val="00E45825"/>
    <w:rsid w:val="00E4590C"/>
    <w:rsid w:val="00E46063"/>
    <w:rsid w:val="00E46129"/>
    <w:rsid w:val="00E465E9"/>
    <w:rsid w:val="00E46ABC"/>
    <w:rsid w:val="00E46C5D"/>
    <w:rsid w:val="00E46DCA"/>
    <w:rsid w:val="00E47229"/>
    <w:rsid w:val="00E4729A"/>
    <w:rsid w:val="00E4788F"/>
    <w:rsid w:val="00E5030F"/>
    <w:rsid w:val="00E504F8"/>
    <w:rsid w:val="00E50833"/>
    <w:rsid w:val="00E50D50"/>
    <w:rsid w:val="00E513E6"/>
    <w:rsid w:val="00E51819"/>
    <w:rsid w:val="00E51FE8"/>
    <w:rsid w:val="00E520A7"/>
    <w:rsid w:val="00E522F1"/>
    <w:rsid w:val="00E52515"/>
    <w:rsid w:val="00E52AD8"/>
    <w:rsid w:val="00E52B42"/>
    <w:rsid w:val="00E52D43"/>
    <w:rsid w:val="00E5374A"/>
    <w:rsid w:val="00E53D80"/>
    <w:rsid w:val="00E53FF4"/>
    <w:rsid w:val="00E54464"/>
    <w:rsid w:val="00E544BD"/>
    <w:rsid w:val="00E54C82"/>
    <w:rsid w:val="00E54E99"/>
    <w:rsid w:val="00E55118"/>
    <w:rsid w:val="00E55566"/>
    <w:rsid w:val="00E55608"/>
    <w:rsid w:val="00E5597A"/>
    <w:rsid w:val="00E55ECF"/>
    <w:rsid w:val="00E56241"/>
    <w:rsid w:val="00E5625E"/>
    <w:rsid w:val="00E5635F"/>
    <w:rsid w:val="00E564EB"/>
    <w:rsid w:val="00E56730"/>
    <w:rsid w:val="00E569AC"/>
    <w:rsid w:val="00E57654"/>
    <w:rsid w:val="00E57CD4"/>
    <w:rsid w:val="00E57E2D"/>
    <w:rsid w:val="00E606F0"/>
    <w:rsid w:val="00E60C3A"/>
    <w:rsid w:val="00E60E44"/>
    <w:rsid w:val="00E61463"/>
    <w:rsid w:val="00E61637"/>
    <w:rsid w:val="00E616F2"/>
    <w:rsid w:val="00E619C3"/>
    <w:rsid w:val="00E61A76"/>
    <w:rsid w:val="00E61C9E"/>
    <w:rsid w:val="00E62021"/>
    <w:rsid w:val="00E621E7"/>
    <w:rsid w:val="00E62383"/>
    <w:rsid w:val="00E62527"/>
    <w:rsid w:val="00E625D4"/>
    <w:rsid w:val="00E62856"/>
    <w:rsid w:val="00E631FB"/>
    <w:rsid w:val="00E63348"/>
    <w:rsid w:val="00E63587"/>
    <w:rsid w:val="00E6388E"/>
    <w:rsid w:val="00E63C0E"/>
    <w:rsid w:val="00E63F49"/>
    <w:rsid w:val="00E6415E"/>
    <w:rsid w:val="00E64340"/>
    <w:rsid w:val="00E6479E"/>
    <w:rsid w:val="00E647D6"/>
    <w:rsid w:val="00E64AD8"/>
    <w:rsid w:val="00E64CA5"/>
    <w:rsid w:val="00E64EA0"/>
    <w:rsid w:val="00E65204"/>
    <w:rsid w:val="00E653E2"/>
    <w:rsid w:val="00E65F2A"/>
    <w:rsid w:val="00E660A4"/>
    <w:rsid w:val="00E6615D"/>
    <w:rsid w:val="00E66234"/>
    <w:rsid w:val="00E6626E"/>
    <w:rsid w:val="00E665C9"/>
    <w:rsid w:val="00E66A1F"/>
    <w:rsid w:val="00E6705B"/>
    <w:rsid w:val="00E670A8"/>
    <w:rsid w:val="00E67113"/>
    <w:rsid w:val="00E671F5"/>
    <w:rsid w:val="00E6740A"/>
    <w:rsid w:val="00E6743E"/>
    <w:rsid w:val="00E675C4"/>
    <w:rsid w:val="00E6783C"/>
    <w:rsid w:val="00E67BA9"/>
    <w:rsid w:val="00E67FB8"/>
    <w:rsid w:val="00E702CC"/>
    <w:rsid w:val="00E70CB6"/>
    <w:rsid w:val="00E716D0"/>
    <w:rsid w:val="00E71827"/>
    <w:rsid w:val="00E718C4"/>
    <w:rsid w:val="00E719E6"/>
    <w:rsid w:val="00E71B5D"/>
    <w:rsid w:val="00E72194"/>
    <w:rsid w:val="00E7225A"/>
    <w:rsid w:val="00E72F99"/>
    <w:rsid w:val="00E73093"/>
    <w:rsid w:val="00E73D6E"/>
    <w:rsid w:val="00E73E5F"/>
    <w:rsid w:val="00E740D2"/>
    <w:rsid w:val="00E7429A"/>
    <w:rsid w:val="00E744B0"/>
    <w:rsid w:val="00E7453A"/>
    <w:rsid w:val="00E74BEF"/>
    <w:rsid w:val="00E74F4D"/>
    <w:rsid w:val="00E7502A"/>
    <w:rsid w:val="00E7524E"/>
    <w:rsid w:val="00E75384"/>
    <w:rsid w:val="00E75A9C"/>
    <w:rsid w:val="00E7630B"/>
    <w:rsid w:val="00E76588"/>
    <w:rsid w:val="00E76DA9"/>
    <w:rsid w:val="00E77191"/>
    <w:rsid w:val="00E7720C"/>
    <w:rsid w:val="00E77607"/>
    <w:rsid w:val="00E77690"/>
    <w:rsid w:val="00E77BD4"/>
    <w:rsid w:val="00E77D1B"/>
    <w:rsid w:val="00E77DEA"/>
    <w:rsid w:val="00E800D7"/>
    <w:rsid w:val="00E8028B"/>
    <w:rsid w:val="00E804EE"/>
    <w:rsid w:val="00E805DC"/>
    <w:rsid w:val="00E80A0D"/>
    <w:rsid w:val="00E80A25"/>
    <w:rsid w:val="00E818A8"/>
    <w:rsid w:val="00E819E7"/>
    <w:rsid w:val="00E81F93"/>
    <w:rsid w:val="00E82B91"/>
    <w:rsid w:val="00E82D99"/>
    <w:rsid w:val="00E82E51"/>
    <w:rsid w:val="00E838CC"/>
    <w:rsid w:val="00E83B39"/>
    <w:rsid w:val="00E840DA"/>
    <w:rsid w:val="00E842C4"/>
    <w:rsid w:val="00E847E6"/>
    <w:rsid w:val="00E84DAD"/>
    <w:rsid w:val="00E85132"/>
    <w:rsid w:val="00E8519E"/>
    <w:rsid w:val="00E858C1"/>
    <w:rsid w:val="00E85A16"/>
    <w:rsid w:val="00E85BFF"/>
    <w:rsid w:val="00E86151"/>
    <w:rsid w:val="00E86443"/>
    <w:rsid w:val="00E86A44"/>
    <w:rsid w:val="00E86CDF"/>
    <w:rsid w:val="00E86D42"/>
    <w:rsid w:val="00E86E9B"/>
    <w:rsid w:val="00E86FFF"/>
    <w:rsid w:val="00E8757B"/>
    <w:rsid w:val="00E87772"/>
    <w:rsid w:val="00E8794B"/>
    <w:rsid w:val="00E9069C"/>
    <w:rsid w:val="00E90A2D"/>
    <w:rsid w:val="00E90F71"/>
    <w:rsid w:val="00E915E7"/>
    <w:rsid w:val="00E91DF6"/>
    <w:rsid w:val="00E91F65"/>
    <w:rsid w:val="00E92022"/>
    <w:rsid w:val="00E925B9"/>
    <w:rsid w:val="00E9315D"/>
    <w:rsid w:val="00E9365C"/>
    <w:rsid w:val="00E9367D"/>
    <w:rsid w:val="00E93D73"/>
    <w:rsid w:val="00E940CA"/>
    <w:rsid w:val="00E94D00"/>
    <w:rsid w:val="00E94D7B"/>
    <w:rsid w:val="00E9513F"/>
    <w:rsid w:val="00E9526F"/>
    <w:rsid w:val="00E95427"/>
    <w:rsid w:val="00E9568D"/>
    <w:rsid w:val="00E95A8B"/>
    <w:rsid w:val="00E95E29"/>
    <w:rsid w:val="00E95F5B"/>
    <w:rsid w:val="00E960FD"/>
    <w:rsid w:val="00E96126"/>
    <w:rsid w:val="00E96793"/>
    <w:rsid w:val="00E969AB"/>
    <w:rsid w:val="00E96C44"/>
    <w:rsid w:val="00E973D2"/>
    <w:rsid w:val="00E97F6A"/>
    <w:rsid w:val="00E97FE6"/>
    <w:rsid w:val="00EA059C"/>
    <w:rsid w:val="00EA0F62"/>
    <w:rsid w:val="00EA10B0"/>
    <w:rsid w:val="00EA10BB"/>
    <w:rsid w:val="00EA182B"/>
    <w:rsid w:val="00EA1972"/>
    <w:rsid w:val="00EA1D48"/>
    <w:rsid w:val="00EA1F44"/>
    <w:rsid w:val="00EA2121"/>
    <w:rsid w:val="00EA22E2"/>
    <w:rsid w:val="00EA2954"/>
    <w:rsid w:val="00EA2B66"/>
    <w:rsid w:val="00EA2E28"/>
    <w:rsid w:val="00EA2F16"/>
    <w:rsid w:val="00EA3439"/>
    <w:rsid w:val="00EA3493"/>
    <w:rsid w:val="00EA34F7"/>
    <w:rsid w:val="00EA435F"/>
    <w:rsid w:val="00EA43A4"/>
    <w:rsid w:val="00EA4504"/>
    <w:rsid w:val="00EA4812"/>
    <w:rsid w:val="00EA4CDE"/>
    <w:rsid w:val="00EA4E40"/>
    <w:rsid w:val="00EA516D"/>
    <w:rsid w:val="00EA52E3"/>
    <w:rsid w:val="00EA5781"/>
    <w:rsid w:val="00EA5D9D"/>
    <w:rsid w:val="00EA61F6"/>
    <w:rsid w:val="00EA650A"/>
    <w:rsid w:val="00EA6518"/>
    <w:rsid w:val="00EA69E8"/>
    <w:rsid w:val="00EA6AEC"/>
    <w:rsid w:val="00EA716F"/>
    <w:rsid w:val="00EA72A4"/>
    <w:rsid w:val="00EA78FC"/>
    <w:rsid w:val="00EA7A12"/>
    <w:rsid w:val="00EA7AB9"/>
    <w:rsid w:val="00EB02E6"/>
    <w:rsid w:val="00EB03B6"/>
    <w:rsid w:val="00EB043D"/>
    <w:rsid w:val="00EB0EF3"/>
    <w:rsid w:val="00EB115D"/>
    <w:rsid w:val="00EB1389"/>
    <w:rsid w:val="00EB13B0"/>
    <w:rsid w:val="00EB159B"/>
    <w:rsid w:val="00EB1A2B"/>
    <w:rsid w:val="00EB1B7C"/>
    <w:rsid w:val="00EB1DDB"/>
    <w:rsid w:val="00EB1F5C"/>
    <w:rsid w:val="00EB1FA2"/>
    <w:rsid w:val="00EB2313"/>
    <w:rsid w:val="00EB247B"/>
    <w:rsid w:val="00EB25E3"/>
    <w:rsid w:val="00EB2D39"/>
    <w:rsid w:val="00EB2D47"/>
    <w:rsid w:val="00EB3301"/>
    <w:rsid w:val="00EB357E"/>
    <w:rsid w:val="00EB37D4"/>
    <w:rsid w:val="00EB3CF8"/>
    <w:rsid w:val="00EB461E"/>
    <w:rsid w:val="00EB466A"/>
    <w:rsid w:val="00EB5104"/>
    <w:rsid w:val="00EB57CE"/>
    <w:rsid w:val="00EB5983"/>
    <w:rsid w:val="00EB5AEF"/>
    <w:rsid w:val="00EB5CB1"/>
    <w:rsid w:val="00EB5D20"/>
    <w:rsid w:val="00EB5D39"/>
    <w:rsid w:val="00EB6456"/>
    <w:rsid w:val="00EB65A9"/>
    <w:rsid w:val="00EB65BC"/>
    <w:rsid w:val="00EB6BD6"/>
    <w:rsid w:val="00EB7579"/>
    <w:rsid w:val="00EB75B9"/>
    <w:rsid w:val="00EB7728"/>
    <w:rsid w:val="00EB7BD4"/>
    <w:rsid w:val="00EB7F0C"/>
    <w:rsid w:val="00EC028B"/>
    <w:rsid w:val="00EC035B"/>
    <w:rsid w:val="00EC061D"/>
    <w:rsid w:val="00EC0C26"/>
    <w:rsid w:val="00EC0DB3"/>
    <w:rsid w:val="00EC1124"/>
    <w:rsid w:val="00EC1608"/>
    <w:rsid w:val="00EC18EA"/>
    <w:rsid w:val="00EC1A5B"/>
    <w:rsid w:val="00EC2159"/>
    <w:rsid w:val="00EC217F"/>
    <w:rsid w:val="00EC2453"/>
    <w:rsid w:val="00EC2BFB"/>
    <w:rsid w:val="00EC30D3"/>
    <w:rsid w:val="00EC31B5"/>
    <w:rsid w:val="00EC36DE"/>
    <w:rsid w:val="00EC37A8"/>
    <w:rsid w:val="00EC38B0"/>
    <w:rsid w:val="00EC3B1E"/>
    <w:rsid w:val="00EC3CA3"/>
    <w:rsid w:val="00EC4D69"/>
    <w:rsid w:val="00EC5423"/>
    <w:rsid w:val="00EC599D"/>
    <w:rsid w:val="00EC5CD7"/>
    <w:rsid w:val="00EC5D9D"/>
    <w:rsid w:val="00EC5DBE"/>
    <w:rsid w:val="00EC5ECC"/>
    <w:rsid w:val="00EC5F6D"/>
    <w:rsid w:val="00EC66D9"/>
    <w:rsid w:val="00EC68AF"/>
    <w:rsid w:val="00EC6AED"/>
    <w:rsid w:val="00EC6B3F"/>
    <w:rsid w:val="00EC6E08"/>
    <w:rsid w:val="00EC6E82"/>
    <w:rsid w:val="00EC6F6D"/>
    <w:rsid w:val="00EC7152"/>
    <w:rsid w:val="00EC723E"/>
    <w:rsid w:val="00EC7278"/>
    <w:rsid w:val="00EC73A5"/>
    <w:rsid w:val="00EC77B6"/>
    <w:rsid w:val="00EC7CAC"/>
    <w:rsid w:val="00EC7D71"/>
    <w:rsid w:val="00ED00A9"/>
    <w:rsid w:val="00ED0711"/>
    <w:rsid w:val="00ED072C"/>
    <w:rsid w:val="00ED08DC"/>
    <w:rsid w:val="00ED0F66"/>
    <w:rsid w:val="00ED0FED"/>
    <w:rsid w:val="00ED158E"/>
    <w:rsid w:val="00ED16D7"/>
    <w:rsid w:val="00ED1AB8"/>
    <w:rsid w:val="00ED1BDC"/>
    <w:rsid w:val="00ED24F6"/>
    <w:rsid w:val="00ED2AB3"/>
    <w:rsid w:val="00ED2CC8"/>
    <w:rsid w:val="00ED3956"/>
    <w:rsid w:val="00ED3C74"/>
    <w:rsid w:val="00ED3E0C"/>
    <w:rsid w:val="00ED404C"/>
    <w:rsid w:val="00ED40D0"/>
    <w:rsid w:val="00ED4114"/>
    <w:rsid w:val="00ED443F"/>
    <w:rsid w:val="00ED4F09"/>
    <w:rsid w:val="00ED4F0B"/>
    <w:rsid w:val="00ED4F47"/>
    <w:rsid w:val="00ED5176"/>
    <w:rsid w:val="00ED543F"/>
    <w:rsid w:val="00ED5551"/>
    <w:rsid w:val="00ED56C2"/>
    <w:rsid w:val="00ED582A"/>
    <w:rsid w:val="00ED5ED0"/>
    <w:rsid w:val="00ED60C6"/>
    <w:rsid w:val="00ED611C"/>
    <w:rsid w:val="00ED688C"/>
    <w:rsid w:val="00ED6BE1"/>
    <w:rsid w:val="00ED6ECC"/>
    <w:rsid w:val="00ED72FE"/>
    <w:rsid w:val="00ED76DE"/>
    <w:rsid w:val="00ED7F4B"/>
    <w:rsid w:val="00EE026D"/>
    <w:rsid w:val="00EE03DC"/>
    <w:rsid w:val="00EE0EC3"/>
    <w:rsid w:val="00EE0F3A"/>
    <w:rsid w:val="00EE16EF"/>
    <w:rsid w:val="00EE17F2"/>
    <w:rsid w:val="00EE180B"/>
    <w:rsid w:val="00EE1E38"/>
    <w:rsid w:val="00EE2284"/>
    <w:rsid w:val="00EE250B"/>
    <w:rsid w:val="00EE250C"/>
    <w:rsid w:val="00EE2563"/>
    <w:rsid w:val="00EE2979"/>
    <w:rsid w:val="00EE2E70"/>
    <w:rsid w:val="00EE32BD"/>
    <w:rsid w:val="00EE3420"/>
    <w:rsid w:val="00EE34F7"/>
    <w:rsid w:val="00EE36FB"/>
    <w:rsid w:val="00EE37B9"/>
    <w:rsid w:val="00EE381F"/>
    <w:rsid w:val="00EE3A23"/>
    <w:rsid w:val="00EE3DD7"/>
    <w:rsid w:val="00EE40BE"/>
    <w:rsid w:val="00EE418A"/>
    <w:rsid w:val="00EE4713"/>
    <w:rsid w:val="00EE4BB3"/>
    <w:rsid w:val="00EE4E74"/>
    <w:rsid w:val="00EE5006"/>
    <w:rsid w:val="00EE53F3"/>
    <w:rsid w:val="00EE54F6"/>
    <w:rsid w:val="00EE5508"/>
    <w:rsid w:val="00EE56AE"/>
    <w:rsid w:val="00EE5F85"/>
    <w:rsid w:val="00EE617E"/>
    <w:rsid w:val="00EE666C"/>
    <w:rsid w:val="00EE6A77"/>
    <w:rsid w:val="00EE6BA4"/>
    <w:rsid w:val="00EE6D77"/>
    <w:rsid w:val="00EE6F19"/>
    <w:rsid w:val="00EE6FEF"/>
    <w:rsid w:val="00EF0080"/>
    <w:rsid w:val="00EF15DA"/>
    <w:rsid w:val="00EF19FA"/>
    <w:rsid w:val="00EF1E17"/>
    <w:rsid w:val="00EF1E54"/>
    <w:rsid w:val="00EF1EB3"/>
    <w:rsid w:val="00EF1F44"/>
    <w:rsid w:val="00EF2260"/>
    <w:rsid w:val="00EF25AA"/>
    <w:rsid w:val="00EF28B7"/>
    <w:rsid w:val="00EF2F91"/>
    <w:rsid w:val="00EF33D4"/>
    <w:rsid w:val="00EF3927"/>
    <w:rsid w:val="00EF3CA7"/>
    <w:rsid w:val="00EF3E8C"/>
    <w:rsid w:val="00EF3F17"/>
    <w:rsid w:val="00EF3F7C"/>
    <w:rsid w:val="00EF43ED"/>
    <w:rsid w:val="00EF4B01"/>
    <w:rsid w:val="00EF4CA6"/>
    <w:rsid w:val="00EF4CE8"/>
    <w:rsid w:val="00EF4E96"/>
    <w:rsid w:val="00EF4EC0"/>
    <w:rsid w:val="00EF5132"/>
    <w:rsid w:val="00EF561B"/>
    <w:rsid w:val="00EF5CF1"/>
    <w:rsid w:val="00EF5E95"/>
    <w:rsid w:val="00EF5FC4"/>
    <w:rsid w:val="00EF623E"/>
    <w:rsid w:val="00EF64E5"/>
    <w:rsid w:val="00EF6D54"/>
    <w:rsid w:val="00EF6E4D"/>
    <w:rsid w:val="00EF70E3"/>
    <w:rsid w:val="00EF7566"/>
    <w:rsid w:val="00EF7665"/>
    <w:rsid w:val="00EF7926"/>
    <w:rsid w:val="00EF7A7C"/>
    <w:rsid w:val="00EF7AE5"/>
    <w:rsid w:val="00EF7BC2"/>
    <w:rsid w:val="00EF7CB7"/>
    <w:rsid w:val="00EF7E71"/>
    <w:rsid w:val="00EF7F43"/>
    <w:rsid w:val="00F0007B"/>
    <w:rsid w:val="00F0025C"/>
    <w:rsid w:val="00F0051B"/>
    <w:rsid w:val="00F00733"/>
    <w:rsid w:val="00F007EF"/>
    <w:rsid w:val="00F00BEB"/>
    <w:rsid w:val="00F01237"/>
    <w:rsid w:val="00F012C9"/>
    <w:rsid w:val="00F012F8"/>
    <w:rsid w:val="00F0162B"/>
    <w:rsid w:val="00F0170F"/>
    <w:rsid w:val="00F01898"/>
    <w:rsid w:val="00F02360"/>
    <w:rsid w:val="00F0275B"/>
    <w:rsid w:val="00F02C82"/>
    <w:rsid w:val="00F02CD5"/>
    <w:rsid w:val="00F02DB4"/>
    <w:rsid w:val="00F03099"/>
    <w:rsid w:val="00F0337C"/>
    <w:rsid w:val="00F039E6"/>
    <w:rsid w:val="00F03ED8"/>
    <w:rsid w:val="00F046AE"/>
    <w:rsid w:val="00F04782"/>
    <w:rsid w:val="00F05220"/>
    <w:rsid w:val="00F05335"/>
    <w:rsid w:val="00F05402"/>
    <w:rsid w:val="00F05716"/>
    <w:rsid w:val="00F061FD"/>
    <w:rsid w:val="00F065FC"/>
    <w:rsid w:val="00F07A41"/>
    <w:rsid w:val="00F07D09"/>
    <w:rsid w:val="00F07F98"/>
    <w:rsid w:val="00F10193"/>
    <w:rsid w:val="00F1051A"/>
    <w:rsid w:val="00F107D0"/>
    <w:rsid w:val="00F10868"/>
    <w:rsid w:val="00F11264"/>
    <w:rsid w:val="00F112E4"/>
    <w:rsid w:val="00F11339"/>
    <w:rsid w:val="00F11358"/>
    <w:rsid w:val="00F11D46"/>
    <w:rsid w:val="00F11F64"/>
    <w:rsid w:val="00F1200B"/>
    <w:rsid w:val="00F12623"/>
    <w:rsid w:val="00F13B50"/>
    <w:rsid w:val="00F13C28"/>
    <w:rsid w:val="00F14848"/>
    <w:rsid w:val="00F1529B"/>
    <w:rsid w:val="00F15469"/>
    <w:rsid w:val="00F15506"/>
    <w:rsid w:val="00F158B8"/>
    <w:rsid w:val="00F15CD7"/>
    <w:rsid w:val="00F162EF"/>
    <w:rsid w:val="00F16846"/>
    <w:rsid w:val="00F16B0A"/>
    <w:rsid w:val="00F16B68"/>
    <w:rsid w:val="00F16CC1"/>
    <w:rsid w:val="00F16E11"/>
    <w:rsid w:val="00F1712C"/>
    <w:rsid w:val="00F171A0"/>
    <w:rsid w:val="00F17243"/>
    <w:rsid w:val="00F176FE"/>
    <w:rsid w:val="00F20F9F"/>
    <w:rsid w:val="00F21126"/>
    <w:rsid w:val="00F21191"/>
    <w:rsid w:val="00F21293"/>
    <w:rsid w:val="00F22214"/>
    <w:rsid w:val="00F2224A"/>
    <w:rsid w:val="00F224D0"/>
    <w:rsid w:val="00F22515"/>
    <w:rsid w:val="00F22613"/>
    <w:rsid w:val="00F2268C"/>
    <w:rsid w:val="00F226F0"/>
    <w:rsid w:val="00F228B1"/>
    <w:rsid w:val="00F22B32"/>
    <w:rsid w:val="00F22C72"/>
    <w:rsid w:val="00F23205"/>
    <w:rsid w:val="00F23259"/>
    <w:rsid w:val="00F23369"/>
    <w:rsid w:val="00F23916"/>
    <w:rsid w:val="00F23AF1"/>
    <w:rsid w:val="00F23B9B"/>
    <w:rsid w:val="00F24116"/>
    <w:rsid w:val="00F24709"/>
    <w:rsid w:val="00F247D9"/>
    <w:rsid w:val="00F24A31"/>
    <w:rsid w:val="00F24CD1"/>
    <w:rsid w:val="00F24D21"/>
    <w:rsid w:val="00F24FAD"/>
    <w:rsid w:val="00F25037"/>
    <w:rsid w:val="00F2534A"/>
    <w:rsid w:val="00F25DEC"/>
    <w:rsid w:val="00F25EBD"/>
    <w:rsid w:val="00F2650F"/>
    <w:rsid w:val="00F2666B"/>
    <w:rsid w:val="00F26873"/>
    <w:rsid w:val="00F26A40"/>
    <w:rsid w:val="00F26EDD"/>
    <w:rsid w:val="00F2702D"/>
    <w:rsid w:val="00F272C3"/>
    <w:rsid w:val="00F278AE"/>
    <w:rsid w:val="00F27CF8"/>
    <w:rsid w:val="00F27CFE"/>
    <w:rsid w:val="00F303DE"/>
    <w:rsid w:val="00F303F3"/>
    <w:rsid w:val="00F30430"/>
    <w:rsid w:val="00F30A29"/>
    <w:rsid w:val="00F30A8B"/>
    <w:rsid w:val="00F30E0F"/>
    <w:rsid w:val="00F30E46"/>
    <w:rsid w:val="00F30E8C"/>
    <w:rsid w:val="00F31982"/>
    <w:rsid w:val="00F31E50"/>
    <w:rsid w:val="00F32231"/>
    <w:rsid w:val="00F325DE"/>
    <w:rsid w:val="00F32905"/>
    <w:rsid w:val="00F32A48"/>
    <w:rsid w:val="00F32ED5"/>
    <w:rsid w:val="00F330F9"/>
    <w:rsid w:val="00F33121"/>
    <w:rsid w:val="00F3335F"/>
    <w:rsid w:val="00F3344F"/>
    <w:rsid w:val="00F33544"/>
    <w:rsid w:val="00F335B4"/>
    <w:rsid w:val="00F33ACE"/>
    <w:rsid w:val="00F33CB5"/>
    <w:rsid w:val="00F33D4E"/>
    <w:rsid w:val="00F33E19"/>
    <w:rsid w:val="00F33EC2"/>
    <w:rsid w:val="00F33F99"/>
    <w:rsid w:val="00F348F9"/>
    <w:rsid w:val="00F34EA5"/>
    <w:rsid w:val="00F35332"/>
    <w:rsid w:val="00F3534C"/>
    <w:rsid w:val="00F353A6"/>
    <w:rsid w:val="00F353F6"/>
    <w:rsid w:val="00F35B08"/>
    <w:rsid w:val="00F35D2A"/>
    <w:rsid w:val="00F35EAF"/>
    <w:rsid w:val="00F35EBC"/>
    <w:rsid w:val="00F3607D"/>
    <w:rsid w:val="00F3611E"/>
    <w:rsid w:val="00F361FB"/>
    <w:rsid w:val="00F364CA"/>
    <w:rsid w:val="00F36CA8"/>
    <w:rsid w:val="00F36D03"/>
    <w:rsid w:val="00F36DD3"/>
    <w:rsid w:val="00F3704F"/>
    <w:rsid w:val="00F3737D"/>
    <w:rsid w:val="00F375A8"/>
    <w:rsid w:val="00F3795F"/>
    <w:rsid w:val="00F40081"/>
    <w:rsid w:val="00F4036D"/>
    <w:rsid w:val="00F40A0F"/>
    <w:rsid w:val="00F412D2"/>
    <w:rsid w:val="00F4136D"/>
    <w:rsid w:val="00F41524"/>
    <w:rsid w:val="00F41A12"/>
    <w:rsid w:val="00F41CAE"/>
    <w:rsid w:val="00F41D94"/>
    <w:rsid w:val="00F41FBE"/>
    <w:rsid w:val="00F41FEB"/>
    <w:rsid w:val="00F4252A"/>
    <w:rsid w:val="00F4253A"/>
    <w:rsid w:val="00F42837"/>
    <w:rsid w:val="00F42860"/>
    <w:rsid w:val="00F42A01"/>
    <w:rsid w:val="00F42A88"/>
    <w:rsid w:val="00F42FAB"/>
    <w:rsid w:val="00F433BE"/>
    <w:rsid w:val="00F4368B"/>
    <w:rsid w:val="00F4377F"/>
    <w:rsid w:val="00F43EAE"/>
    <w:rsid w:val="00F43FB2"/>
    <w:rsid w:val="00F44254"/>
    <w:rsid w:val="00F44295"/>
    <w:rsid w:val="00F44680"/>
    <w:rsid w:val="00F45C46"/>
    <w:rsid w:val="00F45E03"/>
    <w:rsid w:val="00F460C2"/>
    <w:rsid w:val="00F464EA"/>
    <w:rsid w:val="00F46520"/>
    <w:rsid w:val="00F46760"/>
    <w:rsid w:val="00F4772D"/>
    <w:rsid w:val="00F477DC"/>
    <w:rsid w:val="00F47AC6"/>
    <w:rsid w:val="00F47FE6"/>
    <w:rsid w:val="00F50ADC"/>
    <w:rsid w:val="00F50BC2"/>
    <w:rsid w:val="00F51402"/>
    <w:rsid w:val="00F514A4"/>
    <w:rsid w:val="00F51522"/>
    <w:rsid w:val="00F51580"/>
    <w:rsid w:val="00F5185A"/>
    <w:rsid w:val="00F518FE"/>
    <w:rsid w:val="00F51A23"/>
    <w:rsid w:val="00F51BFE"/>
    <w:rsid w:val="00F52077"/>
    <w:rsid w:val="00F52A71"/>
    <w:rsid w:val="00F52BE4"/>
    <w:rsid w:val="00F52C8E"/>
    <w:rsid w:val="00F52DD4"/>
    <w:rsid w:val="00F52E6D"/>
    <w:rsid w:val="00F52FFD"/>
    <w:rsid w:val="00F534AB"/>
    <w:rsid w:val="00F53976"/>
    <w:rsid w:val="00F53AA1"/>
    <w:rsid w:val="00F54948"/>
    <w:rsid w:val="00F54957"/>
    <w:rsid w:val="00F549B7"/>
    <w:rsid w:val="00F54D33"/>
    <w:rsid w:val="00F54DA3"/>
    <w:rsid w:val="00F54F00"/>
    <w:rsid w:val="00F54F25"/>
    <w:rsid w:val="00F54F4C"/>
    <w:rsid w:val="00F54F59"/>
    <w:rsid w:val="00F55D9F"/>
    <w:rsid w:val="00F56351"/>
    <w:rsid w:val="00F56556"/>
    <w:rsid w:val="00F56622"/>
    <w:rsid w:val="00F567F5"/>
    <w:rsid w:val="00F570BB"/>
    <w:rsid w:val="00F57344"/>
    <w:rsid w:val="00F57FBB"/>
    <w:rsid w:val="00F60165"/>
    <w:rsid w:val="00F60349"/>
    <w:rsid w:val="00F60776"/>
    <w:rsid w:val="00F608CA"/>
    <w:rsid w:val="00F60955"/>
    <w:rsid w:val="00F60962"/>
    <w:rsid w:val="00F61228"/>
    <w:rsid w:val="00F6123B"/>
    <w:rsid w:val="00F6135B"/>
    <w:rsid w:val="00F61F0B"/>
    <w:rsid w:val="00F6230D"/>
    <w:rsid w:val="00F627BB"/>
    <w:rsid w:val="00F6282F"/>
    <w:rsid w:val="00F6295E"/>
    <w:rsid w:val="00F62B4F"/>
    <w:rsid w:val="00F62D88"/>
    <w:rsid w:val="00F633DD"/>
    <w:rsid w:val="00F63F3E"/>
    <w:rsid w:val="00F640A9"/>
    <w:rsid w:val="00F646D4"/>
    <w:rsid w:val="00F647DE"/>
    <w:rsid w:val="00F64AAD"/>
    <w:rsid w:val="00F64ABC"/>
    <w:rsid w:val="00F65175"/>
    <w:rsid w:val="00F65449"/>
    <w:rsid w:val="00F655E6"/>
    <w:rsid w:val="00F65615"/>
    <w:rsid w:val="00F6575E"/>
    <w:rsid w:val="00F65FC9"/>
    <w:rsid w:val="00F661D6"/>
    <w:rsid w:val="00F663E1"/>
    <w:rsid w:val="00F66612"/>
    <w:rsid w:val="00F669FD"/>
    <w:rsid w:val="00F66A13"/>
    <w:rsid w:val="00F66C31"/>
    <w:rsid w:val="00F6703E"/>
    <w:rsid w:val="00F677EB"/>
    <w:rsid w:val="00F678EE"/>
    <w:rsid w:val="00F67DB1"/>
    <w:rsid w:val="00F67E7C"/>
    <w:rsid w:val="00F7006F"/>
    <w:rsid w:val="00F7024C"/>
    <w:rsid w:val="00F707EC"/>
    <w:rsid w:val="00F709F7"/>
    <w:rsid w:val="00F70B7A"/>
    <w:rsid w:val="00F70C93"/>
    <w:rsid w:val="00F70E3B"/>
    <w:rsid w:val="00F71424"/>
    <w:rsid w:val="00F71B58"/>
    <w:rsid w:val="00F71E0A"/>
    <w:rsid w:val="00F720CF"/>
    <w:rsid w:val="00F720EF"/>
    <w:rsid w:val="00F72129"/>
    <w:rsid w:val="00F7296B"/>
    <w:rsid w:val="00F73713"/>
    <w:rsid w:val="00F73DED"/>
    <w:rsid w:val="00F73E31"/>
    <w:rsid w:val="00F73F15"/>
    <w:rsid w:val="00F741A8"/>
    <w:rsid w:val="00F746A7"/>
    <w:rsid w:val="00F747CD"/>
    <w:rsid w:val="00F74833"/>
    <w:rsid w:val="00F74A81"/>
    <w:rsid w:val="00F74D3C"/>
    <w:rsid w:val="00F74E05"/>
    <w:rsid w:val="00F75283"/>
    <w:rsid w:val="00F75CCD"/>
    <w:rsid w:val="00F76492"/>
    <w:rsid w:val="00F7671A"/>
    <w:rsid w:val="00F76BC4"/>
    <w:rsid w:val="00F776AC"/>
    <w:rsid w:val="00F777BE"/>
    <w:rsid w:val="00F7794A"/>
    <w:rsid w:val="00F77D16"/>
    <w:rsid w:val="00F77E46"/>
    <w:rsid w:val="00F805E0"/>
    <w:rsid w:val="00F80635"/>
    <w:rsid w:val="00F807BB"/>
    <w:rsid w:val="00F80A6A"/>
    <w:rsid w:val="00F80A71"/>
    <w:rsid w:val="00F80FDC"/>
    <w:rsid w:val="00F81CCE"/>
    <w:rsid w:val="00F81F42"/>
    <w:rsid w:val="00F81F75"/>
    <w:rsid w:val="00F82516"/>
    <w:rsid w:val="00F82592"/>
    <w:rsid w:val="00F825D7"/>
    <w:rsid w:val="00F828ED"/>
    <w:rsid w:val="00F82B95"/>
    <w:rsid w:val="00F83137"/>
    <w:rsid w:val="00F8327E"/>
    <w:rsid w:val="00F8355E"/>
    <w:rsid w:val="00F83625"/>
    <w:rsid w:val="00F836E9"/>
    <w:rsid w:val="00F8384E"/>
    <w:rsid w:val="00F83E54"/>
    <w:rsid w:val="00F84056"/>
    <w:rsid w:val="00F84448"/>
    <w:rsid w:val="00F8444D"/>
    <w:rsid w:val="00F8476B"/>
    <w:rsid w:val="00F84787"/>
    <w:rsid w:val="00F848B6"/>
    <w:rsid w:val="00F84AC5"/>
    <w:rsid w:val="00F85103"/>
    <w:rsid w:val="00F8569F"/>
    <w:rsid w:val="00F85868"/>
    <w:rsid w:val="00F861B1"/>
    <w:rsid w:val="00F8661C"/>
    <w:rsid w:val="00F86C11"/>
    <w:rsid w:val="00F86D74"/>
    <w:rsid w:val="00F86FF6"/>
    <w:rsid w:val="00F8720E"/>
    <w:rsid w:val="00F8741F"/>
    <w:rsid w:val="00F87506"/>
    <w:rsid w:val="00F8777D"/>
    <w:rsid w:val="00F87829"/>
    <w:rsid w:val="00F8787B"/>
    <w:rsid w:val="00F90543"/>
    <w:rsid w:val="00F90F08"/>
    <w:rsid w:val="00F911B7"/>
    <w:rsid w:val="00F914F5"/>
    <w:rsid w:val="00F91A40"/>
    <w:rsid w:val="00F91AE7"/>
    <w:rsid w:val="00F91E54"/>
    <w:rsid w:val="00F91ECC"/>
    <w:rsid w:val="00F92460"/>
    <w:rsid w:val="00F924B9"/>
    <w:rsid w:val="00F92E49"/>
    <w:rsid w:val="00F93365"/>
    <w:rsid w:val="00F93746"/>
    <w:rsid w:val="00F9411C"/>
    <w:rsid w:val="00F945A4"/>
    <w:rsid w:val="00F949CA"/>
    <w:rsid w:val="00F94B51"/>
    <w:rsid w:val="00F9500D"/>
    <w:rsid w:val="00F9507A"/>
    <w:rsid w:val="00F95083"/>
    <w:rsid w:val="00F95382"/>
    <w:rsid w:val="00F9549D"/>
    <w:rsid w:val="00F956C2"/>
    <w:rsid w:val="00F95DEF"/>
    <w:rsid w:val="00F967E9"/>
    <w:rsid w:val="00F96A79"/>
    <w:rsid w:val="00F96BEA"/>
    <w:rsid w:val="00F9712D"/>
    <w:rsid w:val="00F974BB"/>
    <w:rsid w:val="00F9758F"/>
    <w:rsid w:val="00F97A8F"/>
    <w:rsid w:val="00F97B92"/>
    <w:rsid w:val="00F97C93"/>
    <w:rsid w:val="00F97D7B"/>
    <w:rsid w:val="00FA0636"/>
    <w:rsid w:val="00FA06BE"/>
    <w:rsid w:val="00FA0AA0"/>
    <w:rsid w:val="00FA0C07"/>
    <w:rsid w:val="00FA109C"/>
    <w:rsid w:val="00FA1227"/>
    <w:rsid w:val="00FA1277"/>
    <w:rsid w:val="00FA150A"/>
    <w:rsid w:val="00FA1DCF"/>
    <w:rsid w:val="00FA1FD4"/>
    <w:rsid w:val="00FA2446"/>
    <w:rsid w:val="00FA28B4"/>
    <w:rsid w:val="00FA2921"/>
    <w:rsid w:val="00FA2B85"/>
    <w:rsid w:val="00FA2E63"/>
    <w:rsid w:val="00FA379A"/>
    <w:rsid w:val="00FA37BD"/>
    <w:rsid w:val="00FA39E3"/>
    <w:rsid w:val="00FA3D5B"/>
    <w:rsid w:val="00FA3EE3"/>
    <w:rsid w:val="00FA3F36"/>
    <w:rsid w:val="00FA424F"/>
    <w:rsid w:val="00FA433A"/>
    <w:rsid w:val="00FA4696"/>
    <w:rsid w:val="00FA4739"/>
    <w:rsid w:val="00FA500A"/>
    <w:rsid w:val="00FA5160"/>
    <w:rsid w:val="00FA54DD"/>
    <w:rsid w:val="00FA5695"/>
    <w:rsid w:val="00FA5747"/>
    <w:rsid w:val="00FA5F3C"/>
    <w:rsid w:val="00FA6062"/>
    <w:rsid w:val="00FA619A"/>
    <w:rsid w:val="00FA6474"/>
    <w:rsid w:val="00FA6643"/>
    <w:rsid w:val="00FA7046"/>
    <w:rsid w:val="00FA70DF"/>
    <w:rsid w:val="00FA7B06"/>
    <w:rsid w:val="00FA7C0C"/>
    <w:rsid w:val="00FA7F0B"/>
    <w:rsid w:val="00FB0147"/>
    <w:rsid w:val="00FB019D"/>
    <w:rsid w:val="00FB01F1"/>
    <w:rsid w:val="00FB0495"/>
    <w:rsid w:val="00FB0A1A"/>
    <w:rsid w:val="00FB0CE2"/>
    <w:rsid w:val="00FB1038"/>
    <w:rsid w:val="00FB13FE"/>
    <w:rsid w:val="00FB1851"/>
    <w:rsid w:val="00FB19E8"/>
    <w:rsid w:val="00FB1BA9"/>
    <w:rsid w:val="00FB1E36"/>
    <w:rsid w:val="00FB21C1"/>
    <w:rsid w:val="00FB2D31"/>
    <w:rsid w:val="00FB31B6"/>
    <w:rsid w:val="00FB3432"/>
    <w:rsid w:val="00FB351C"/>
    <w:rsid w:val="00FB36F8"/>
    <w:rsid w:val="00FB3FBE"/>
    <w:rsid w:val="00FB40C4"/>
    <w:rsid w:val="00FB40C5"/>
    <w:rsid w:val="00FB4269"/>
    <w:rsid w:val="00FB49A0"/>
    <w:rsid w:val="00FB4D5D"/>
    <w:rsid w:val="00FB4E0D"/>
    <w:rsid w:val="00FB4F69"/>
    <w:rsid w:val="00FB528D"/>
    <w:rsid w:val="00FB52F5"/>
    <w:rsid w:val="00FB5320"/>
    <w:rsid w:val="00FB5A35"/>
    <w:rsid w:val="00FB60AF"/>
    <w:rsid w:val="00FB6264"/>
    <w:rsid w:val="00FB6514"/>
    <w:rsid w:val="00FB6533"/>
    <w:rsid w:val="00FB6737"/>
    <w:rsid w:val="00FB6986"/>
    <w:rsid w:val="00FB7007"/>
    <w:rsid w:val="00FB7038"/>
    <w:rsid w:val="00FB78B4"/>
    <w:rsid w:val="00FB7B48"/>
    <w:rsid w:val="00FB7E66"/>
    <w:rsid w:val="00FB7EF2"/>
    <w:rsid w:val="00FC001F"/>
    <w:rsid w:val="00FC061C"/>
    <w:rsid w:val="00FC084D"/>
    <w:rsid w:val="00FC0ABF"/>
    <w:rsid w:val="00FC0C54"/>
    <w:rsid w:val="00FC12A7"/>
    <w:rsid w:val="00FC14D6"/>
    <w:rsid w:val="00FC1905"/>
    <w:rsid w:val="00FC1BFF"/>
    <w:rsid w:val="00FC1EBD"/>
    <w:rsid w:val="00FC206B"/>
    <w:rsid w:val="00FC2214"/>
    <w:rsid w:val="00FC2441"/>
    <w:rsid w:val="00FC2635"/>
    <w:rsid w:val="00FC272C"/>
    <w:rsid w:val="00FC2765"/>
    <w:rsid w:val="00FC2926"/>
    <w:rsid w:val="00FC294F"/>
    <w:rsid w:val="00FC2CA0"/>
    <w:rsid w:val="00FC2D62"/>
    <w:rsid w:val="00FC3017"/>
    <w:rsid w:val="00FC34C9"/>
    <w:rsid w:val="00FC3C64"/>
    <w:rsid w:val="00FC3E74"/>
    <w:rsid w:val="00FC4083"/>
    <w:rsid w:val="00FC4363"/>
    <w:rsid w:val="00FC4D5B"/>
    <w:rsid w:val="00FC4DEE"/>
    <w:rsid w:val="00FC4FCD"/>
    <w:rsid w:val="00FC528C"/>
    <w:rsid w:val="00FC53A9"/>
    <w:rsid w:val="00FC5619"/>
    <w:rsid w:val="00FC5836"/>
    <w:rsid w:val="00FC5ACD"/>
    <w:rsid w:val="00FC5B11"/>
    <w:rsid w:val="00FC6064"/>
    <w:rsid w:val="00FC652E"/>
    <w:rsid w:val="00FC70FA"/>
    <w:rsid w:val="00FC71CD"/>
    <w:rsid w:val="00FC72D4"/>
    <w:rsid w:val="00FC73EE"/>
    <w:rsid w:val="00FC7462"/>
    <w:rsid w:val="00FC7BA1"/>
    <w:rsid w:val="00FD0345"/>
    <w:rsid w:val="00FD075C"/>
    <w:rsid w:val="00FD0790"/>
    <w:rsid w:val="00FD0D11"/>
    <w:rsid w:val="00FD12FD"/>
    <w:rsid w:val="00FD157A"/>
    <w:rsid w:val="00FD1E58"/>
    <w:rsid w:val="00FD26B4"/>
    <w:rsid w:val="00FD2A0E"/>
    <w:rsid w:val="00FD2E83"/>
    <w:rsid w:val="00FD2F4F"/>
    <w:rsid w:val="00FD31CF"/>
    <w:rsid w:val="00FD332B"/>
    <w:rsid w:val="00FD34D3"/>
    <w:rsid w:val="00FD35A9"/>
    <w:rsid w:val="00FD4178"/>
    <w:rsid w:val="00FD4541"/>
    <w:rsid w:val="00FD465D"/>
    <w:rsid w:val="00FD48D2"/>
    <w:rsid w:val="00FD4958"/>
    <w:rsid w:val="00FD4959"/>
    <w:rsid w:val="00FD4B27"/>
    <w:rsid w:val="00FD59E0"/>
    <w:rsid w:val="00FD5E07"/>
    <w:rsid w:val="00FD604B"/>
    <w:rsid w:val="00FD6251"/>
    <w:rsid w:val="00FD628D"/>
    <w:rsid w:val="00FD62AC"/>
    <w:rsid w:val="00FD67D4"/>
    <w:rsid w:val="00FD6F4E"/>
    <w:rsid w:val="00FD728C"/>
    <w:rsid w:val="00FD72D8"/>
    <w:rsid w:val="00FD7364"/>
    <w:rsid w:val="00FD7571"/>
    <w:rsid w:val="00FD757C"/>
    <w:rsid w:val="00FD76BA"/>
    <w:rsid w:val="00FD7819"/>
    <w:rsid w:val="00FD7C5A"/>
    <w:rsid w:val="00FE09C5"/>
    <w:rsid w:val="00FE0F55"/>
    <w:rsid w:val="00FE128C"/>
    <w:rsid w:val="00FE14C4"/>
    <w:rsid w:val="00FE1D68"/>
    <w:rsid w:val="00FE21E1"/>
    <w:rsid w:val="00FE269B"/>
    <w:rsid w:val="00FE2976"/>
    <w:rsid w:val="00FE2AA3"/>
    <w:rsid w:val="00FE2C0E"/>
    <w:rsid w:val="00FE2F8E"/>
    <w:rsid w:val="00FE30B4"/>
    <w:rsid w:val="00FE3195"/>
    <w:rsid w:val="00FE3C46"/>
    <w:rsid w:val="00FE3FFC"/>
    <w:rsid w:val="00FE4193"/>
    <w:rsid w:val="00FE4585"/>
    <w:rsid w:val="00FE4912"/>
    <w:rsid w:val="00FE5A92"/>
    <w:rsid w:val="00FE5E69"/>
    <w:rsid w:val="00FE63E3"/>
    <w:rsid w:val="00FE6822"/>
    <w:rsid w:val="00FE6C41"/>
    <w:rsid w:val="00FE6C89"/>
    <w:rsid w:val="00FE6CC5"/>
    <w:rsid w:val="00FE6FE3"/>
    <w:rsid w:val="00FF008E"/>
    <w:rsid w:val="00FF0169"/>
    <w:rsid w:val="00FF0243"/>
    <w:rsid w:val="00FF0325"/>
    <w:rsid w:val="00FF036E"/>
    <w:rsid w:val="00FF0598"/>
    <w:rsid w:val="00FF05C1"/>
    <w:rsid w:val="00FF0625"/>
    <w:rsid w:val="00FF076F"/>
    <w:rsid w:val="00FF088B"/>
    <w:rsid w:val="00FF0E1B"/>
    <w:rsid w:val="00FF11B4"/>
    <w:rsid w:val="00FF1A84"/>
    <w:rsid w:val="00FF1C43"/>
    <w:rsid w:val="00FF214D"/>
    <w:rsid w:val="00FF2542"/>
    <w:rsid w:val="00FF2973"/>
    <w:rsid w:val="00FF2AC7"/>
    <w:rsid w:val="00FF2C04"/>
    <w:rsid w:val="00FF31CF"/>
    <w:rsid w:val="00FF3A71"/>
    <w:rsid w:val="00FF3B78"/>
    <w:rsid w:val="00FF3C66"/>
    <w:rsid w:val="00FF41C7"/>
    <w:rsid w:val="00FF4309"/>
    <w:rsid w:val="00FF4CCB"/>
    <w:rsid w:val="00FF503C"/>
    <w:rsid w:val="00FF5832"/>
    <w:rsid w:val="00FF5A33"/>
    <w:rsid w:val="00FF63B4"/>
    <w:rsid w:val="00FF665B"/>
    <w:rsid w:val="00FF68F4"/>
    <w:rsid w:val="00FF6F72"/>
    <w:rsid w:val="00FF72FF"/>
    <w:rsid w:val="00FF752C"/>
    <w:rsid w:val="00FF7749"/>
    <w:rsid w:val="00FF7C1C"/>
    <w:rsid w:val="1F9948E3"/>
    <w:rsid w:val="34DA3A39"/>
    <w:rsid w:val="48E72EB9"/>
    <w:rsid w:val="615E4A6A"/>
    <w:rsid w:val="72CC0649"/>
    <w:rsid w:val="752917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qFormat="1" w:unhideWhenUsed="0" w:uiPriority="0" w:name="footnote text"/>
    <w:lsdException w:qFormat="1" w:unhideWhenUsed="0" w:uiPriority="0" w:name="annotation text"/>
    <w:lsdException w:qFormat="1" w:unhideWhenUsed="0" w:uiPriority="99" w:semiHidden="0" w:name="header"/>
    <w:lsdException w:qFormat="1" w:unhideWhenUsed="0" w:uiPriority="99" w:semiHidden="0" w:name="footer"/>
    <w:lsdException w:uiPriority="0" w:name="index heading"/>
    <w:lsdException w:qFormat="1" w:unhideWhenUsed="0" w:uiPriority="0" w:semiHidden="0" w:name="caption"/>
    <w:lsdException w:qFormat="1" w:uiPriority="99" w:semiHidden="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uiPriority="0" w:name="page number"/>
    <w:lsdException w:qFormat="1" w:unhideWhenUsed="0" w:uiPriority="0" w:name="endnote reference"/>
    <w:lsdException w:qFormat="1" w:unhideWhenUsed="0"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qFormat="1" w:unhideWhenUsed="0" w:uiPriority="0" w:semiHidden="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styleId="2">
    <w:name w:val="heading 1"/>
    <w:basedOn w:val="1"/>
    <w:next w:val="1"/>
    <w:link w:val="50"/>
    <w:autoRedefine/>
    <w:qFormat/>
    <w:uiPriority w:val="9"/>
    <w:pPr>
      <w:keepNext/>
      <w:keepLines/>
      <w:numPr>
        <w:ilvl w:val="0"/>
        <w:numId w:val="1"/>
      </w:numPr>
      <w:spacing w:before="480" w:after="360"/>
      <w:ind w:firstLineChars="0"/>
      <w:jc w:val="center"/>
      <w:outlineLvl w:val="0"/>
    </w:pPr>
    <w:rPr>
      <w:rFonts w:eastAsia="黑体"/>
      <w:bCs/>
      <w:snapToGrid w:val="0"/>
      <w:kern w:val="0"/>
      <w:sz w:val="32"/>
      <w:szCs w:val="44"/>
    </w:rPr>
  </w:style>
  <w:style w:type="paragraph" w:styleId="3">
    <w:name w:val="heading 2"/>
    <w:basedOn w:val="2"/>
    <w:next w:val="1"/>
    <w:link w:val="51"/>
    <w:autoRedefine/>
    <w:qFormat/>
    <w:uiPriority w:val="0"/>
    <w:pPr>
      <w:numPr>
        <w:ilvl w:val="1"/>
      </w:numPr>
      <w:spacing w:before="360" w:after="240"/>
      <w:jc w:val="both"/>
      <w:outlineLvl w:val="1"/>
    </w:pPr>
    <w:rPr>
      <w:rFonts w:eastAsia="宋体"/>
      <w:b/>
      <w:sz w:val="30"/>
      <w:szCs w:val="30"/>
    </w:rPr>
  </w:style>
  <w:style w:type="paragraph" w:styleId="4">
    <w:name w:val="heading 3"/>
    <w:basedOn w:val="3"/>
    <w:next w:val="1"/>
    <w:link w:val="52"/>
    <w:autoRedefine/>
    <w:qFormat/>
    <w:uiPriority w:val="0"/>
    <w:pPr>
      <w:numPr>
        <w:ilvl w:val="2"/>
      </w:numPr>
      <w:spacing w:before="240" w:after="120"/>
      <w:jc w:val="left"/>
      <w:outlineLvl w:val="2"/>
    </w:pPr>
    <w:rPr>
      <w:snapToGrid/>
      <w:sz w:val="28"/>
      <w:szCs w:val="28"/>
    </w:rPr>
  </w:style>
  <w:style w:type="paragraph" w:styleId="5">
    <w:name w:val="heading 4"/>
    <w:basedOn w:val="4"/>
    <w:next w:val="1"/>
    <w:qFormat/>
    <w:uiPriority w:val="0"/>
    <w:pPr>
      <w:numPr>
        <w:ilvl w:val="3"/>
      </w:numPr>
      <w:spacing w:before="120"/>
      <w:outlineLvl w:val="3"/>
    </w:pPr>
    <w:rPr>
      <w:sz w:val="24"/>
    </w:rPr>
  </w:style>
  <w:style w:type="paragraph" w:styleId="6">
    <w:name w:val="heading 5"/>
    <w:basedOn w:val="3"/>
    <w:next w:val="1"/>
    <w:qFormat/>
    <w:uiPriority w:val="0"/>
    <w:pPr>
      <w:numPr>
        <w:ilvl w:val="0"/>
        <w:numId w:val="2"/>
      </w:numPr>
      <w:outlineLvl w:val="4"/>
    </w:pPr>
    <w:rPr>
      <w:bCs w:val="0"/>
    </w:rPr>
  </w:style>
  <w:style w:type="paragraph" w:styleId="7">
    <w:name w:val="heading 6"/>
    <w:basedOn w:val="6"/>
    <w:next w:val="1"/>
    <w:autoRedefine/>
    <w:qFormat/>
    <w:uiPriority w:val="0"/>
    <w:pPr>
      <w:numPr>
        <w:numId w:val="3"/>
      </w:numPr>
      <w:ind w:left="397" w:firstLine="0"/>
      <w:contextualSpacing/>
      <w:outlineLvl w:val="5"/>
    </w:pPr>
    <w:rPr>
      <w:sz w:val="28"/>
      <w:szCs w:val="28"/>
    </w:rPr>
  </w:style>
  <w:style w:type="paragraph" w:styleId="8">
    <w:name w:val="heading 7"/>
    <w:basedOn w:val="7"/>
    <w:next w:val="1"/>
    <w:qFormat/>
    <w:uiPriority w:val="0"/>
    <w:pPr>
      <w:numPr>
        <w:ilvl w:val="6"/>
      </w:numPr>
      <w:outlineLvl w:val="6"/>
    </w:pPr>
  </w:style>
  <w:style w:type="paragraph" w:styleId="9">
    <w:name w:val="heading 8"/>
    <w:basedOn w:val="1"/>
    <w:next w:val="1"/>
    <w:qFormat/>
    <w:uiPriority w:val="0"/>
    <w:pPr>
      <w:keepNext/>
      <w:keepLines/>
      <w:spacing w:before="240" w:after="64" w:line="320" w:lineRule="auto"/>
      <w:ind w:firstLine="0" w:firstLineChars="0"/>
      <w:outlineLvl w:val="7"/>
    </w:pPr>
    <w:rPr>
      <w:rFonts w:ascii="Arial" w:hAnsi="Arial" w:eastAsia="黑体"/>
      <w:szCs w:val="24"/>
    </w:rPr>
  </w:style>
  <w:style w:type="paragraph" w:styleId="10">
    <w:name w:val="heading 9"/>
    <w:basedOn w:val="5"/>
    <w:next w:val="1"/>
    <w:autoRedefine/>
    <w:qFormat/>
    <w:uiPriority w:val="0"/>
    <w:pPr>
      <w:outlineLvl w:val="8"/>
    </w:pPr>
  </w:style>
  <w:style w:type="character" w:default="1" w:styleId="32">
    <w:name w:val="Default Paragraph Font"/>
    <w:semiHidden/>
    <w:unhideWhenUsed/>
    <w:qFormat/>
    <w:uiPriority w:val="1"/>
  </w:style>
  <w:style w:type="table" w:default="1" w:styleId="3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Normal Indent"/>
    <w:basedOn w:val="1"/>
    <w:qFormat/>
    <w:uiPriority w:val="0"/>
    <w:pPr>
      <w:ind w:firstLine="420"/>
    </w:pPr>
  </w:style>
  <w:style w:type="paragraph" w:styleId="12">
    <w:name w:val="caption"/>
    <w:basedOn w:val="1"/>
    <w:next w:val="1"/>
    <w:qFormat/>
    <w:uiPriority w:val="0"/>
    <w:pPr>
      <w:spacing w:before="152" w:after="160"/>
    </w:pPr>
    <w:rPr>
      <w:rFonts w:ascii="Arial" w:hAnsi="Arial" w:eastAsia="黑体" w:cs="Arial"/>
      <w:sz w:val="20"/>
      <w:szCs w:val="20"/>
    </w:rPr>
  </w:style>
  <w:style w:type="paragraph" w:styleId="13">
    <w:name w:val="Document Map"/>
    <w:basedOn w:val="1"/>
    <w:semiHidden/>
    <w:qFormat/>
    <w:uiPriority w:val="0"/>
    <w:pPr>
      <w:shd w:val="clear" w:color="auto" w:fill="000080"/>
    </w:pPr>
  </w:style>
  <w:style w:type="paragraph" w:styleId="14">
    <w:name w:val="annotation text"/>
    <w:basedOn w:val="1"/>
    <w:semiHidden/>
    <w:qFormat/>
    <w:uiPriority w:val="0"/>
    <w:pPr>
      <w:spacing w:line="240" w:lineRule="auto"/>
      <w:ind w:firstLine="0" w:firstLineChars="0"/>
      <w:jc w:val="left"/>
    </w:pPr>
    <w:rPr>
      <w:sz w:val="21"/>
      <w:szCs w:val="24"/>
    </w:rPr>
  </w:style>
  <w:style w:type="paragraph" w:styleId="15">
    <w:name w:val="toc 3"/>
    <w:basedOn w:val="1"/>
    <w:next w:val="1"/>
    <w:autoRedefine/>
    <w:qFormat/>
    <w:uiPriority w:val="39"/>
    <w:pPr>
      <w:ind w:left="450" w:leftChars="450" w:firstLine="0" w:firstLineChars="0"/>
    </w:pPr>
  </w:style>
  <w:style w:type="paragraph" w:styleId="16">
    <w:name w:val="Date"/>
    <w:basedOn w:val="1"/>
    <w:next w:val="1"/>
    <w:link w:val="56"/>
    <w:qFormat/>
    <w:uiPriority w:val="0"/>
    <w:pPr>
      <w:ind w:firstLine="0" w:firstLineChars="0"/>
    </w:pPr>
    <w:rPr>
      <w:sz w:val="21"/>
      <w:szCs w:val="20"/>
    </w:rPr>
  </w:style>
  <w:style w:type="paragraph" w:styleId="17">
    <w:name w:val="endnote text"/>
    <w:basedOn w:val="1"/>
    <w:semiHidden/>
    <w:qFormat/>
    <w:uiPriority w:val="0"/>
    <w:pPr>
      <w:snapToGrid w:val="0"/>
      <w:spacing w:line="240" w:lineRule="auto"/>
      <w:ind w:firstLine="0" w:firstLineChars="0"/>
      <w:jc w:val="left"/>
    </w:pPr>
    <w:rPr>
      <w:szCs w:val="20"/>
    </w:rPr>
  </w:style>
  <w:style w:type="paragraph" w:styleId="18">
    <w:name w:val="Balloon Text"/>
    <w:basedOn w:val="1"/>
    <w:semiHidden/>
    <w:qFormat/>
    <w:uiPriority w:val="0"/>
    <w:rPr>
      <w:sz w:val="18"/>
      <w:szCs w:val="18"/>
    </w:rPr>
  </w:style>
  <w:style w:type="paragraph" w:styleId="19">
    <w:name w:val="footer"/>
    <w:basedOn w:val="1"/>
    <w:link w:val="55"/>
    <w:qFormat/>
    <w:uiPriority w:val="99"/>
    <w:pPr>
      <w:tabs>
        <w:tab w:val="center" w:pos="4153"/>
        <w:tab w:val="right" w:pos="8306"/>
      </w:tabs>
      <w:snapToGrid w:val="0"/>
      <w:jc w:val="left"/>
    </w:pPr>
    <w:rPr>
      <w:sz w:val="18"/>
      <w:szCs w:val="18"/>
    </w:rPr>
  </w:style>
  <w:style w:type="paragraph" w:styleId="20">
    <w:name w:val="header"/>
    <w:basedOn w:val="1"/>
    <w:link w:val="65"/>
    <w:autoRedefine/>
    <w:qFormat/>
    <w:uiPriority w:val="99"/>
    <w:pPr>
      <w:pBdr>
        <w:bottom w:val="double" w:color="auto" w:sz="4" w:space="1"/>
      </w:pBdr>
      <w:tabs>
        <w:tab w:val="center" w:pos="4153"/>
        <w:tab w:val="right" w:pos="8306"/>
      </w:tabs>
      <w:snapToGrid w:val="0"/>
      <w:ind w:firstLine="0" w:firstLineChars="0"/>
      <w:jc w:val="center"/>
    </w:pPr>
    <w:rPr>
      <w:snapToGrid w:val="0"/>
      <w:kern w:val="24"/>
      <w:sz w:val="21"/>
    </w:rPr>
  </w:style>
  <w:style w:type="paragraph" w:styleId="21">
    <w:name w:val="toc 1"/>
    <w:basedOn w:val="1"/>
    <w:next w:val="1"/>
    <w:qFormat/>
    <w:uiPriority w:val="39"/>
    <w:pPr>
      <w:ind w:firstLine="0" w:firstLineChars="0"/>
    </w:pPr>
    <w:rPr>
      <w:rFonts w:eastAsia="黑体"/>
    </w:rPr>
  </w:style>
  <w:style w:type="paragraph" w:styleId="22">
    <w:name w:val="toc 4"/>
    <w:basedOn w:val="1"/>
    <w:next w:val="1"/>
    <w:semiHidden/>
    <w:qFormat/>
    <w:uiPriority w:val="0"/>
    <w:pPr>
      <w:ind w:left="400" w:leftChars="400" w:firstLine="0" w:firstLineChars="0"/>
    </w:pPr>
  </w:style>
  <w:style w:type="paragraph" w:styleId="23">
    <w:name w:val="footnote text"/>
    <w:basedOn w:val="1"/>
    <w:link w:val="49"/>
    <w:semiHidden/>
    <w:qFormat/>
    <w:uiPriority w:val="0"/>
    <w:pPr>
      <w:snapToGrid w:val="0"/>
      <w:ind w:firstLine="0" w:firstLineChars="0"/>
      <w:jc w:val="left"/>
    </w:pPr>
    <w:rPr>
      <w:sz w:val="18"/>
      <w:szCs w:val="18"/>
    </w:rPr>
  </w:style>
  <w:style w:type="paragraph" w:styleId="24">
    <w:name w:val="table of figures"/>
    <w:basedOn w:val="1"/>
    <w:next w:val="1"/>
    <w:unhideWhenUsed/>
    <w:qFormat/>
    <w:uiPriority w:val="99"/>
    <w:pPr>
      <w:ind w:left="200" w:leftChars="200" w:hanging="200" w:hangingChars="200"/>
    </w:pPr>
  </w:style>
  <w:style w:type="paragraph" w:styleId="25">
    <w:name w:val="toc 2"/>
    <w:basedOn w:val="1"/>
    <w:next w:val="1"/>
    <w:qFormat/>
    <w:uiPriority w:val="39"/>
    <w:pPr>
      <w:ind w:left="190" w:leftChars="190" w:firstLine="0" w:firstLineChars="0"/>
    </w:pPr>
  </w:style>
  <w:style w:type="paragraph" w:styleId="26">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27">
    <w:name w:val="index 1"/>
    <w:basedOn w:val="1"/>
    <w:next w:val="1"/>
    <w:autoRedefine/>
    <w:semiHidden/>
    <w:qFormat/>
    <w:uiPriority w:val="0"/>
    <w:pPr>
      <w:ind w:firstLine="0"/>
    </w:pPr>
  </w:style>
  <w:style w:type="paragraph" w:styleId="28">
    <w:name w:val="Title"/>
    <w:basedOn w:val="1"/>
    <w:next w:val="1"/>
    <w:link w:val="40"/>
    <w:autoRedefine/>
    <w:qFormat/>
    <w:uiPriority w:val="0"/>
    <w:pPr>
      <w:keepNext/>
      <w:keepLines/>
      <w:spacing w:before="480" w:after="360"/>
      <w:ind w:firstLine="0" w:firstLineChars="0"/>
      <w:jc w:val="center"/>
    </w:pPr>
    <w:rPr>
      <w:rFonts w:eastAsia="黑体"/>
      <w:bCs/>
      <w:sz w:val="32"/>
      <w:szCs w:val="32"/>
    </w:rPr>
  </w:style>
  <w:style w:type="paragraph" w:styleId="29">
    <w:name w:val="annotation subject"/>
    <w:basedOn w:val="14"/>
    <w:next w:val="14"/>
    <w:semiHidden/>
    <w:qFormat/>
    <w:uiPriority w:val="0"/>
    <w:pPr>
      <w:spacing w:line="288" w:lineRule="auto"/>
      <w:ind w:firstLine="200" w:firstLineChars="200"/>
    </w:pPr>
    <w:rPr>
      <w:b/>
      <w:bCs/>
      <w:sz w:val="24"/>
      <w:szCs w:val="21"/>
    </w:rPr>
  </w:style>
  <w:style w:type="table" w:styleId="31">
    <w:name w:val="Table Grid"/>
    <w:basedOn w:val="30"/>
    <w:qFormat/>
    <w:uiPriority w:val="39"/>
    <w:pPr>
      <w:widowControl w:val="0"/>
      <w:spacing w:line="264" w:lineRule="auto"/>
      <w:ind w:firstLine="20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basedOn w:val="32"/>
    <w:qFormat/>
    <w:uiPriority w:val="22"/>
    <w:rPr>
      <w:b/>
      <w:bCs/>
    </w:rPr>
  </w:style>
  <w:style w:type="character" w:styleId="34">
    <w:name w:val="endnote reference"/>
    <w:semiHidden/>
    <w:qFormat/>
    <w:uiPriority w:val="0"/>
    <w:rPr>
      <w:vertAlign w:val="superscript"/>
    </w:rPr>
  </w:style>
  <w:style w:type="character" w:styleId="35">
    <w:name w:val="Emphasis"/>
    <w:qFormat/>
    <w:uiPriority w:val="20"/>
    <w:rPr>
      <w:color w:val="CC0033"/>
    </w:rPr>
  </w:style>
  <w:style w:type="character" w:styleId="36">
    <w:name w:val="Hyperlink"/>
    <w:unhideWhenUsed/>
    <w:qFormat/>
    <w:uiPriority w:val="99"/>
    <w:rPr>
      <w:color w:val="0000FF"/>
      <w:u w:val="single"/>
    </w:rPr>
  </w:style>
  <w:style w:type="character" w:styleId="37">
    <w:name w:val="annotation reference"/>
    <w:semiHidden/>
    <w:qFormat/>
    <w:uiPriority w:val="0"/>
    <w:rPr>
      <w:sz w:val="21"/>
      <w:szCs w:val="21"/>
    </w:rPr>
  </w:style>
  <w:style w:type="character" w:styleId="38">
    <w:name w:val="HTML Cite"/>
    <w:qFormat/>
    <w:uiPriority w:val="0"/>
    <w:rPr>
      <w:color w:val="008000"/>
    </w:rPr>
  </w:style>
  <w:style w:type="paragraph" w:customStyle="1" w:styleId="39">
    <w:name w:val="参考文献"/>
    <w:basedOn w:val="1"/>
    <w:qFormat/>
    <w:uiPriority w:val="0"/>
    <w:pPr>
      <w:numPr>
        <w:ilvl w:val="0"/>
        <w:numId w:val="4"/>
      </w:numPr>
      <w:adjustRightInd w:val="0"/>
      <w:snapToGrid w:val="0"/>
      <w:ind w:firstLine="0" w:firstLineChars="0"/>
    </w:pPr>
    <w:rPr>
      <w:rFonts w:cs="Courier New"/>
      <w:snapToGrid w:val="0"/>
      <w:kern w:val="0"/>
    </w:rPr>
  </w:style>
  <w:style w:type="character" w:customStyle="1" w:styleId="40">
    <w:name w:val="标题 字符"/>
    <w:link w:val="28"/>
    <w:qFormat/>
    <w:uiPriority w:val="0"/>
    <w:rPr>
      <w:rFonts w:eastAsia="黑体"/>
      <w:bCs/>
      <w:kern w:val="2"/>
      <w:sz w:val="32"/>
      <w:szCs w:val="32"/>
    </w:rPr>
  </w:style>
  <w:style w:type="paragraph" w:customStyle="1" w:styleId="41">
    <w:name w:val="标题-无编号"/>
    <w:basedOn w:val="2"/>
    <w:next w:val="1"/>
    <w:autoRedefine/>
    <w:qFormat/>
    <w:uiPriority w:val="0"/>
    <w:pPr>
      <w:numPr>
        <w:ilvl w:val="0"/>
        <w:numId w:val="0"/>
      </w:numPr>
    </w:pPr>
  </w:style>
  <w:style w:type="paragraph" w:customStyle="1" w:styleId="42">
    <w:name w:val="标题-表格"/>
    <w:basedOn w:val="1"/>
    <w:next w:val="1"/>
    <w:qFormat/>
    <w:uiPriority w:val="0"/>
    <w:pPr>
      <w:keepNext/>
      <w:numPr>
        <w:ilvl w:val="7"/>
        <w:numId w:val="1"/>
      </w:numPr>
      <w:wordWrap w:val="0"/>
      <w:ind w:firstLineChars="0"/>
      <w:jc w:val="center"/>
    </w:pPr>
    <w:rPr>
      <w:sz w:val="21"/>
    </w:rPr>
  </w:style>
  <w:style w:type="paragraph" w:customStyle="1" w:styleId="43">
    <w:name w:val="标题-图"/>
    <w:basedOn w:val="1"/>
    <w:next w:val="1"/>
    <w:qFormat/>
    <w:uiPriority w:val="0"/>
    <w:pPr>
      <w:numPr>
        <w:ilvl w:val="8"/>
        <w:numId w:val="1"/>
      </w:numPr>
      <w:spacing w:before="120" w:afterLines="100" w:line="360" w:lineRule="auto"/>
      <w:ind w:firstLineChars="0"/>
      <w:jc w:val="center"/>
    </w:pPr>
    <w:rPr>
      <w:sz w:val="21"/>
    </w:rPr>
  </w:style>
  <w:style w:type="paragraph" w:customStyle="1" w:styleId="44">
    <w:name w:val="MTDisplayEquation"/>
    <w:basedOn w:val="1"/>
    <w:next w:val="1"/>
    <w:link w:val="45"/>
    <w:qFormat/>
    <w:uiPriority w:val="0"/>
    <w:pPr>
      <w:tabs>
        <w:tab w:val="center" w:pos="4540"/>
        <w:tab w:val="right" w:pos="9080"/>
      </w:tabs>
      <w:ind w:firstLine="480"/>
    </w:pPr>
  </w:style>
  <w:style w:type="character" w:customStyle="1" w:styleId="45">
    <w:name w:val="MTDisplayEquation Char"/>
    <w:link w:val="44"/>
    <w:qFormat/>
    <w:uiPriority w:val="0"/>
    <w:rPr>
      <w:kern w:val="2"/>
      <w:sz w:val="24"/>
      <w:szCs w:val="21"/>
    </w:rPr>
  </w:style>
  <w:style w:type="paragraph" w:customStyle="1" w:styleId="46">
    <w:name w:val="CONTENTS"/>
    <w:basedOn w:val="1"/>
    <w:qFormat/>
    <w:uiPriority w:val="0"/>
    <w:pPr>
      <w:tabs>
        <w:tab w:val="right" w:leader="dot" w:pos="8971"/>
      </w:tabs>
      <w:ind w:firstLine="0" w:firstLineChars="0"/>
    </w:pPr>
  </w:style>
  <w:style w:type="character" w:customStyle="1" w:styleId="47">
    <w:name w:val="MTEquationSection"/>
    <w:qFormat/>
    <w:uiPriority w:val="0"/>
    <w:rPr>
      <w:vanish/>
      <w:color w:val="FF0000"/>
    </w:rPr>
  </w:style>
  <w:style w:type="character" w:styleId="48">
    <w:name w:val="Placeholder Text"/>
    <w:basedOn w:val="32"/>
    <w:semiHidden/>
    <w:qFormat/>
    <w:uiPriority w:val="99"/>
    <w:rPr>
      <w:color w:val="808080"/>
    </w:rPr>
  </w:style>
  <w:style w:type="character" w:customStyle="1" w:styleId="49">
    <w:name w:val="脚注文本 字符"/>
    <w:link w:val="23"/>
    <w:qFormat/>
    <w:uiPriority w:val="0"/>
    <w:rPr>
      <w:rFonts w:eastAsia="宋体"/>
      <w:kern w:val="2"/>
      <w:sz w:val="18"/>
      <w:szCs w:val="18"/>
      <w:lang w:val="en-US" w:eastAsia="zh-CN" w:bidi="ar-SA"/>
    </w:rPr>
  </w:style>
  <w:style w:type="character" w:customStyle="1" w:styleId="50">
    <w:name w:val="标题 1 字符"/>
    <w:link w:val="2"/>
    <w:qFormat/>
    <w:uiPriority w:val="9"/>
    <w:rPr>
      <w:rFonts w:eastAsia="黑体"/>
      <w:bCs/>
      <w:snapToGrid w:val="0"/>
      <w:sz w:val="32"/>
      <w:szCs w:val="44"/>
    </w:rPr>
  </w:style>
  <w:style w:type="character" w:customStyle="1" w:styleId="51">
    <w:name w:val="标题 2 字符"/>
    <w:link w:val="3"/>
    <w:qFormat/>
    <w:uiPriority w:val="0"/>
    <w:rPr>
      <w:b/>
      <w:bCs/>
      <w:snapToGrid w:val="0"/>
      <w:sz w:val="30"/>
      <w:szCs w:val="30"/>
    </w:rPr>
  </w:style>
  <w:style w:type="character" w:customStyle="1" w:styleId="52">
    <w:name w:val="标题 3 字符"/>
    <w:link w:val="4"/>
    <w:qFormat/>
    <w:uiPriority w:val="0"/>
    <w:rPr>
      <w:b/>
      <w:bCs/>
      <w:sz w:val="28"/>
      <w:szCs w:val="28"/>
    </w:rPr>
  </w:style>
  <w:style w:type="paragraph" w:customStyle="1" w:styleId="53">
    <w:name w:val="摘要"/>
    <w:basedOn w:val="1"/>
    <w:next w:val="1"/>
    <w:link w:val="54"/>
    <w:qFormat/>
    <w:uiPriority w:val="0"/>
    <w:pPr>
      <w:ind w:firstLine="480"/>
    </w:pPr>
    <w:rPr>
      <w:szCs w:val="24"/>
    </w:rPr>
  </w:style>
  <w:style w:type="character" w:customStyle="1" w:styleId="54">
    <w:name w:val="摘要 Char"/>
    <w:link w:val="53"/>
    <w:qFormat/>
    <w:uiPriority w:val="0"/>
    <w:rPr>
      <w:kern w:val="2"/>
      <w:sz w:val="24"/>
      <w:szCs w:val="24"/>
    </w:rPr>
  </w:style>
  <w:style w:type="character" w:customStyle="1" w:styleId="55">
    <w:name w:val="页脚 字符"/>
    <w:link w:val="19"/>
    <w:qFormat/>
    <w:uiPriority w:val="99"/>
    <w:rPr>
      <w:kern w:val="2"/>
      <w:sz w:val="18"/>
      <w:szCs w:val="18"/>
    </w:rPr>
  </w:style>
  <w:style w:type="character" w:customStyle="1" w:styleId="56">
    <w:name w:val="日期 字符"/>
    <w:link w:val="16"/>
    <w:qFormat/>
    <w:uiPriority w:val="0"/>
    <w:rPr>
      <w:kern w:val="2"/>
      <w:sz w:val="21"/>
    </w:rPr>
  </w:style>
  <w:style w:type="paragraph" w:styleId="57">
    <w:name w:val="List Paragraph"/>
    <w:basedOn w:val="1"/>
    <w:qFormat/>
    <w:uiPriority w:val="34"/>
    <w:pPr>
      <w:ind w:firstLine="420"/>
    </w:pPr>
  </w:style>
  <w:style w:type="paragraph" w:customStyle="1" w:styleId="58">
    <w:name w:val="References"/>
    <w:basedOn w:val="1"/>
    <w:qFormat/>
    <w:uiPriority w:val="0"/>
    <w:pPr>
      <w:widowControl/>
      <w:numPr>
        <w:ilvl w:val="0"/>
        <w:numId w:val="5"/>
      </w:numPr>
      <w:spacing w:line="240" w:lineRule="auto"/>
      <w:ind w:firstLine="0" w:firstLineChars="0"/>
    </w:pPr>
    <w:rPr>
      <w:kern w:val="0"/>
      <w:sz w:val="16"/>
      <w:szCs w:val="16"/>
      <w:lang w:eastAsia="en-US"/>
    </w:rPr>
  </w:style>
  <w:style w:type="character" w:customStyle="1" w:styleId="59">
    <w:name w:val="high-light-bg4"/>
    <w:basedOn w:val="32"/>
    <w:qFormat/>
    <w:uiPriority w:val="0"/>
  </w:style>
  <w:style w:type="character" w:customStyle="1" w:styleId="60">
    <w:name w:val="ordinary-span-edit2"/>
    <w:basedOn w:val="32"/>
    <w:qFormat/>
    <w:uiPriority w:val="0"/>
  </w:style>
  <w:style w:type="paragraph" w:customStyle="1" w:styleId="61">
    <w:name w:val="我的正文"/>
    <w:basedOn w:val="11"/>
    <w:link w:val="62"/>
    <w:qFormat/>
    <w:uiPriority w:val="0"/>
    <w:pPr>
      <w:spacing w:before="60"/>
      <w:ind w:firstLine="480"/>
    </w:pPr>
    <w:rPr>
      <w:szCs w:val="24"/>
    </w:rPr>
  </w:style>
  <w:style w:type="character" w:customStyle="1" w:styleId="62">
    <w:name w:val="我的正文 Char"/>
    <w:link w:val="61"/>
    <w:qFormat/>
    <w:uiPriority w:val="0"/>
    <w:rPr>
      <w:kern w:val="2"/>
      <w:sz w:val="24"/>
      <w:szCs w:val="24"/>
    </w:rPr>
  </w:style>
  <w:style w:type="paragraph" w:customStyle="1" w:styleId="63">
    <w:name w:val="公式"/>
    <w:basedOn w:val="1"/>
    <w:next w:val="1"/>
    <w:qFormat/>
    <w:uiPriority w:val="0"/>
    <w:pPr>
      <w:tabs>
        <w:tab w:val="center" w:pos="4272"/>
        <w:tab w:val="right" w:pos="8760"/>
      </w:tabs>
      <w:spacing w:line="240" w:lineRule="auto"/>
      <w:ind w:firstLine="199" w:firstLineChars="83"/>
    </w:pPr>
  </w:style>
  <w:style w:type="character" w:customStyle="1" w:styleId="64">
    <w:name w:val="MTConvertedEquation"/>
    <w:basedOn w:val="32"/>
    <w:qFormat/>
    <w:uiPriority w:val="0"/>
  </w:style>
  <w:style w:type="character" w:customStyle="1" w:styleId="65">
    <w:name w:val="页眉 字符"/>
    <w:basedOn w:val="32"/>
    <w:link w:val="20"/>
    <w:qFormat/>
    <w:uiPriority w:val="99"/>
    <w:rPr>
      <w:snapToGrid w:val="0"/>
      <w:kern w:val="24"/>
      <w:sz w:val="21"/>
      <w:szCs w:val="21"/>
    </w:rPr>
  </w:style>
  <w:style w:type="character" w:customStyle="1" w:styleId="66">
    <w:name w:val="katex-mathml"/>
    <w:basedOn w:val="32"/>
    <w:qFormat/>
    <w:uiPriority w:val="0"/>
  </w:style>
  <w:style w:type="character" w:customStyle="1" w:styleId="67">
    <w:name w:val="mord"/>
    <w:basedOn w:val="32"/>
    <w:qFormat/>
    <w:uiPriority w:val="0"/>
  </w:style>
  <w:style w:type="paragraph" w:customStyle="1" w:styleId="68">
    <w:name w:val="符号表"/>
    <w:basedOn w:val="1"/>
    <w:next w:val="1"/>
    <w:link w:val="69"/>
    <w:qFormat/>
    <w:uiPriority w:val="0"/>
    <w:pPr>
      <w:tabs>
        <w:tab w:val="left" w:pos="480"/>
        <w:tab w:val="left" w:pos="3864"/>
      </w:tabs>
      <w:ind w:firstLine="0" w:firstLineChars="0"/>
    </w:pPr>
    <w:rPr>
      <w:szCs w:val="24"/>
    </w:rPr>
  </w:style>
  <w:style w:type="character" w:customStyle="1" w:styleId="69">
    <w:name w:val="符号表 字符"/>
    <w:basedOn w:val="32"/>
    <w:link w:val="68"/>
    <w:qFormat/>
    <w:uiPriority w:val="0"/>
    <w:rPr>
      <w:kern w:val="2"/>
      <w:sz w:val="24"/>
      <w:szCs w:val="24"/>
    </w:rPr>
  </w:style>
  <w:style w:type="paragraph" w:customStyle="1" w:styleId="70">
    <w:name w:val="缩略语表"/>
    <w:basedOn w:val="1"/>
    <w:next w:val="1"/>
    <w:link w:val="71"/>
    <w:qFormat/>
    <w:uiPriority w:val="0"/>
    <w:pPr>
      <w:tabs>
        <w:tab w:val="left" w:pos="480"/>
        <w:tab w:val="left" w:pos="1680"/>
        <w:tab w:val="left" w:pos="6720"/>
      </w:tabs>
      <w:ind w:firstLine="0" w:firstLineChars="0"/>
    </w:pPr>
    <w:rPr>
      <w:szCs w:val="24"/>
    </w:rPr>
  </w:style>
  <w:style w:type="character" w:customStyle="1" w:styleId="71">
    <w:name w:val="缩略语表 字符"/>
    <w:basedOn w:val="32"/>
    <w:link w:val="70"/>
    <w:qFormat/>
    <w:uiPriority w:val="0"/>
    <w:rPr>
      <w:kern w:val="2"/>
      <w:sz w:val="24"/>
      <w:szCs w:val="24"/>
    </w:rPr>
  </w:style>
  <w:style w:type="character" w:customStyle="1" w:styleId="72">
    <w:name w:val="标题 4 字符"/>
    <w:basedOn w:val="32"/>
    <w:uiPriority w:val="0"/>
    <w:rPr>
      <w:b/>
      <w:bCs/>
      <w:sz w:val="24"/>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5" Type="http://schemas.openxmlformats.org/officeDocument/2006/relationships/fontTable" Target="fontTable.xml"/><Relationship Id="rId44" Type="http://schemas.openxmlformats.org/officeDocument/2006/relationships/customXml" Target="../customXml/item2.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21.png"/><Relationship Id="rId40" Type="http://schemas.openxmlformats.org/officeDocument/2006/relationships/image" Target="media/image20.png"/><Relationship Id="rId4" Type="http://schemas.openxmlformats.org/officeDocument/2006/relationships/endnotes" Target="endnotes.xml"/><Relationship Id="rId39" Type="http://schemas.openxmlformats.org/officeDocument/2006/relationships/image" Target="media/image19.png"/><Relationship Id="rId38" Type="http://schemas.openxmlformats.org/officeDocument/2006/relationships/image" Target="media/image18.png"/><Relationship Id="rId37" Type="http://schemas.openxmlformats.org/officeDocument/2006/relationships/image" Target="media/image17.tiff"/><Relationship Id="rId36" Type="http://schemas.openxmlformats.org/officeDocument/2006/relationships/image" Target="media/image16.tiff"/><Relationship Id="rId35" Type="http://schemas.openxmlformats.org/officeDocument/2006/relationships/image" Target="media/image15.tiff"/><Relationship Id="rId34" Type="http://schemas.openxmlformats.org/officeDocument/2006/relationships/image" Target="media/image14.tiff"/><Relationship Id="rId33" Type="http://schemas.openxmlformats.org/officeDocument/2006/relationships/image" Target="media/image13.png"/><Relationship Id="rId32" Type="http://schemas.openxmlformats.org/officeDocument/2006/relationships/image" Target="media/image12.png"/><Relationship Id="rId31" Type="http://schemas.openxmlformats.org/officeDocument/2006/relationships/image" Target="media/image11.png"/><Relationship Id="rId30" Type="http://schemas.openxmlformats.org/officeDocument/2006/relationships/image" Target="media/image10.png"/><Relationship Id="rId3" Type="http://schemas.openxmlformats.org/officeDocument/2006/relationships/footnotes" Target="footnotes.xml"/><Relationship Id="rId29" Type="http://schemas.openxmlformats.org/officeDocument/2006/relationships/image" Target="media/image9.png"/><Relationship Id="rId28" Type="http://schemas.openxmlformats.org/officeDocument/2006/relationships/image" Target="media/image8.png"/><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tiff"/><Relationship Id="rId22" Type="http://schemas.openxmlformats.org/officeDocument/2006/relationships/image" Target="media/image2.jpeg"/><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5.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LEO\LOCALS~1\Temp\Rar$DI00.015\&#35199;&#23433;&#20132;&#22823;&#21338;&#22763;&#23398;&#20301;&#35770;&#25991;&#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722CBA-AA92-4578-B1F0-74ABA654691B}">
  <ds:schemaRefs/>
</ds:datastoreItem>
</file>

<file path=docProps/app.xml><?xml version="1.0" encoding="utf-8"?>
<Properties xmlns="http://schemas.openxmlformats.org/officeDocument/2006/extended-properties" xmlns:vt="http://schemas.openxmlformats.org/officeDocument/2006/docPropsVTypes">
  <Template>西安交大博士学位论文模板.dot</Template>
  <Company>XD</Company>
  <Pages>124</Pages>
  <Words>2056</Words>
  <Characters>3873</Characters>
  <Lines>2263</Lines>
  <Paragraphs>1723</Paragraphs>
  <TotalTime>43</TotalTime>
  <ScaleCrop>false</ScaleCrop>
  <LinksUpToDate>false</LinksUpToDate>
  <CharactersWithSpaces>4348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2023-11-10T11:29:00Z</dcterms:created>
  <dc:creator>LU HUNG</dc:creator>
  <cp:lastModifiedBy>纸为鸢生、</cp:lastModifiedBy>
  <cp:lastPrinted>2024-06-14T10:30:00Z</cp:lastPrinted>
  <dcterms:modified xsi:type="dcterms:W3CDTF">2026-03-15T20:16:12Z</dcterms:modified>
  <dc:title>第1章 绪论</dc:title>
  <cp:revision>507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KSOProductBuildVer">
    <vt:lpwstr>2052-12.1.0.25225</vt:lpwstr>
  </property>
  <property fmtid="{D5CDD505-2E9C-101B-9397-08002B2CF9AE}" pid="5" name="ICV">
    <vt:lpwstr>E3CC620A40974E578A0001D32A733EBF_12</vt:lpwstr>
  </property>
  <property fmtid="{D5CDD505-2E9C-101B-9397-08002B2CF9AE}" pid="6" name="MTWinEqns">
    <vt:bool>true</vt:bool>
  </property>
  <property fmtid="{D5CDD505-2E9C-101B-9397-08002B2CF9AE}" pid="7" name="KSOTemplateDocerSaveRecord">
    <vt:lpwstr>eyJoZGlkIjoiOWQ4YTg2N2U3NmMyMDQ2MDlhYWJhNjFiZTU0M2I4MmYiLCJ1c2VySWQiOiIzNzg5MTMyNzkifQ==</vt:lpwstr>
  </property>
</Properties>
</file>