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基于metropolis-hastings的贝叶斯参数反演模型"/>
    <w:p>
      <w:pPr>
        <w:pStyle w:val="Heading1"/>
      </w:pPr>
      <w:r>
        <w:t xml:space="preserve">4.3 </w:t>
      </w:r>
      <w:r>
        <w:rPr>
          <w:rFonts w:hint="eastAsia"/>
        </w:rPr>
        <w:t xml:space="preserve">基于Metropolis-Hastings的贝叶斯参数反演模型</w:t>
      </w:r>
    </w:p>
    <w:p>
      <w:pPr>
        <w:pStyle w:val="FirstParagraph"/>
      </w:pPr>
      <w:r>
        <w:rPr>
          <w:rFonts w:hint="eastAsia"/>
        </w:rPr>
        <w:t xml:space="preserve">第4.2节建立的”滑动窗口-MDL-ESPRIT”框架从强色散差频信号中重构了特征轨迹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s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w</m:t>
                </m:r>
              </m:sub>
            </m:sSub>
          </m:sup>
        </m:sSubSup>
      </m:oMath>
      <w:r>
        <w:rPr>
          <w:rFonts w:hint="eastAsia"/>
        </w:rPr>
        <w:t xml:space="preserve">，包含探测频率、测量时延和幅度权重三维信息。然而，从特征数据到物理参数的反演仍面临两个挑战：如何构建同时利用时延与幅度信息的目标函数；如何量化反演不确定性，验证第4.1节的参数降维假设。</w:t>
      </w:r>
    </w:p>
    <w:p>
      <w:pPr>
        <w:pStyle w:val="BodyText"/>
      </w:pPr>
      <w:r>
        <w:rPr>
          <w:rFonts w:hint="eastAsia"/>
        </w:rPr>
        <w:t xml:space="preserve">传统确定性优化方法（如Levenberg-Marquardt算法）属于局部搜索策略，收敛路径依赖初始猜测点，且仅返回单一最优解</w:t>
      </w:r>
      <m:oMath>
        <m:acc>
          <m:accPr>
            <m:chr m:val="̂"/>
          </m:accPr>
          <m:e>
            <m:r>
              <m:rPr>
                <m:sty m:val="b"/>
              </m:rPr>
              <m:t>θ</m:t>
            </m:r>
          </m:e>
        </m:acc>
      </m:oMath>
      <w:r>
        <w:rPr>
          <w:rFonts w:hint="eastAsia"/>
        </w:rPr>
        <w:t xml:space="preserve">，无法量化参数置信区间或揭示主参数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与次级参数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间的耦合关系。鉴于此，本节引入贝叶斯统计框架，利用马尔可夫链蒙特卡洛（MCMC）方法从后验概率分布视角审视反演问题。</w:t>
      </w:r>
    </w:p>
    <w:p>
      <w:pPr>
        <w:pStyle w:val="BodyText"/>
      </w:pPr>
      <w:r>
        <w:rPr>
          <w:rFonts w:hint="eastAsia"/>
        </w:rPr>
        <w:t xml:space="preserve">本节围绕三个核心环节展开：（1）构建融合幅度权重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加权似然函数，使高信噪比数据主导反演过程；（2）设计均匀先验分布并采用Metropolis-Hastings算法实现后验采样，克服对初值的依赖；（3）基于后验分布形态建立参数可观测性量化判据，为第4.4节仿真验证奠定方法论基础。</w:t>
      </w:r>
    </w:p>
    <w:p>
      <w:r>
        <w:pict>
          <v:rect style="width:0;height:1.5pt" o:hralign="center" o:hrstd="t" o:hr="t"/>
        </w:pict>
      </w:r>
    </w:p>
    <w:bookmarkStart w:id="12" w:name="加权似然函数构建融合碰撞频率幅度衰减的权重设计"/>
    <w:p>
      <w:pPr>
        <w:pStyle w:val="Heading2"/>
      </w:pPr>
      <w:r>
        <w:t xml:space="preserve">4.3.1 </w:t>
      </w:r>
      <w:r>
        <w:rPr>
          <w:rFonts w:hint="eastAsia"/>
        </w:rPr>
        <w:t xml:space="preserve">加权似然函数构建：融合碰撞频率幅度衰减的权重设计</w:t>
      </w:r>
    </w:p>
    <w:bookmarkStart w:id="9" w:name="从最小二乘到贝叶斯反演范式的转换"/>
    <w:p>
      <w:pPr>
        <w:pStyle w:val="Heading3"/>
      </w:pPr>
      <w:r>
        <w:rPr>
          <w:rFonts w:hint="eastAsia"/>
        </w:rPr>
        <w:t xml:space="preserve">从最小二乘到贝叶斯：反演范式的转换</w:t>
      </w:r>
    </w:p>
    <w:p>
      <w:pPr>
        <w:pStyle w:val="FirstParagraph"/>
      </w:pPr>
      <w:r>
        <w:rPr>
          <w:rFonts w:hint="eastAsia"/>
        </w:rPr>
        <w:t xml:space="preserve">根据贝叶斯定理，待反演参数</w:t>
      </w:r>
      <m:oMath>
        <m:r>
          <m:rPr>
            <m:sty m:val="b"/>
          </m:rPr>
          <m:t>θ</m:t>
        </m:r>
      </m:oMath>
      <w:r>
        <w:rPr>
          <w:rFonts w:hint="eastAsia"/>
        </w:rPr>
        <w:t xml:space="preserve">的后验分布正比于似然函数与先验分布的乘积：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θ</m:t>
          </m:r>
          <m:r>
            <m:rPr>
              <m:sty m:val="p"/>
            </m:rPr>
            <m:t>|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D</m:t>
              </m:r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∝</m:t>
          </m:r>
          <m:r>
            <m:t>P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|</m:t>
          </m:r>
          <m:r>
            <m:rPr>
              <m:sty m:val="b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rPr>
            <m:scr m:val="script"/>
            <m:sty m:val="p"/>
          </m:rPr>
          <m:t>D</m:t>
        </m:r>
      </m:oMath>
      <w:r>
        <w:rPr>
          <w:rFonts w:hint="eastAsia"/>
        </w:rPr>
        <w:t xml:space="preserve">为ESPRIT提取的观测数据集，</w:t>
      </w:r>
      <m:oMath>
        <m:r>
          <m:rPr>
            <m:sty m:val="b"/>
          </m:rP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为待反演参数向量。式(4-42)表明后验分布综合了观测数据的”似然证据”与物理约束的”先验知识”。相比传统最小二乘仅关注残差极小化，贝叶斯框架不仅给出参数最可能值，更提供完整概率分布以量化不确定性。这种从”点估计”到”分布估计”的范式转换，是验证参数可观测性假设的理论基础。</w:t>
      </w:r>
    </w:p>
    <w:bookmarkEnd w:id="9"/>
    <w:bookmarkStart w:id="10" w:name="加权高斯似然函数的物理构造"/>
    <w:p>
      <w:pPr>
        <w:pStyle w:val="Heading3"/>
      </w:pPr>
      <w:r>
        <w:rPr>
          <w:rFonts w:hint="eastAsia"/>
        </w:rPr>
        <w:t xml:space="preserve">加权高斯似然函数的物理构造</w:t>
      </w:r>
    </w:p>
    <w:p>
      <w:pPr>
        <w:pStyle w:val="FirstParagraph"/>
      </w:pPr>
      <w:r>
        <w:rPr>
          <w:rFonts w:hint="eastAsia"/>
        </w:rPr>
        <w:t xml:space="preserve">似然函数</w:t>
      </w:r>
      <m:oMath>
        <m:r>
          <m:t>P</m:t>
        </m:r>
        <m:r>
          <m:rPr>
            <m:sty m:val="p"/>
          </m:rPr>
          <m:t>(</m:t>
        </m:r>
        <m:r>
          <m:rPr>
            <m:scr m:val="script"/>
            <m:sty m:val="p"/>
          </m:rPr>
          <m:t>D</m:t>
        </m:r>
        <m:r>
          <m:rPr>
            <m:sty m:val="p"/>
          </m:rPr>
          <m:t>|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衡量给定参数下观测数据出现的概率。假设测量误差服从高斯分布，基准噪声标准差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ns（由标定实验确定），单个数据点的似然贡献为：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m</m:t>
              </m:r>
              <m:r>
                <m:t>e</m:t>
              </m:r>
              <m:r>
                <m:t>a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b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  <m:r>
                        <m:t>o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p</m:t>
                      </m:r>
                      <m:r>
                        <m:t>r</m:t>
                      </m:r>
                      <m:r>
                        <m:t>o</m:t>
                      </m:r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rPr>
                      <m:sty m:val="b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τ</m:t>
            </m:r>
          </m:e>
          <m:sub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;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为Drude理论模型计算的群时延。然而，当</w:t>
      </w:r>
      <m:oMath>
        <m:sSub>
          <m:e>
            <m:r>
              <m:t>f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b</m:t>
            </m:r>
            <m:r>
              <m:t>e</m:t>
            </m:r>
          </m:sub>
        </m:sSub>
      </m:oMath>
      <w:r>
        <w:rPr>
          <w:rFonts w:hint="eastAsia"/>
        </w:rPr>
        <w:t xml:space="preserve">接近截止频率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时，信号幅度急剧衰减，信噪比恶化。若对所有数据点赋予等权重，低信噪比区域的噪声将主导残差计算，掩盖高质量数据携带的物理信息。</w:t>
      </w:r>
    </w:p>
    <w:p>
      <w:pPr>
        <w:pStyle w:val="BodyText"/>
      </w:pPr>
      <w:r>
        <w:rPr>
          <w:rFonts w:hint="eastAsia"/>
        </w:rPr>
        <w:t xml:space="preserve">为此，本文引入基于幅度的自适应加权机制，利用式(4-21)的窗口幅度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定义归一化权重：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max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幅度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反映窗口内信号能量，与信噪比正相关；平方处理进一步放大权重差异，使透射窗口内的高质量数据主导反演，截止频率附近的低质量数据自动降权。该策略将”幅度对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敏感、时延对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敏感”的解耦特性融入算法设计。</w:t>
      </w:r>
    </w:p>
    <w:p>
      <w:pPr>
        <w:pStyle w:val="BodyText"/>
      </w:pPr>
      <w:r>
        <w:rPr>
          <w:rFonts w:hint="eastAsia"/>
        </w:rPr>
        <w:t xml:space="preserve">引入加权因子后，加权对数似然函数的最终形式为：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b"/>
            </m:rP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bSup>
                <m:e>
                  <m:r>
                    <m:t>σ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m</m:t>
                      </m:r>
                      <m:r>
                        <m:t>o</m:t>
                      </m:r>
                      <m:r>
                        <m:t>d</m:t>
                      </m:r>
                      <m:r>
                        <m:t>e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p</m:t>
                      </m:r>
                      <m:r>
                        <m:t>r</m:t>
                      </m:r>
                      <m:r>
                        <m:t>o</m:t>
                      </m:r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rPr>
                      <m:sty m:val="b"/>
                    </m:rP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式(4-45)是本文贝叶斯反演的核心公式。与加权最小二乘不同，贝叶斯框架将其作为后验分布的一个因子，通过MCMC采样获取参数的完整概率信息。</w:t>
      </w:r>
    </w:p>
    <w:bookmarkEnd w:id="10"/>
    <w:bookmarkStart w:id="11" w:name="理论时延模型的数值实现"/>
    <w:p>
      <w:pPr>
        <w:pStyle w:val="Heading3"/>
      </w:pPr>
      <w:r>
        <w:rPr>
          <w:rFonts w:hint="eastAsia"/>
        </w:rPr>
        <w:t xml:space="preserve">理论时延模型的数值实现</w:t>
      </w:r>
    </w:p>
    <w:p>
      <w:pPr>
        <w:pStyle w:val="FirstParagraph"/>
      </w:pPr>
      <w:r>
        <w:rPr>
          <w:rFonts w:hint="eastAsia"/>
        </w:rPr>
        <w:t xml:space="preserve">加权似然函数的计算依赖于理论时延</w:t>
      </w:r>
      <m:oMath>
        <m:sSub>
          <m:e>
            <m:r>
              <m:t>τ</m:t>
            </m:r>
          </m:e>
          <m:sub>
            <m:r>
              <m:t>m</m:t>
            </m:r>
            <m:r>
              <m:t>o</m:t>
            </m:r>
            <m:r>
              <m:t>d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;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的精确求值。由电子密度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计算等离子体特征角频率</w:t>
      </w:r>
      <m:oMath>
        <m:sSub>
          <m:e>
            <m:r>
              <m:t>ω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，进而得到含阻尼效应的复介电常数：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ω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ω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j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由复介电常数求得复波数</w:t>
      </w:r>
      <m:oMath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  <m:rad>
          <m:radPr>
            <m:degHide m:val="on"/>
          </m:radPr>
          <m:deg/>
          <m:e>
            <m:sSub>
              <m:e>
                <m:acc>
                  <m:accPr>
                    <m:chr m:val="̃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(</m:t>
            </m:r>
            <m:r>
              <m:t>ω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。电磁波穿过厚度</w:t>
      </w:r>
      <m:oMath>
        <m:r>
          <m:t>d</m:t>
        </m:r>
      </m:oMath>
      <w:r>
        <w:rPr>
          <w:rFonts w:hint="eastAsia"/>
        </w:rPr>
        <w:t xml:space="preserve">的等离子体层时，传播相位为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Re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⋅</m:t>
        </m:r>
        <m:r>
          <m:t>d</m:t>
        </m:r>
      </m:oMath>
      <w:r>
        <w:rPr>
          <w:rFonts w:hint="eastAsia"/>
        </w:rPr>
        <w:t xml:space="preserve">，群时延通过数值微分并减去真空参考获得：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m</m:t>
              </m:r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;</m:t>
          </m:r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ν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Φ</m:t>
              </m:r>
            </m:num>
            <m:den>
              <m:r>
                <m:t>d</m:t>
              </m:r>
              <m:r>
                <m:t>ω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式(4-46)至(4-47)构成从参数</w:t>
      </w:r>
      <m:oMath>
        <m:r>
          <m:rPr>
            <m:sty m:val="b"/>
          </m:rPr>
          <m:t>θ</m:t>
        </m:r>
      </m:oMath>
      <w:r>
        <w:rPr>
          <w:rFonts w:hint="eastAsia"/>
        </w:rPr>
        <w:t xml:space="preserve">到理论时延的完整映射链。该计算采用全复数Drude模型，保留了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的完整物理效应，为通过后验分布形态验证其”不可观测性”提供数学基础。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先验分布设定与mcmc采样策略"/>
    <w:p>
      <w:pPr>
        <w:pStyle w:val="Heading2"/>
      </w:pPr>
      <w:r>
        <w:t xml:space="preserve">4.3.2 </w:t>
      </w:r>
      <w:r>
        <w:rPr>
          <w:rFonts w:hint="eastAsia"/>
        </w:rPr>
        <w:t xml:space="preserve">先验分布设定与MCMC采样策略</w:t>
      </w:r>
    </w:p>
    <w:bookmarkStart w:id="13" w:name="均匀先验的物理约束设计"/>
    <w:p>
      <w:pPr>
        <w:pStyle w:val="Heading3"/>
      </w:pPr>
      <w:r>
        <w:rPr>
          <w:rFonts w:hint="eastAsia"/>
        </w:rPr>
        <w:t xml:space="preserve">均匀先验的物理约束设计</w:t>
      </w:r>
    </w:p>
    <w:p>
      <w:pPr>
        <w:pStyle w:val="FirstParagraph"/>
      </w:pPr>
      <w:r>
        <w:rPr>
          <w:rFonts w:hint="eastAsia"/>
        </w:rPr>
        <w:t xml:space="preserve">先验分布</w:t>
      </w:r>
      <m:oMath>
        <m:r>
          <m:t>P</m:t>
        </m:r>
        <m:r>
          <m:rPr>
            <m:sty m:val="p"/>
          </m:rPr>
          <m:t>(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体现对参数取值范围的物理约束。本文对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均采用均匀分布作为先验：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t>i</m:t>
                            </m:r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ν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ν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t>i</m:t>
                            </m:r>
                            <m:r>
                              <m:t>n</m:t>
                            </m:r>
                          </m:sub>
                        </m:sSub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均匀先验仅限定物理可行域而不引入主观偏好，后验形态完全由数据驱动。作为”无信息先验”的形式，其推断结果与最大似然估计具有渐近一致性。</w:t>
      </w:r>
    </w:p>
    <w:p>
      <w:pPr>
        <w:pStyle w:val="BodyText"/>
      </w:pPr>
      <w:r>
        <w:rPr>
          <w:rFonts w:hint="eastAsia"/>
        </w:rPr>
        <w:t xml:space="preserve">先验边界需结合诊断系统工作频段确定。对于Ka波段LFMCW系统，电子密度设定为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t>18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20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（对应</w:t>
      </w:r>
      <m:oMath>
        <m:sSub>
          <m:e>
            <m:r>
              <m:t>f</m:t>
            </m:r>
          </m:e>
          <m:sub>
            <m:r>
              <m:t>p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9</m:t>
        </m:r>
        <m:r>
          <m:rPr>
            <m:sty m:val="p"/>
          </m:rPr>
          <m:t>,</m:t>
        </m:r>
        <m:r>
          <m:t>90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GHz），涵盖弱电离至强电离状态；碰撞频率设定为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GHz，覆盖低压至大气压放电工况。</w:t>
      </w:r>
    </w:p>
    <w:bookmarkEnd w:id="13"/>
    <w:bookmarkStart w:id="14" w:name="metropolis-hastings算法的实现框架"/>
    <w:p>
      <w:pPr>
        <w:pStyle w:val="Heading3"/>
      </w:pPr>
      <w:r>
        <w:rPr>
          <w:rFonts w:hint="eastAsia"/>
        </w:rPr>
        <w:t xml:space="preserve">Metropolis-Hastings算法的实现框架</w:t>
      </w:r>
    </w:p>
    <w:p>
      <w:pPr>
        <w:pStyle w:val="FirstParagraph"/>
      </w:pPr>
      <w:r>
        <w:rPr>
          <w:rFonts w:hint="eastAsia"/>
        </w:rPr>
        <w:t xml:space="preserve">本文采用Metropolis-Hastings（MH）算法从式(4-42)定义的后验分布中抽取样本。MH算法通过”提议-接受/拒绝”的随机游走机制使马尔可夫链收敛至目标后验分布。其核心优势在于零阶特性——仅需计算目标函数值而无需求导，既避免了群时延在截止频率附近因导数趋于无穷大引发的数值溢出，又能适应导数不连续的物理模型。</w:t>
      </w:r>
    </w:p>
    <w:p>
      <w:pPr>
        <w:pStyle w:val="BodyText"/>
      </w:pPr>
      <w:r>
        <w:rPr>
          <w:rFonts w:hint="eastAsia"/>
        </w:rPr>
        <w:t xml:space="preserve">算法从先验分布均匀采样初始状态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并计算初始对数似然。随后基于当前状态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通过高斯随机游走生成候选状态：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θ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r>
            <m:rPr>
              <m:sty m:val="b"/>
            </m:rPr>
            <m:t>ϵ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ϵ</m:t>
          </m:r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Σ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rPr>
                <m:sty m:val="b"/>
              </m:rPr>
              <m:t>Σ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σ</m:t>
            </m:r>
          </m:e>
          <m:sub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sSub>
              <m:e>
                <m:r>
                  <m:t>ν</m:t>
                </m:r>
              </m:e>
              <m:sub>
                <m:r>
                  <m:t>e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为提议分布协方差矩阵，</w:t>
      </w:r>
      <m:oMath>
        <m:sSub>
          <m:e>
            <m:r>
              <m:t>σ</m:t>
            </m:r>
          </m:e>
          <m:sub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σ</m:t>
            </m:r>
          </m:e>
          <m:sub>
            <m:sSub>
              <m:e>
                <m:r>
                  <m:t>ν</m:t>
                </m:r>
              </m:e>
              <m:sub>
                <m:r>
                  <m:t>e</m:t>
                </m:r>
              </m:sub>
            </m:sSub>
          </m:sub>
        </m:sSub>
      </m:oMath>
      <w:r>
        <w:rPr>
          <w:rFonts w:hint="eastAsia"/>
        </w:rPr>
        <w:t xml:space="preserve">分别设为先验范围的2%和5%。较大的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提议步长考虑了其对时延的低敏感性。</w:t>
      </w:r>
    </w:p>
    <w:p>
      <w:pPr>
        <w:pStyle w:val="BodyText"/>
      </w:pPr>
      <w:r>
        <w:rPr>
          <w:rFonts w:hint="eastAsia"/>
        </w:rPr>
        <w:t xml:space="preserve">若候选状态超出先验边界则直接拒绝；否则计算Metropolis接受概率：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rPr>
                      <m:scr m:val="script"/>
                      <m:sty m:val="p"/>
                    </m:rP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rPr>
                      <m:scr m:val="script"/>
                      <m:sty m:val="p"/>
                    </m:rP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θ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由于采用均匀先验且提议分布对称，式(4-51)简化为似然比形式。生成均匀随机数</w:t>
      </w:r>
      <m:oMath>
        <m:r>
          <m:t>u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后，若</w:t>
      </w:r>
      <m:oMath>
        <m:r>
          <m:t>u</m:t>
        </m:r>
        <m:r>
          <m:rPr>
            <m:sty m:val="p"/>
          </m:rPr>
          <m:t>&lt;</m:t>
        </m:r>
        <m:r>
          <m:t>α</m:t>
        </m:r>
      </m:oMath>
      <w:r>
        <w:rPr>
          <w:rFonts w:hint="eastAsia"/>
        </w:rPr>
        <w:t xml:space="preserve">则接受候选状态，否则保持当前状态。这种”概率性接受”机制允许链以一定概率接受似然较低的状态，从而避免陷入局部极值。重复迭代</w:t>
      </w:r>
      <m:oMath>
        <m:sSub>
          <m:e>
            <m:r>
              <m:t>N</m:t>
            </m:r>
          </m:e>
          <m:sub>
            <m:r>
              <m:t>s</m:t>
            </m:r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10000</m:t>
        </m:r>
      </m:oMath>
      <w:r>
        <w:rPr>
          <w:rFonts w:hint="eastAsia"/>
        </w:rPr>
        <w:t xml:space="preserve">次生成完整马尔可夫链。</w:t>
      </w:r>
    </w:p>
    <w:bookmarkEnd w:id="14"/>
    <w:bookmarkStart w:id="15" w:name="预烧期与后验统计"/>
    <w:p>
      <w:pPr>
        <w:pStyle w:val="Heading3"/>
      </w:pPr>
      <w:r>
        <w:rPr>
          <w:rFonts w:hint="eastAsia"/>
        </w:rPr>
        <w:t xml:space="preserve">预烧期与后验统计</w:t>
      </w:r>
    </w:p>
    <w:p>
      <w:pPr>
        <w:pStyle w:val="FirstParagraph"/>
      </w:pPr>
      <w:r>
        <w:rPr>
          <w:rFonts w:hint="eastAsia"/>
        </w:rPr>
        <w:t xml:space="preserve">马尔可夫链前若干样本受初始状态影响尚未收敛，称为”预烧期”。本文设定</w:t>
      </w:r>
      <m:oMath>
        <m:sSub>
          <m:e>
            <m:r>
              <m:t>N</m:t>
            </m:r>
          </m:e>
          <m:sub>
            <m:r>
              <m:t>b</m:t>
            </m:r>
            <m:r>
              <m:t>u</m:t>
            </m:r>
            <m:r>
              <m:t>r</m:t>
            </m:r>
            <m:r>
              <m:t>n</m:t>
            </m:r>
          </m:sub>
        </m:sSub>
        <m:r>
          <m:rPr>
            <m:sty m:val="p"/>
          </m:rPr>
          <m:t>=</m:t>
        </m:r>
        <m:r>
          <m:t>2000</m:t>
        </m:r>
      </m:oMath>
      <w:r>
        <w:rPr>
          <w:rFonts w:hint="eastAsia"/>
        </w:rPr>
        <w:t xml:space="preserve">次迭代（占总采样数20%），预烧期样本不参与后验统计。预烧期可通过迹线图判断：链轨迹围绕稳定值波动而非趋势性漂移时即进入平稳状态。</w:t>
      </w:r>
    </w:p>
    <w:p>
      <w:pPr>
        <w:pStyle w:val="BodyText"/>
      </w:pPr>
      <w:r>
        <w:rPr>
          <w:rFonts w:hint="eastAsia"/>
        </w:rPr>
        <w:t xml:space="preserve">迹线图是诊断MCMC收敛性的基本工具。可观测参数的迹线在预烧期后应稳定围绕固定值波动，呈现”混合良好”特征；弱可观测或不可观测参数则在先验范围内大幅漫游。这种行为差异直观预示了参数可观测性的本质区别。</w:t>
      </w:r>
    </w:p>
    <w:p>
      <w:pPr>
        <w:pStyle w:val="BodyText"/>
      </w:pPr>
      <w:r>
        <w:rPr>
          <w:rFonts w:hint="eastAsia"/>
        </w:rPr>
        <w:t xml:space="preserve">图4-7展示了基于真实LFMCW信号（SNR</w:t>
      </w:r>
      <w:r>
        <w:t xml:space="preserve"> = 20 </w:t>
      </w:r>
      <w:r>
        <w:rPr>
          <w:rFonts w:hint="eastAsia"/>
        </w:rPr>
        <w:t xml:space="preserve">dB）的MCMC迹线图仿真结果。仿真参数设置为：电子密度真值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，碰撞频率真值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GHz，总采样数10000次，预烧期2000次。结果表明：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迹线在预烧期后迅速收敛至真值附近并保持窄幅振荡（CV</w:t>
      </w:r>
      <w:r>
        <w:t xml:space="preserve"> = </w:t>
      </w:r>
      <w:r>
        <w:rPr>
          <w:rFonts w:hint="eastAsia"/>
        </w:rPr>
        <w:t xml:space="preserve">0.6%，强可观测），后验均值</w:t>
      </w:r>
      <m:oMath>
        <m:r>
          <m:t>1.356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与真值偏差仅0.4%；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迹线虽在先验范围</w:t>
      </w:r>
      <m:oMath>
        <m:r>
          <m:rPr>
            <m:sty m:val="p"/>
          </m:rPr>
          <m:t>[</m:t>
        </m:r>
        <m:r>
          <m:t>0.1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GHz内大幅波动，但后验均值3.37</w:t>
      </w:r>
      <w:r>
        <w:t xml:space="preserve"> </w:t>
      </w:r>
      <w:r>
        <w:rPr>
          <w:rFonts w:hint="eastAsia"/>
        </w:rPr>
        <w:t xml:space="preserve">GHz仍在同一数量级（CV</w:t>
      </w:r>
      <w:r>
        <w:t xml:space="preserve"> = </w:t>
      </w:r>
      <w:r>
        <w:rPr>
          <w:rFonts w:hint="eastAsia"/>
        </w:rPr>
        <w:t xml:space="preserve">23.7%，弱可观测），表明数据对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提供了一定约束但精度受限。</w:t>
      </w:r>
    </w:p>
    <w:p>
      <w:pPr>
        <w:pStyle w:val="BodyText"/>
      </w:pPr>
      <w:r>
        <w:rPr>
          <w:rFonts w:hint="eastAsia"/>
        </w:rPr>
        <w:t xml:space="preserve">丢弃预烧期后，有效样本集为</w:t>
      </w:r>
      <m:oMath>
        <m:r>
          <m:rPr>
            <m:sty m:val="p"/>
          </m:rPr>
          <m:t>{</m:t>
        </m:r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sSubSup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sSub>
              <m:e>
                <m:r>
                  <m:t>N</m:t>
                </m:r>
              </m:e>
              <m:sub>
                <m:r>
                  <m:t>b</m:t>
                </m:r>
                <m:r>
                  <m:t>u</m:t>
                </m:r>
                <m:r>
                  <m:t>r</m:t>
                </m:r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s</m:t>
                </m:r>
                <m:r>
                  <m:t>a</m:t>
                </m:r>
                <m:r>
                  <m:t>m</m:t>
                </m:r>
                <m:r>
                  <m:t>p</m:t>
                </m:r>
                <m:r>
                  <m:t>l</m:t>
                </m:r>
                <m:r>
                  <m:t>e</m:t>
                </m:r>
                <m:r>
                  <m:t>s</m:t>
                </m:r>
              </m:sub>
            </m:sSub>
          </m:sup>
        </m:sSubSup>
      </m:oMath>
      <w:r>
        <w:rPr>
          <w:rFonts w:hint="eastAsia"/>
        </w:rPr>
        <w:t xml:space="preserve">，共8000个样本。后验均值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、标准差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rPr>
          <w:rFonts w:hint="eastAsia"/>
        </w:rPr>
        <w:t xml:space="preserve">及95%置信区间</w:t>
      </w:r>
      <m:oMath>
        <m:r>
          <m:rPr>
            <m:sty m:val="p"/>
          </m:rPr>
          <m:t>[</m:t>
        </m:r>
        <m:sSub>
          <m:e>
            <m:r>
              <m:t>θ</m:t>
            </m:r>
          </m:e>
          <m:sub>
            <m:r>
              <m:t>2.5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97.5</m:t>
            </m:r>
            <m:r>
              <m:rPr>
                <m:sty m:val="p"/>
              </m:rPr>
              <m:t>%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可直接计算。</w:t>
      </w:r>
    </w:p>
    <w:bookmarkEnd w:id="15"/>
    <w:bookmarkStart w:id="16" w:name="采样效率与收敛诊断"/>
    <w:p>
      <w:pPr>
        <w:pStyle w:val="Heading3"/>
      </w:pPr>
      <w:r>
        <w:rPr>
          <w:rFonts w:hint="eastAsia"/>
        </w:rPr>
        <w:t xml:space="preserve">采样效率与收敛诊断</w:t>
      </w:r>
    </w:p>
    <w:p>
      <w:pPr>
        <w:pStyle w:val="FirstParagraph"/>
      </w:pPr>
      <w:r>
        <w:rPr>
          <w:rFonts w:hint="eastAsia"/>
        </w:rPr>
        <w:t xml:space="preserve">MH算法的采样效率用”接受率”衡量。理论分析表明，多维高斯目标分布的最优接受率约23%，一般目标分布20%-50%为合理区间。接受率过高表示步长过小、探索效率低；过低则表示步长过大、链频繁原地踏步。</w:t>
      </w:r>
    </w:p>
    <w:p>
      <w:pPr>
        <w:pStyle w:val="BodyText"/>
      </w:pPr>
      <w:r>
        <w:rPr>
          <w:rFonts w:hint="eastAsia"/>
        </w:rPr>
        <w:t xml:space="preserve">本文采用迹线图和自相关分析诊断收敛性。收敛的链在迹线图上表现为围绕稳定值的随机波动；自相关函数应在若干滞后步后迅速衰减至零。通过直方图可视化边缘后验分布：可观测参数呈现单峰紧凑形态，不可观测参数呈现平坦或多峰特征，这是建立可观测性判据的基础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参数可观测性判据基于后验分布宽度的量化标准"/>
    <w:p>
      <w:pPr>
        <w:pStyle w:val="Heading2"/>
      </w:pPr>
      <w:r>
        <w:t xml:space="preserve">4.3.3 </w:t>
      </w:r>
      <w:r>
        <w:rPr>
          <w:rFonts w:hint="eastAsia"/>
        </w:rPr>
        <w:t xml:space="preserve">参数可观测性判据：基于后验分布宽度的量化标准</w:t>
      </w:r>
    </w:p>
    <w:bookmarkStart w:id="18" w:name="从后验形态到可观测性物理直觉的数学表达"/>
    <w:p>
      <w:pPr>
        <w:pStyle w:val="Heading3"/>
      </w:pPr>
      <w:r>
        <w:rPr>
          <w:rFonts w:hint="eastAsia"/>
        </w:rPr>
        <w:t xml:space="preserve">从后验形态到可观测性：物理直觉的数学表达</w:t>
      </w:r>
    </w:p>
    <w:p>
      <w:pPr>
        <w:pStyle w:val="FirstParagraph"/>
      </w:pPr>
      <w:r>
        <w:rPr>
          <w:rFonts w:hint="eastAsia"/>
        </w:rPr>
        <w:t xml:space="preserve">第4.1节论证了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对群时延的影响仅为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ω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的二阶微扰，据此提出参数降维策略。MCMC方法提供了直接验证途径：若某参数对观测数据影响微弱，其后验分布将保持接近先验的”平坦”形态，而非收敛至窄峰。</w:t>
      </w:r>
    </w:p>
    <w:p>
      <w:pPr>
        <w:pStyle w:val="BodyText"/>
      </w:pPr>
      <w:r>
        <w:rPr>
          <w:rFonts w:hint="eastAsia"/>
        </w:rPr>
        <w:t xml:space="preserve">这一物理直觉可形式化为参数可观测性的量化判据。定义后验变异系数（CV）：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CV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θ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Sup>
          <m:e>
            <m:r>
              <m:t>σ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(</m:t>
            </m:r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 xml:space="preserve">和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p</m:t>
            </m:r>
            <m:r>
              <m:t>o</m:t>
            </m:r>
            <m:r>
              <m:t>s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分别为后验标准差和均值。CV衡量后验分布的弥散程度：CV趋近零时后验坍缩为尖锐峰，参数被精确约束；CV趋近先验CV值（均匀分布约57.7%）时，后验几乎未从先验更新，表明数据对该参数不携带有效信息。</w:t>
      </w:r>
    </w:p>
    <w:p>
      <w:pPr>
        <w:pStyle w:val="BodyText"/>
      </w:pPr>
      <w:r>
        <w:rPr>
          <w:rFonts w:hint="eastAsia"/>
        </w:rPr>
        <w:t xml:space="preserve">基于系统性仿真验证，本文归纳出如下四级工程判据（表4-1）：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CV范围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可观测性等级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CV &lt; 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强可观测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高精度反演，稳定可靠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5% ≤ CV &lt; 15%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中等可观测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可信反演，但精度受限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15% ≤ CV &lt; 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弱可观测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可被数据约束，偏差显著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CV ≥ 30%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不可观测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由先验主导，建议固定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该判据将参数可观测性从二元分类（</w:t>
      </w:r>
      <w:r>
        <w:rPr>
          <w:rFonts w:hint="eastAsia"/>
        </w:rPr>
        <w:t xml:space="preserve">“可观测/不可观测”</w:t>
      </w:r>
      <w:r>
        <w:rPr>
          <w:rFonts w:hint="eastAsia"/>
        </w:rPr>
        <w:t xml:space="preserve">）细化为四级分类，更准确地刻画了物理参数被数据约束的程度。</w:t>
      </w:r>
    </w:p>
    <w:bookmarkEnd w:id="18"/>
    <w:bookmarkStart w:id="19" w:name="corner-plot参数耦合的可视化诊断"/>
    <w:p>
      <w:pPr>
        <w:pStyle w:val="Heading3"/>
      </w:pPr>
      <w:r>
        <w:t xml:space="preserve">Corner </w:t>
      </w:r>
      <w:r>
        <w:rPr>
          <w:rFonts w:hint="eastAsia"/>
        </w:rPr>
        <w:t xml:space="preserve">Plot：参数耦合的可视化诊断</w:t>
      </w:r>
    </w:p>
    <w:p>
      <w:pPr>
        <w:pStyle w:val="FirstParagraph"/>
      </w:pPr>
      <w:r>
        <w:rPr>
          <w:rFonts w:hint="eastAsia"/>
        </w:rPr>
        <w:t xml:space="preserve">本文采用角点图（Corner</w:t>
      </w:r>
      <w:r>
        <w:t xml:space="preserve"> </w:t>
      </w:r>
      <w:r>
        <w:rPr>
          <w:rFonts w:hint="eastAsia"/>
        </w:rPr>
        <w:t xml:space="preserve">Plot）可视化参数间联合后验分布：主对角线展示边缘后验直方图及CV值，下三角展示联合分布散点图，右上区域标注参数相关分析结果。</w:t>
      </w:r>
    </w:p>
    <w:p>
      <w:pPr>
        <w:pStyle w:val="BodyText"/>
      </w:pPr>
      <w:r>
        <w:t xml:space="preserve">Corner </w:t>
      </w:r>
      <w:r>
        <w:rPr>
          <w:rFonts w:hint="eastAsia"/>
        </w:rPr>
        <w:t xml:space="preserve">Plot可直观揭示参数耦合信息。联合分布呈圆形表明两者独立，呈倾斜椭圆表明存在相关性。更重要的是，若某参数边缘后验呈尖锐峰而另一参数呈较平坦形态，联合分布将表现为”长条”结构——长轴方向对应弱可观测参数，短轴方向对应强可观测参数。若联合分布存在多个分离高概率区域，则表明反演问题存在多解性。</w:t>
      </w:r>
    </w:p>
    <w:p>
      <w:pPr>
        <w:pStyle w:val="BodyText"/>
      </w:pPr>
      <w:r>
        <w:rPr>
          <w:rFonts w:hint="eastAsia"/>
        </w:rPr>
        <w:t xml:space="preserve">图4-8展示了与图4-7相同仿真条件下的Corner</w:t>
      </w:r>
      <w:r>
        <w:t xml:space="preserve"> </w:t>
      </w:r>
      <w:r>
        <w:rPr>
          <w:rFonts w:hint="eastAsia"/>
        </w:rPr>
        <w:t xml:space="preserve">Plot结果。边缘后验分布清晰揭示了两参数的可观测性差异：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边缘后验呈现尖锐窄峰（CV</w:t>
      </w:r>
      <w:r>
        <w:t xml:space="preserve"> = </w:t>
      </w:r>
      <w:r>
        <w:rPr>
          <w:rFonts w:hint="eastAsia"/>
        </w:rPr>
        <w:t xml:space="preserve">0.6%），峰值精确落在真值位置；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边缘后验相对平坦但仍呈现一定聚集趋势（CV</w:t>
      </w:r>
      <w:r>
        <w:t xml:space="preserve"> = </w:t>
      </w:r>
      <w:r>
        <w:rPr>
          <w:rFonts w:hint="eastAsia"/>
        </w:rPr>
        <w:t xml:space="preserve">23.7%），属于”弱可观测”状态。</w:t>
      </w:r>
    </w:p>
    <w:p>
      <w:pPr>
        <w:pStyle w:val="BodyText"/>
      </w:pPr>
      <w:r>
        <w:rPr>
          <w:rFonts w:hint="eastAsia"/>
        </w:rPr>
        <w:t xml:space="preserve">联合后验散点图呈现特征性的”纵向长条”结构：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被数据强约束在</w:t>
      </w:r>
      <m:oMath>
        <m:r>
          <m:rPr>
            <m:sty m:val="p"/>
          </m:rPr>
          <m:t>[</m:t>
        </m:r>
        <m:r>
          <m:t>1.34</m:t>
        </m:r>
        <m:r>
          <m:rPr>
            <m:sty m:val="p"/>
          </m:rPr>
          <m:t>,</m:t>
        </m:r>
        <m:r>
          <m:t>1.37</m:t>
        </m:r>
        <m:r>
          <m:rPr>
            <m:sty m:val="p"/>
          </m:rPr>
          <m:t>]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/>
        </w:rPr>
        <w:t xml:space="preserve">的窄带内（95%</w:t>
      </w:r>
      <w:r>
        <w:t xml:space="preserve"> </w:t>
      </w:r>
      <w:r>
        <w:rPr>
          <w:rFonts w:hint="eastAsia"/>
        </w:rPr>
        <w:t xml:space="preserve">CI），而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在</w:t>
      </w:r>
      <m:oMath>
        <m:r>
          <m:rPr>
            <m:sty m:val="p"/>
          </m:rPr>
          <m:t>[</m:t>
        </m:r>
        <m:r>
          <m:t>2.0</m:t>
        </m:r>
        <m:r>
          <m:rPr>
            <m:sty m:val="p"/>
          </m:rPr>
          <m:t>,</m:t>
        </m:r>
        <m:r>
          <m:t>4.9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GHz范围内弥散。参数相关系数</w:t>
      </w:r>
      <m:oMath>
        <m:sSub>
          <m:e>
            <m:r>
              <m:t>ρ</m:t>
            </m:r>
          </m:e>
          <m:sub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ν</m:t>
                </m:r>
              </m:e>
              <m:sub>
                <m:r>
                  <m:t>e</m:t>
                </m:r>
              </m:sub>
            </m:sSub>
          </m:sub>
        </m:sSub>
        <m:r>
          <m:rPr>
            <m:sty m:val="p"/>
          </m:rPr>
          <m:t>=</m:t>
        </m:r>
        <m:r>
          <m:t>0.23</m:t>
        </m:r>
      </m:oMath>
      <w:r>
        <w:rPr>
          <w:rFonts w:hint="eastAsia"/>
        </w:rPr>
        <w:t xml:space="preserve">表明两者弱耦合，可独立反演。该结果从统计视角验证了第4.1节的物理预判：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可被精确反演，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虽受数据约束但反演精度有限。第4.4节将基于系统性仿真进一步量化不同信噪比条件下的可观测性边界。</w:t>
      </w:r>
    </w:p>
    <w:bookmarkEnd w:id="19"/>
    <w:bookmarkStart w:id="20" w:name="可观测性判据的工程应用"/>
    <w:p>
      <w:pPr>
        <w:pStyle w:val="Heading3"/>
      </w:pPr>
      <w:r>
        <w:rPr>
          <w:rFonts w:hint="eastAsia"/>
        </w:rPr>
        <w:t xml:space="preserve">可观测性判据的工程应用</w:t>
      </w:r>
    </w:p>
    <w:p>
      <w:pPr>
        <w:pStyle w:val="FirstParagraph"/>
      </w:pPr>
      <w:r>
        <w:rPr>
          <w:rFonts w:hint="eastAsia"/>
        </w:rPr>
        <w:t xml:space="preserve">本文建立的可观测性分析流程为：对候选参数集</w:t>
      </w:r>
      <m:oMath>
        <m:r>
          <m:rPr>
            <m:sty m:val="b"/>
          </m:rP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运行MCMC采样，计算各参数后验CV值并按表4-1进行四级分类；绘制Corner</w:t>
      </w:r>
      <w:r>
        <w:t xml:space="preserve"> </w:t>
      </w:r>
      <w:r>
        <w:rPr>
          <w:rFonts w:hint="eastAsia"/>
        </w:rPr>
        <w:t xml:space="preserve">Plot检查参数耦合，若</w:t>
      </w:r>
      <m:oMath>
        <m:r>
          <m:rPr>
            <m:sty m:val="p"/>
          </m:rPr>
          <m:t>|</m:t>
        </m:r>
        <m:r>
          <m:t>ρ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0.7</m:t>
        </m:r>
      </m:oMath>
      <w:r>
        <w:rPr>
          <w:rFonts w:hint="eastAsia"/>
        </w:rPr>
        <w:t xml:space="preserve">则考虑重新参数化以解耦；根据可观测性等级确定反演策略：强可观测参数独立反演，弱可观测参数需附带较宽置信区间，不可观测参数固定为经验常数。</w:t>
      </w:r>
    </w:p>
    <w:p>
      <w:pPr>
        <w:pStyle w:val="BodyText"/>
      </w:pPr>
      <w:r>
        <w:rPr>
          <w:rFonts w:hint="eastAsia"/>
        </w:rPr>
        <w:t xml:space="preserve">该流程的核心价值在于将”参数是否应该反演”从主观经验提升为客观的数据驱动决策。CV判据具有可重复性和可移植性，可直接应用于第5章的Lorentz超材料模型和Butterworth滤波器模型。</w:t>
      </w:r>
    </w:p>
    <w:bookmarkEnd w:id="20"/>
    <w:bookmarkStart w:id="21" w:name="算法鲁棒性的特异性分析"/>
    <w:p>
      <w:pPr>
        <w:pStyle w:val="Heading3"/>
      </w:pPr>
      <w:r>
        <w:rPr>
          <w:rFonts w:hint="eastAsia"/>
        </w:rPr>
        <w:t xml:space="preserve">算法鲁棒性的特异性分析</w:t>
      </w:r>
    </w:p>
    <w:p>
      <w:pPr>
        <w:pStyle w:val="FirstParagraph"/>
      </w:pPr>
      <w:r>
        <w:rPr>
          <w:rFonts w:hint="eastAsia"/>
        </w:rPr>
        <w:t xml:space="preserve">与传统LM算法相比，MCMC方法展现出两个独特优势。其一为</w:t>
      </w:r>
      <w:r>
        <w:rPr>
          <w:rFonts w:hint="eastAsia"/>
          <w:b/>
          <w:bCs/>
        </w:rPr>
        <w:t xml:space="preserve">初值无关性</w:t>
      </w:r>
      <w:r>
        <w:rPr>
          <w:rFonts w:hint="eastAsia"/>
        </w:rPr>
        <w:t xml:space="preserve">：LM算法作为局部搜索方法，收敛路径依赖初始猜测点的”吸引域”；MCMC基于马尔可夫链遍历性定理，链的状态分布收敛于唯一的目标后验分布而与初始状态无关。仿真表明，即便初始电子密度偏离真值500%，约2000次迭代后采样链仍能收敛至真值附近。</w:t>
      </w:r>
    </w:p>
    <w:p>
      <w:pPr>
        <w:pStyle w:val="BodyText"/>
      </w:pPr>
      <w:r>
        <w:rPr>
          <w:rFonts w:hint="eastAsia"/>
        </w:rPr>
        <w:t xml:space="preserve">其二为</w:t>
      </w:r>
      <w:r>
        <w:rPr>
          <w:rFonts w:hint="eastAsia"/>
          <w:b/>
          <w:bCs/>
        </w:rPr>
        <w:t xml:space="preserve">奇点适应能力</w:t>
      </w:r>
      <w:r>
        <w:rPr>
          <w:rFonts w:hint="eastAsia"/>
        </w:rPr>
        <w:t xml:space="preserve">：在截止频率或谐振点附近，群时延曲线出现陡峭突变，导致LM算法的雅可比矩阵奇异或病态。MCMC仅需计算似然函数值而无需求导，当随机游走至突变点时，似然概率趋近零，Metropolis判据将拒绝该跳跃，迫使采样链自动绕开奇点区域，赋予算法处理非平滑色散曲线的稳定性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本节小结"/>
    <w:p>
      <w:pPr>
        <w:pStyle w:val="Heading2"/>
      </w:pP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本节建立了基于Metropolis-Hastings</w:t>
      </w:r>
      <w:r>
        <w:t xml:space="preserve"> </w:t>
      </w:r>
      <w:r>
        <w:rPr>
          <w:rFonts w:hint="eastAsia"/>
        </w:rPr>
        <w:t xml:space="preserve">MCMC的贝叶斯参数反演框架，为第4.2节提取的特征数据与Drude物理模型搭建了统计推断桥梁。</w:t>
      </w:r>
    </w:p>
    <w:p>
      <w:pPr>
        <w:pStyle w:val="BodyText"/>
      </w:pPr>
      <w:r>
        <w:rPr>
          <w:rFonts w:hint="eastAsia"/>
        </w:rPr>
        <w:t xml:space="preserve">在加权似然函数设计方面，针对信噪比随频率变化的特点，构建了融合幅度权重的加权高斯似然函数（式4-45），使高信噪比数据主导反演过程；同时给出了基于全复数Drude模型的理论时延计算流程（式4-46至4-47）。</w:t>
      </w:r>
    </w:p>
    <w:p>
      <w:pPr>
        <w:pStyle w:val="BodyText"/>
      </w:pPr>
      <w:r>
        <w:rPr>
          <w:rFonts w:hint="eastAsia"/>
        </w:rPr>
        <w:t xml:space="preserve">在MCMC采样策略方面，采用均匀先验分布限定物理可行域，基于MH算法实现后验采样。算法设置包括总采样数10000次、预烧期2000次、提议步长分别为参数范围的2%（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）和5%（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），充分利用了MCMC的初值无关性和奇点适应能力。</w:t>
      </w:r>
    </w:p>
    <w:p>
      <w:pPr>
        <w:pStyle w:val="BodyText"/>
      </w:pPr>
      <w:r>
        <w:rPr>
          <w:rFonts w:hint="eastAsia"/>
        </w:rPr>
        <w:t xml:space="preserve">在参数可观测性判据方面，建立了以变异系数CV为核心的四级分类标准（表4-1）：CV</w:t>
      </w:r>
      <w:r>
        <w:t xml:space="preserve"> &lt; </w:t>
      </w:r>
      <w:r>
        <w:rPr>
          <w:rFonts w:hint="eastAsia"/>
        </w:rPr>
        <w:t xml:space="preserve">5%为强可观测，5%-15%为中等可观测，15%-30%为弱可观测，CV</w:t>
      </w:r>
      <w:r>
        <w:t xml:space="preserve"> ≥ </w:t>
      </w:r>
      <w:r>
        <w:rPr>
          <w:rFonts w:hint="eastAsia"/>
        </w:rPr>
        <w:t xml:space="preserve">30%为不可观测。基于真实LFMCW信号（SNR</w:t>
      </w:r>
      <w:r>
        <w:t xml:space="preserve"> = 20 </w:t>
      </w:r>
      <w:r>
        <w:rPr>
          <w:rFonts w:hint="eastAsia"/>
        </w:rPr>
        <w:t xml:space="preserve">dB）的仿真验证表明：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的CV</w:t>
      </w:r>
      <w:r>
        <w:t xml:space="preserve"> = </w:t>
      </w:r>
      <w:r>
        <w:rPr>
          <w:rFonts w:hint="eastAsia"/>
        </w:rPr>
        <w:t xml:space="preserve">0.6%（强可观测），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的CV</w:t>
      </w:r>
      <w:r>
        <w:t xml:space="preserve"> = </w:t>
      </w:r>
      <w:r>
        <w:rPr>
          <w:rFonts w:hint="eastAsia"/>
        </w:rPr>
        <w:t xml:space="preserve">23.7%（弱可观测），两者相关系数</w:t>
      </w:r>
      <m:oMath>
        <m:r>
          <m:t>ρ</m:t>
        </m:r>
        <m:r>
          <m:rPr>
            <m:sty m:val="p"/>
          </m:rPr>
          <m:t>=</m:t>
        </m:r>
        <m:r>
          <m:t>0.23</m:t>
        </m:r>
      </m:oMath>
      <w:r>
        <w:rPr>
          <w:rFonts w:hint="eastAsia"/>
        </w:rPr>
        <w:t xml:space="preserve">表明弱耦合、可独立反演。Corner</w:t>
      </w:r>
      <w:r>
        <w:t xml:space="preserve"> </w:t>
      </w:r>
      <w:r>
        <w:rPr>
          <w:rFonts w:hint="eastAsia"/>
        </w:rPr>
        <w:t xml:space="preserve">Plot清晰揭示了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的”尖峰”后验与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的”较平坦”后验之间的对比，从统计学角度验证了第4.1节的物理预判。该判据将”参数是否应该反演”从主观经验提升为数据驱动决策，为第4.4节的系统性仿真验证提供了定量化工具。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2026-01-25T16:51:16Z</dcterms:created>
  <dcterms:modified xsi:type="dcterms:W3CDTF">2026-01-25T16:51:16Z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