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第三章的分析揭示了等离子体色散效应对LFMCW差频信号的调制机理：在强色散条件下，差频信号的瞬时频率随时间线性漂移，传统FFT方法依赖的”恒定时延假设”被根本性破坏，频谱呈现散焦与中心偏移的双重失真。基于</w:t>
      </w:r>
      <w:r>
        <w:t xml:space="preserve"> </w:t>
      </w:r>
      <m:oMath>
        <m:r>
          <m:t>B</m:t>
        </m:r>
        <m:r>
          <m:t>a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t>1</m:t>
        </m:r>
      </m:oMath>
      <w:r>
        <w:t xml:space="preserve"> </w:t>
      </w:r>
      <w:r>
        <w:rPr>
          <w:rFonts w:hint="eastAsia"/>
        </w:rPr>
        <w:t xml:space="preserve">的工程判据，已明确了传统全频段分析方法的适用边界——在Ka波段等离子体诊断的典型工况下，这一临界条件往往无法满足，需要采用高级信号处理算法进行参数反演。</w:t>
      </w:r>
    </w:p>
    <w:p>
      <w:pPr>
        <w:pStyle w:val="BodyText"/>
      </w:pPr>
      <w:r>
        <w:rPr>
          <w:rFonts w:hint="eastAsia"/>
        </w:rPr>
        <w:t xml:space="preserve">然而，从”检测方法失效”到”构建可靠的反演算法”之间，仍存在若干尚待解决的关键问题。从物理层面看，完整的Drude模型包含电子密度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与碰撞频率</w:t>
      </w:r>
      <w:r>
        <w:t xml:space="preserve"> $</w:t>
      </w:r>
      <w:r>
        <w:t xml:space="preserve"> </w:t>
      </w:r>
      <w:r>
        <w:t xml:space="preserve">u_e$ </w:t>
      </w:r>
      <w:r>
        <w:rPr>
          <w:rFonts w:hint="eastAsia"/>
        </w:rPr>
        <w:t xml:space="preserve">两个独立参数，在理论上应建立双参数联合反演框架；但第三章对介电常数虚实部的量级分析已暗示，$</w:t>
      </w:r>
      <w:r>
        <w:t xml:space="preserve"> </w:t>
      </w:r>
      <w:r>
        <w:t xml:space="preserve">u_e$ </w:t>
      </w:r>
      <w:r>
        <w:rPr>
          <w:rFonts w:hint="eastAsia"/>
        </w:rPr>
        <w:t xml:space="preserve">对群时延的贡献属于二阶小量，其对反演问题适定性的影响尚需系统评估。从信号处理层面看，色散导致的非平稳差频信号如何转化为可供反演使用的”频率-时延”特征数据，需要突破传统FFT的单频假设。从统计推断层面看，传统确定性优化方法虽能给出参数的点估计，却无法量化反演结果的不确定性，也难以直观揭示不同参数之间的可观测性差异。</w:t>
      </w:r>
    </w:p>
    <w:p>
      <w:pPr>
        <w:pStyle w:val="BodyText"/>
      </w:pPr>
      <w:r>
        <w:rPr>
          <w:rFonts w:hint="eastAsia"/>
        </w:rPr>
        <w:t xml:space="preserve">本章围绕上述问题，构建一套完整的贝叶斯参数反演技术体系。4.1节从物理约束的角度，通过泰勒级数展开与雅可比矩阵条件数分析，论证碰撞频率</w:t>
      </w:r>
      <w:r>
        <w:t xml:space="preserve"> $</w:t>
      </w:r>
      <w:r>
        <w:t xml:space="preserve"> </w:t>
      </w:r>
      <w:r>
        <w:t xml:space="preserve">u_e$ </w:t>
      </w:r>
      <w:r>
        <w:rPr>
          <w:rFonts w:hint="eastAsia"/>
        </w:rPr>
        <w:t xml:space="preserve">在时延观测中的不可辨识性，提出”固定</w:t>
      </w:r>
      <w:r>
        <w:t xml:space="preserve"> $</w:t>
      </w:r>
      <w:r>
        <w:t xml:space="preserve"> </w:t>
      </w:r>
      <w:r>
        <w:rPr>
          <w:rFonts w:hint="eastAsia"/>
        </w:rPr>
        <w:t xml:space="preserve">u_e$、仅反演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“的参数降维策略，并从误差传递的角度评估该策略的鲁棒性。4.2节针对非平稳差频信号的高分辨率特征提取问题，提出基于”</w:t>
      </w:r>
      <w:r>
        <w:rPr>
          <w:rFonts w:hint="eastAsia"/>
        </w:rPr>
        <w:t xml:space="preserve">滑动窗口-MDL-ESPRIT”的时频解耦框架，将色散介质的全局非平稳特性分解为局部平稳的短时片段，重构出清晰的”频率-时延”特征轨迹。4.3节引入Metropolis-Hastings马尔可夫链蒙特卡洛方法，构建融合幅度加权的贝叶斯反演模型，并建立基于后验分布变异系数的参数可观测性量化判据。4.4节通过含噪声的完整仿真实验，从后验分布的”尖峰</w:t>
      </w:r>
      <w:r>
        <w:t xml:space="preserve"> vs </w:t>
      </w:r>
      <w:r>
        <w:rPr>
          <w:rFonts w:hint="eastAsia"/>
        </w:rPr>
        <w:t xml:space="preserve">平原”形态对比中验证4.1节的物理预判，并测试降维策略在碰撞频率预设失配条件下的鲁棒性边界，完成”物理预判→方法构建→统计验证”的逻辑闭环。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2026-01-25T10:55:09Z</dcterms:created>
  <dcterms:modified xsi:type="dcterms:W3CDTF">2026-01-25T10:55:09Z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