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从传感器到模型：预处理、对齐与结果口径的逐项解释</w:t>
      </w:r>
    </w:p>
    <w:p>
      <w:r>
        <w:rPr>
          <w:b w:val="0"/>
          <w:i w:val="0"/>
        </w:rPr>
        <w:t>2026-09-23。本文解释当前实际代码，不把后续计划中的 IQ 时序网络、时频图网络或精细时间对齐当作已经实现。</w:t>
      </w:r>
    </w:p>
    <w:p>
      <w:pPr>
        <w:pStyle w:val="Heading1"/>
      </w:pPr>
      <w:r>
        <w:rPr>
          <w:b w:val="0"/>
          <w:i w:val="0"/>
        </w:rPr>
        <w:t>1. 先看清楚模型到底吃什么</w:t>
      </w:r>
    </w:p>
    <w:p>
      <w:pPr>
        <w:spacing w:before="80" w:after="140"/>
      </w:pPr>
      <w:r>
        <w:rPr>
          <w:rFonts w:ascii="Consolas" w:hAnsi="Consolas" w:eastAsia="宋体"/>
          <w:sz w:val="18"/>
        </w:rPr>
        <w:t>雷达原始 ADC/IQ bin</w:t>
        <w:br/>
        <w:t xml:space="preserve">  → 距离 FFT：判断反射来自哪个距离</w:t>
        <w:br/>
        <w:t xml:space="preserve">  → 选电机附近距离门，保留 3 个 bin × 4 RX</w:t>
        <w:br/>
        <w:t xml:space="preserve">  → 得到随 chirp 变化的复 IQ</w:t>
        <w:br/>
        <w:t xml:space="preserve">  → 归一化、每帧去均值</w:t>
        <w:br/>
        <w:t xml:space="preserve">  → 每帧沿慢时间做 FFT：计算振动相关的频率分布</w:t>
        <w:br/>
        <w:t xml:space="preserve">  → 多帧/多单元功率汇聚</w:t>
        <w:br/>
        <w:t xml:space="preserve">  → 5–800 Hz 汇聚成 128 个频带，取 log 并减去谱均值</w:t>
        <w:br/>
        <w:t xml:space="preserve">  → StandardScaler：128 个数仍然是 128 个数</w:t>
        <w:br/>
        <w:t xml:space="preserve">  → 雷达 encoder：输出 128 维学习表示</w:t>
        <w:br/>
        <w:t xml:space="preserve">  → 与接触式同一个诊断头 → 四类概率</w:t>
      </w:r>
    </w:p>
    <w:p>
      <w:r>
        <w:rPr>
          <w:b/>
          <w:i w:val="0"/>
        </w:rPr>
        <w:t>当前 encoder 输入是一维的 128 维谱特征向量，既不是原始 IQ，也不是时频图片。</w:t>
      </w:r>
      <w:r>
        <w:t xml:space="preserve"> 批量接口为 </w:t>
      </w:r>
      <w:r>
        <w:rPr>
          <w:b w:val="0"/>
          <w:i w:val="0"/>
        </w:rPr>
        <w:t>[batch,128]</w:t>
      </w:r>
      <w:r>
        <w:t>。128 个输入数对应固定频带；128 个输出数是网络学习的隐藏特征，已没有“一维对应一个 Hz”的含义。两边碰巧都为 128，不意味着它们可以直接互换。</w:t>
      </w:r>
    </w:p>
    <w:p>
      <w:r>
        <w:rPr>
          <w:b w:val="0"/>
          <w:i w:val="0"/>
        </w:rPr>
        <w:t>接触式路径不同：</w:t>
      </w:r>
      <w:r>
        <w:rPr>
          <w:b w:val="0"/>
          <w:i w:val="0"/>
        </w:rPr>
        <w:t>XYZ 原始加速度→每轴一秒 DCT/DCN→query/reference 配对→BearLLM FCN→128 维 hidden→同一个头</w:t>
      </w:r>
      <w:r>
        <w:t>。</w:t>
      </w:r>
    </w:p>
    <w:p>
      <w:r>
        <w:rPr>
          <w:b w:val="0"/>
          <w:i w:val="0"/>
        </w:rPr>
        <w:t xml:space="preserve">“IQ 是预处理起点”和“encoder 直接吃 IQ”不是一回事。当前已保存的 </w:t>
      </w:r>
      <w:r>
        <w:rPr>
          <w:b w:val="0"/>
          <w:i w:val="0"/>
        </w:rPr>
        <w:t>iq_frames</w:t>
      </w:r>
      <w:r>
        <w:t xml:space="preserve"> 也不是原始 ADC：它已经完成了距离选择、单元幅值归一化和帧内去均值。外圈原始正确距离附近的 IQ 没保存下来，不能在这个数组上重新选到正确电机。</w:t>
      </w:r>
    </w:p>
    <w:p>
      <w:pPr>
        <w:pStyle w:val="Heading1"/>
      </w:pPr>
      <w:r>
        <w:rPr>
          <w:b w:val="0"/>
          <w:i w:val="0"/>
        </w:rPr>
        <w:t>2. IQ、两个 FFT、ROI 分别是什么</w:t>
      </w:r>
    </w:p>
    <w:p>
      <w:r>
        <w:rPr>
          <w:b w:val="0"/>
          <w:i w:val="0"/>
        </w:rPr>
        <w:t xml:space="preserve">IQ 指复数观测 </w:t>
      </w:r>
      <w:r>
        <w:rPr>
          <w:b w:val="0"/>
          <w:i w:val="0"/>
        </w:rPr>
        <w:t>z=I+jQ</w:t>
      </w:r>
      <w:r>
        <w:t>：I、Q 是同一雷达信号的两个正交分量，不是加速度 X/Y 轴。</w:t>
      </w:r>
      <w:r>
        <w:rPr>
          <w:b w:val="0"/>
          <w:i w:val="0"/>
        </w:rPr>
        <w:t>sqrt(I²+Q²)</w:t>
      </w:r>
      <w:r>
        <w:t xml:space="preserve"> 是复信号幅度，</w:t>
      </w:r>
      <w:r>
        <w:rPr>
          <w:b w:val="0"/>
          <w:i w:val="0"/>
        </w:rPr>
        <w:t>atan2(Q,I)</w:t>
      </w:r>
      <w:r>
        <w:t xml:space="preserve"> 是相角。在单一、稳定散射体等假设下，相位变化可与沿视线位移相关；多径/多散射体下，不能把任意 IQ 相角直接叫真实电机位移。</w:t>
      </w:r>
    </w:p>
    <w:p>
      <w:r>
        <w:rPr>
          <w:b w:val="0"/>
          <w:i w:val="0"/>
        </w:rPr>
        <w:t>这里有两种方向不同的 FFT：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操作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在哪里做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得到什么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快时间/距离 FFT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同一个 chirp 内的 256 个 ADC 点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不同距离的反射强度和复数值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慢时间频谱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固定距离单元，沿连续 chirp 的 IQ 变化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振动、转动等造成的周期变化频率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ROI 是 Region of Interest，即“感兴趣区域”，这里主要指电机的距离范围。可理解为先从雷达中选出“我们要看的电机所在位置”。选错 ROI，就可能在分析其他反射体；后面的网络即使输出很高概率，也不证明电机故障被正确感知。</w:t>
      </w:r>
    </w:p>
    <w:p>
      <w:r>
        <w:rPr>
          <w:b w:val="0"/>
          <w:i w:val="0"/>
        </w:rPr>
        <w:t>当前候选单窗数据形状：</w:t>
      </w:r>
      <w:r>
        <w:rPr>
          <w:b w:val="0"/>
          <w:i w:val="0"/>
        </w:rPr>
        <w:t>[20帧,192 chirp,12空间单元,2个IQ分量]</w:t>
      </w:r>
      <w:r>
        <w:t>。12 个单元来自 3 个相邻距离 bin×4 RX，彼此相关，不是 12 次独立测量，也不是已经分离的 12 通道 TDM-MIMO。</w:t>
      </w:r>
    </w:p>
    <w:p>
      <w:pPr>
        <w:pStyle w:val="Heading1"/>
      </w:pPr>
      <w:r>
        <w:rPr>
          <w:b w:val="0"/>
          <w:i w:val="0"/>
        </w:rPr>
        <w:t>3. 雷达预处理每一步的意义和实际限制</w:t>
      </w:r>
    </w:p>
    <w:p>
      <w:pPr>
        <w:pStyle w:val="Heading2"/>
      </w:pPr>
      <w:r>
        <w:rPr>
          <w:b w:val="0"/>
          <w:i w:val="0"/>
        </w:rPr>
        <w:t>第一步：降低固定幅度和静态偏置的影响</w:t>
      </w:r>
    </w:p>
    <w:p>
      <w:r>
        <w:rPr>
          <w:b w:val="0"/>
          <w:i w:val="0"/>
        </w:rPr>
        <w:t>每个单元用该两秒窗口的幅度中位数做尺度归一化，再减去每帧的复均值。这能减弱整体增益差异和固定复偏置，但不能自动消除动态多径、频率相关结构响应或已经削顶的波形。</w:t>
      </w:r>
    </w:p>
    <w:p>
      <w:pPr>
        <w:pStyle w:val="Heading2"/>
      </w:pPr>
      <w:r>
        <w:rPr>
          <w:b w:val="0"/>
          <w:i w:val="0"/>
        </w:rPr>
        <w:t>第二步：一帧一帧计算频谱</w:t>
      </w:r>
    </w:p>
    <w:p>
      <w:r>
        <w:rPr>
          <w:b w:val="0"/>
          <w:i w:val="0"/>
        </w:rPr>
        <w:t>原配置 chirp 间隔 0.5 ms，帧内采样率 2000 Hz；一帧 192 个 chirp，约 96 ms。帧周期 100 ms，因此有约 4 ms 缺口。</w:t>
      </w:r>
    </w:p>
    <w:p>
      <w:r>
        <w:rPr>
          <w:b w:val="0"/>
          <w:i w:val="0"/>
        </w:rPr>
        <w:t>当前主分支对每个完整帧分别加 Hann 窗并 FFT，合并正负频率功率，随后在时间帧上平均、空间单元上取中位数。这样不要求相邻帧的绝对相位连贯，也不会把两帧之间的缺口直接拼成连续波形。</w:t>
      </w:r>
    </w:p>
    <w:p>
      <w:r>
        <w:rPr>
          <w:b w:val="0"/>
          <w:i w:val="0"/>
        </w:rPr>
        <w:t>它付出的代价是丢掉大部分帧间时间顺序，频率分辨能力主要受 96 ms 限制，约为 10.42 Hz。两秒包含更多用于平均的帧，但并没有得到两秒连续相干 FFT 的分辨率。补零求得 0.5 Hz 网格只是更密的求值点。</w:t>
      </w:r>
    </w:p>
    <w:p>
      <w:pPr>
        <w:pStyle w:val="Heading2"/>
      </w:pPr>
      <w:r>
        <w:rPr>
          <w:b w:val="0"/>
          <w:i w:val="0"/>
        </w:rPr>
        <w:t>第三步：把谱汇总为 128 个数</w:t>
      </w:r>
    </w:p>
    <w:p>
      <w:r>
        <w:rPr>
          <w:b w:val="0"/>
          <w:i w:val="0"/>
        </w:rPr>
        <w:t>5–800 Hz 被预先分成 128 个不等宽频带。每个频带求平均功率，然后取 log10，再减去当前窗口全部频带 log 值的平均数。</w:t>
      </w:r>
    </w:p>
    <w:p>
      <w:r>
        <w:rPr>
          <w:b w:val="0"/>
          <w:i w:val="0"/>
        </w:rPr>
        <w:t>这样保留“谱形状”，弱化整体谱同时升高/降低。例子：如果两个信号所有频带都只差统一增益，中心化后可能很接近；如果某个结构只压低 100–150 Hz，中心化并不能消除这种局部改变。</w:t>
      </w:r>
    </w:p>
    <w:p>
      <w:r>
        <w:rPr>
          <w:b w:val="0"/>
          <w:i w:val="0"/>
        </w:rPr>
        <w:t>128 维是</w:t>
      </w:r>
      <w:r>
        <w:rPr>
          <w:b/>
          <w:i w:val="0"/>
        </w:rPr>
        <w:t>频带汇聚这一步</w:t>
      </w:r>
      <w:r>
        <w:t>得到的，不是 StandardScaler 降维得到的。没有在当前主流程中使用 PCA、PHI-S、二维时频图 CNN 或原始 IQ encoder。</w:t>
      </w:r>
    </w:p>
    <w:p>
      <w:pPr>
        <w:pStyle w:val="Heading1"/>
      </w:pPr>
      <w:r>
        <w:rPr>
          <w:b w:val="0"/>
          <w:i w:val="0"/>
        </w:rPr>
        <w:t>4. StandardScaler 到底是什么</w:t>
      </w:r>
    </w:p>
    <w:p>
      <w:r>
        <w:rPr>
          <w:b w:val="0"/>
          <w:i w:val="0"/>
        </w:rPr>
        <w:t>它是逐个特征做标准化的工具，名字不代表神经网络。对第 b 个频带：</w:t>
      </w:r>
    </w:p>
    <w:p>
      <w:pPr>
        <w:spacing w:before="80" w:after="140"/>
      </w:pPr>
      <w:r>
        <w:rPr>
          <w:rFonts w:ascii="Consolas" w:hAnsi="Consolas" w:eastAsia="宋体"/>
          <w:sz w:val="18"/>
        </w:rPr>
        <w:t>标准化后的数值 z_b = (当前频带数值 x_b − 训练集均值 μ_b) / 训练集标准差 σ_b</w:t>
      </w:r>
    </w:p>
    <w:p>
      <w:r>
        <w:rPr>
          <w:b w:val="0"/>
          <w:i w:val="0"/>
        </w:rPr>
        <w:t xml:space="preserve">例如某频带的训练均值为 3、标准差为 2，当前值为 7，则变为 </w:t>
      </w:r>
      <w:r>
        <w:rPr>
          <w:b w:val="0"/>
          <w:i w:val="0"/>
        </w:rPr>
        <w:t>(7−3)/2=2</w:t>
      </w:r>
      <w:r>
        <w:t>。这个例子只是解释运算，不是本数据的实际取值。demo 可以查看真实某一频带的 x、μ、σ、z。</w:t>
      </w:r>
    </w:p>
    <w:p>
      <w:r>
        <w:rPr>
          <w:b w:val="0"/>
          <w:i w:val="0"/>
        </w:rPr>
        <w:t>fit</w:t>
      </w:r>
      <w:r>
        <w:t xml:space="preserve"> 指只根据训练录制估计 128 个均值和标准差；</w:t>
      </w:r>
      <w:r>
        <w:rPr>
          <w:b w:val="0"/>
          <w:i w:val="0"/>
        </w:rPr>
        <w:t>transform</w:t>
      </w:r>
      <w:r>
        <w:t xml:space="preserve"> 指把这组固定参数用于新样本。当前训练还采用录制等权，以免窗口多的文件占更大权重。测试/部署时不重新拟合，不能用整个测试环境的均值偷偷适配。</w:t>
      </w:r>
    </w:p>
    <w:p>
      <w:r>
        <w:rPr>
          <w:b w:val="0"/>
          <w:i w:val="0"/>
        </w:rPr>
        <w:t>它的作用是改善各维数值尺度和优化条件，不会让不同电机自动变成同一结构。前后的向量维度都为 128。</w:t>
      </w:r>
      <w:hyperlink r:id="rId11">
        <w:r>
          <w:rPr>
            <w:color w:val="23668A"/>
          </w:rPr>
          <w:t>scikit-learn 官方定义</w:t>
        </w:r>
      </w:hyperlink>
    </w:p>
    <w:p>
      <w:r>
        <w:rPr>
          <w:b w:val="0"/>
          <w:i w:val="0"/>
        </w:rPr>
        <w:t>要区分两个“减均值”：谱中心化是在</w:t>
      </w:r>
      <w:r>
        <w:rPr>
          <w:b/>
          <w:i w:val="0"/>
        </w:rPr>
        <w:t>当前一个窗口的 128 个频带之间</w:t>
      </w:r>
      <w:r>
        <w:t>减均值；StandardScaler 是对</w:t>
      </w:r>
      <w:r>
        <w:rPr>
          <w:b/>
          <w:i w:val="0"/>
        </w:rPr>
        <w:t>训练集同一个频带在不同窗口之间</w:t>
      </w:r>
      <w:r>
        <w:t>估计统计量，两者不是同一操作。</w:t>
      </w:r>
    </w:p>
    <w:p>
      <w:pPr>
        <w:pStyle w:val="Heading1"/>
      </w:pPr>
      <w:r>
        <w:rPr>
          <w:b w:val="0"/>
          <w:i w:val="0"/>
        </w:rPr>
        <w:t>5. 为什么雷达两秒，接触式一秒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模态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当前窗口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原因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没有证明的事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接触式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4000 点＝1 s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匹配 BearLLM 固定一秒 DCT 的物理频率索引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一秒一定有足够可辨认故障证据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20 帧＝名义 2 s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沿用早期环境实验窗口，汇总更多帧以稳定谱统计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两秒最优、必须两秒、与一个接触窗精确对应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两秒雷达有 3840 个有效 chirp 位置，对应约 1.92 s 的帧内观测；中间有缺口，不能等同于连续 3840 点信号直接 FFT。接触一秒来自某个完整包，包间还可能有发送等待。</w:t>
      </w:r>
    </w:p>
    <w:p>
      <w:r>
        <w:rPr>
          <w:b/>
          <w:i w:val="0"/>
        </w:rPr>
        <w:t>当前袋级方法不要求两个模态窗口数相同或持续时间相同；代价是不能声称逐窗时间对齐，也不能把两种窗口成绩当严格等时长比较。</w:t>
      </w:r>
      <w:r>
        <w:t xml:space="preserve"> 未来至少做雷达 1 s/2 s/4 s 汇聚对照，并按相同支持时段比较。接触式多个包有间隙时只能做多块统计融合，不能拼成假连续四秒。</w:t>
      </w:r>
    </w:p>
    <w:p>
      <w:pPr>
        <w:pStyle w:val="Heading1"/>
      </w:pPr>
      <w:r>
        <w:rPr>
          <w:b w:val="0"/>
          <w:i w:val="0"/>
        </w:rPr>
        <w:t>6. DCT、DC、DCN、BN、query 的词典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名称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中文含义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在这里具体做什么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DCT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Discrete Cosine Transform，离散余弦变换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把一秒波形写成不同余弦基函数的系数，用于 BearLLM 输入；不是分类算法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DC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直流/零频分量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波形平均值对应的分量；可能来自偏置、重力等，来源需设备信息确认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DCN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本项目沿用的 DCT 系数归一化表示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DCT 后补齐/截断系数并归一化能量；不是另一个故障分类网络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BN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Batch Normalization，批归一化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神经网络内部层的统计归一化；训练会维护统计，eval 时使用保存统计，当前教师冻结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LayerNorm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层归一化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当前雷达 MLP 中的归一化层；与教师 BN、外部 StandardScaler 不同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query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待诊断样本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“这段信号是什么故障？”中的这段信号；这里不是注意力机制 Q/K/V 的 Q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reference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健康参考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与 query 一起输入的已知正常信号，理想应工况匹配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query–reference pair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待测—参考配对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[2,24000]</w:t>
            </w:r>
            <w:r>
              <w:rPr>
                <w:sz w:val="18"/>
              </w:rPr>
              <w:t>，两通道不是两根加速度轴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encoder / hidden / embedding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编码器/隐藏表示/嵌入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把输入变成学习特征；当前对齐位置为分类头前的 128 维 hidden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bag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一份录制对应的一组窗口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当前跨模态训练的监督单位，不是某种文件扩展名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一秒 4000 点 DCT-II 的第 k 项约对应 </w:t>
      </w:r>
      <w:r>
        <w:rPr>
          <w:b w:val="0"/>
          <w:i w:val="0"/>
        </w:rPr>
        <w:t>k/2 Hz</w:t>
      </w:r>
      <w:r>
        <w:t>，所以第 200 项对应约 100 Hz。DCT 有正负号，与只保留强度的 FFT 功率谱不同，不能随意取绝对值再交给原权重。</w:t>
      </w:r>
      <w:hyperlink r:id="rId12">
        <w:r>
          <w:rPr>
            <w:color w:val="23668A"/>
          </w:rPr>
          <w:t>SciPy DCT 定义</w:t>
        </w:r>
      </w:hyperlink>
    </w:p>
    <w:p>
      <w:r>
        <w:rPr>
          <w:b w:val="0"/>
          <w:i w:val="0"/>
        </w:rPr>
        <w:t>BN 的统计属于模型状态。即使权重未更新，若推理时误用训练模式，也可能改变统计或输出，所以此前比较过 BN 导出状态；它不是再次采样或改变故障频率。</w:t>
      </w:r>
      <w:hyperlink r:id="rId13">
        <w:r>
          <w:rPr>
            <w:color w:val="23668A"/>
          </w:rPr>
          <w:t>PyTorch BatchNorm</w:t>
        </w:r>
      </w:hyperlink>
    </w:p>
    <w:p>
      <w:pPr>
        <w:pStyle w:val="Heading1"/>
      </w:pPr>
      <w:r>
        <w:rPr>
          <w:b w:val="0"/>
          <w:i w:val="0"/>
        </w:rPr>
        <w:t>7. 六种 DC 是什么</w:t>
      </w:r>
    </w:p>
    <w:p>
      <w:r>
        <w:rPr>
          <w:b w:val="0"/>
          <w:i w:val="0"/>
        </w:rPr>
        <w:t>准确说是“六种 DC/参考带宽预处理组合”，不是六种 DCT 变换，也不是六种模型。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组合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待测 query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健康 reference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所排查的问题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1，主 v0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去均值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已发布全频带，保留发布 DC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复核原本流程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去均值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只保留 2 kHz 以下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参考高频超出传感器支持是否造成残差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保留均值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已发布全频带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是否需要与官方 demo 的 DC 处理相同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保留均值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只保留 2 kHz 以下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DC 与参考带宽联合检查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去均值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DCT 第 0 项清零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两边是否应该一致去 DC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去均值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去 DC 并仅保留 2 kHz 以下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同时统一 DC 与可测频带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参考修改后重新做能量归一化。每种组合都用三套冻结权重运行，共 18 组；复训 FCN 在八个文件上均为 25% Acc。概率和逐轴情况有变化，但未恢复可靠分类，所以不能把后面的改善都归因于一个去 DC 开关。</w:t>
      </w:r>
    </w:p>
    <w:p>
      <w:pPr>
        <w:pStyle w:val="Heading1"/>
      </w:pPr>
      <w:r>
        <w:rPr>
          <w:b w:val="0"/>
          <w:i w:val="0"/>
        </w:rPr>
        <w:t>8. 到底是频域对齐，还是时域对齐</w:t>
      </w:r>
    </w:p>
    <w:p>
      <w:r>
        <w:rPr>
          <w:b w:val="0"/>
          <w:i w:val="0"/>
        </w:rPr>
        <w:t>当前是</w:t>
      </w:r>
      <w:r>
        <w:rPr>
          <w:b/>
          <w:i w:val="0"/>
        </w:rPr>
        <w:t>以频域表示为输入的、学习隐藏空间中的集合对齐</w:t>
      </w:r>
      <w:r>
        <w:t>。有三层区别：</w:t>
      </w:r>
    </w:p>
    <w:p>
      <w:pPr>
        <w:pStyle w:val="ListNumber"/>
      </w:pPr>
      <w:r>
        <w:rPr>
          <w:b w:val="0"/>
          <w:i w:val="0"/>
        </w:rPr>
        <w:t>加速度先转为带符号 DCT；雷达先转为 IQ 变化功率谱特征，原始表示并不相同。</w:t>
      </w:r>
    </w:p>
    <w:p>
      <w:pPr>
        <w:pStyle w:val="ListNumber"/>
      </w:pPr>
      <w:r>
        <w:rPr>
          <w:b w:val="0"/>
          <w:i w:val="0"/>
        </w:rPr>
        <w:t>两个 encoder 把这些表示变为 128 维 hidden；隐藏维度不是频率坐标。</w:t>
      </w:r>
    </w:p>
    <w:p>
      <w:pPr>
        <w:pStyle w:val="ListNumber"/>
      </w:pPr>
      <w:r>
        <w:rPr>
          <w:b w:val="0"/>
          <w:i w:val="0"/>
        </w:rPr>
        <w:t>训练约束同一录制两侧的 hidden 均值、概率和类别结构接近；没有逐频点或逐时刻强制相等。</w:t>
      </w:r>
    </w:p>
    <w:p>
      <w:r>
        <w:rPr>
          <w:b w:val="0"/>
          <w:i w:val="0"/>
        </w:rPr>
        <w:t>你的担心是对的：不同测点的点加速度与雷达散射响应通常不应直接逐点 MSE。但“不能直接波形相减”不等于“不能在时间域学习可比特征”；以后若动态任务需要，可以在工况/包络轨迹或学习描述子上做时间匹配。</w:t>
      </w:r>
    </w:p>
    <w:p>
      <w:r>
        <w:rPr>
          <w:b w:val="0"/>
          <w:i w:val="0"/>
        </w:rPr>
        <w:t>频域也不天然解决一切。结构传递函数的频率相关增益仍会改变谱形状；雷达多径也可能形成凹陷。当前的共享 hidden 只是训练目标，不是已经证明的结构不变物理量。</w:t>
      </w:r>
    </w:p>
    <w:p>
      <w:pPr>
        <w:pStyle w:val="Heading1"/>
      </w:pPr>
      <w:r>
        <w:rPr>
          <w:b w:val="0"/>
          <w:i w:val="0"/>
        </w:rPr>
        <w:t>9. bag 为什么可以不按窗口一一对应</w:t>
      </w:r>
    </w:p>
    <w:p>
      <w:r>
        <w:rPr>
          <w:b w:val="0"/>
          <w:i w:val="0"/>
        </w:rPr>
        <w:t>假设同一次稳态录制中，加速度保留 7 个有效一秒窗，雷达有 61 个两秒窗。虽然不知道哪个窗与哪个窗精确同时，仍知道这两组来自同一台设备、同一次故障状态。</w:t>
      </w:r>
    </w:p>
    <w:p>
      <w:pPr>
        <w:spacing w:before="80" w:after="140"/>
      </w:pPr>
      <w:r>
        <w:rPr>
          <w:rFonts w:ascii="Consolas" w:hAnsi="Consolas" w:eastAsia="宋体"/>
          <w:sz w:val="18"/>
        </w:rPr>
        <w:t>接触式 bag = {h_c,1, h_c,2, …, h_c,7}</w:t>
        <w:br/>
        <w:t>雷达 bag   = {h_r,1, h_r,2, …, h_r,61}</w:t>
        <w:br/>
        <w:t>对齐目标   = 两个集合在标准化 hidden 空间的均值接近</w:t>
      </w:r>
    </w:p>
    <w:p>
      <w:r>
        <w:rPr>
          <w:b w:val="0"/>
          <w:i w:val="0"/>
        </w:rPr>
        <w:t>训练实际每步从每个雷达袋抽 16 窗，接触目标来自训练袋的完整有效窗口；另加概率蒸馏、同类对比，以及每个雷达窗的真实标签 CE。只有训练录制参与建立原型。</w:t>
      </w:r>
    </w:p>
    <w:p>
      <w:r>
        <w:rPr>
          <w:b w:val="0"/>
          <w:i w:val="0"/>
        </w:rPr>
        <w:t>合理性的条件是：片段内状态/速度/负载稳定，两侧采样有代表性，统计量包含分类信息。这类似从同一个状态取得两组样本，比较它们的统计规律，而不是要求每次机械冲击都一一相等。缺测若偏向某个状态、录制内有变速或故障切换，这个前提就可能失效。</w:t>
      </w:r>
    </w:p>
    <w:p>
      <w:r>
        <w:rPr>
          <w:b w:val="0"/>
          <w:i w:val="0"/>
        </w:rPr>
        <w:t>数学上，求和对排列不敏感，所以打乱袋内窗口顺序，均值损失不变；实际两模型各 50 次排列，损失变化仅约 8.33×10⁻¹⁶。</w:t>
      </w:r>
      <w:r>
        <w:rPr>
          <w:b/>
          <w:i w:val="0"/>
        </w:rPr>
        <w:t>它可以作为稳态分类基线，但它不能证明事件级同步。</w:t>
      </w:r>
      <w:r>
        <w:t xml:space="preserve"> </w:t>
      </w:r>
      <w:hyperlink r:id="rId14">
        <w:r>
          <w:rPr>
            <w:color w:val="23668A"/>
          </w:rPr>
          <w:t>Deep Sets</w:t>
        </w:r>
      </w:hyperlink>
      <w:r>
        <w:t xml:space="preserve"> 提供集合建模依据，不保证当前均值一定足够。</w:t>
      </w:r>
    </w:p>
    <w:p>
      <w:r>
        <w:rPr>
          <w:b w:val="0"/>
          <w:i w:val="0"/>
        </w:rPr>
        <w:t>目前每类训练只有一个袋，录制原型和类别原型几乎重合。因此还要加入“同类同工况但错误录制配对”实验，判断是否真正需要录制内的对应关系。直接说“精细跨模态对齐已经完成”是不准确的。</w:t>
      </w:r>
    </w:p>
    <w:p>
      <w:pPr>
        <w:pStyle w:val="Heading1"/>
      </w:pPr>
      <w:r>
        <w:rPr>
          <w:b w:val="0"/>
          <w:i w:val="0"/>
        </w:rPr>
        <w:t>10. 49.8% 怎么变成了约 99%：事实上不是同一个实验恢复了</w:t>
      </w:r>
    </w:p>
    <w:p>
      <w:r>
        <w:rPr>
          <w:b/>
          <w:i w:val="0"/>
        </w:rPr>
        <w:t>没有完成“把原公开数据全部变成 4 kHz 输入，再恢复到约 99%”这个实验。</w:t>
      </w:r>
      <w:r>
        <w:t xml:space="preserve"> 前面的描述将不同结果放得太近，容易让人产生这个误解，需要明确纠正。</w:t>
      </w:r>
    </w:p>
    <w:p>
      <w:r>
        <w:rPr>
          <w:b w:val="0"/>
          <w:i w:val="0"/>
        </w:rPr>
        <w:t>4000 Hz 是采样率，最高可测频率理论上低于 2000 Hz。早期实验并不是把真实硬件重新设为 4000 Hz 采集，而是把已有公开 DCT 的高频系数清零、重新归一化，模拟“只保留共同低频证据”的一部分影响；没有模拟实际抗混叠滤波、传感器噪声和传播路径。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数字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哪份数据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哪个模型/处理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指标与正确解释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94.9%→49.8%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426 条公开测试 query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冻结旧 FCN；原带宽→仅保留 2 kHz 以下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macro-F1；原权重带限后明显退化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99.0553%→99.0472%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12279 条公开 test query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原完整发布输入；原头→保守适配头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合并四类 Acc；旧协议能力回归，不是限带恢复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25%→录制级 100%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本地主台架八份录制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原头→适配头；实际 4 kHz 接触数据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录制平均后的结果；窗口错误被聚合掩盖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79.31%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本地 58 个接触式一秒窗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4 kHz 数据＋两个录制留出适配头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单窗 Acc；仍明显低于目标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99.76%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本地 412 个雷达两秒窗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 encoder＋对应共享头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 Acc；含外圈错误 ROI，仍属探索性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91.38%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同一批 58 个接触窗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全八份训练后的保守头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训练拟合</w:t>
            </w:r>
            <w:r>
              <w:rPr>
                <w:sz w:val="18"/>
              </w:rPr>
              <w:t>，不是新的留出成绩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因此，现阶段所谓“兼容”有两个层次：输入长度/频率坐标兼容已经实现；4 kHz 接触式的高精度、跨结构知识兼容尚未解决。原头在完整带宽旧数据保持约 99%，并不意味着对缺失高频的新设备也保持约 99%。公开旧协议还有重复和跨集合参考问题，不能当严格独立泛化。</w:t>
      </w:r>
    </w:p>
    <w:p>
      <w:pPr>
        <w:pStyle w:val="Heading1"/>
      </w:pPr>
      <w:r>
        <w:rPr>
          <w:b w:val="0"/>
          <w:i w:val="0"/>
        </w:rPr>
        <w:t>11. ROI 幅度统计和环境表格怎么读</w:t>
      </w:r>
    </w:p>
    <w:p>
      <w:r>
        <w:rPr>
          <w:b w:val="0"/>
          <w:i w:val="0"/>
        </w:rPr>
        <w:t>环境表格使用的是 room/narrow 那批</w:t>
      </w:r>
      <w:r>
        <w:rPr>
          <w:b/>
          <w:i w:val="0"/>
        </w:rPr>
        <w:t>正常轴承</w:t>
      </w:r>
      <w:r>
        <w:t>数据，识别的标签是转速或运行状态，不是正常/内圈/外圈/滚动体。</w:t>
      </w:r>
    </w:p>
    <w:p>
      <w:r>
        <w:rPr>
          <w:b w:val="0"/>
          <w:i w:val="0"/>
        </w:rPr>
        <w:t>“ROI 原始幅度统计”基线具体是：在三个距离单元×四 RX 上，计算各单元平均复数幅度平方，并取 log，形成 12 个数。它问的是“反射有多强”，没有提取完整振动频谱。不同距离、朝向和环境散射会影响幅度，因此用于对照这种容易受环境影响的输入。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表格列名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训练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测试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预测类别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三转速 room→narrow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room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narrow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1000、2000、3000 rpm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三转速 narrow→room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narrow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room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1000、2000、3000 rpm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四状态 room→narrow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room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narrow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off、1000、2000、3000 rpm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四状态 narrow→room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narrow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room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off、1000、2000、3000 rpm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每一行是不同的前端特征，接同类逻辑回归分类器；表内数字是先汇总每份文件窗口概率后的文件级 macro-F1。超参数只在源环境选择，目标标签用于最后评价。</w:t>
      </w:r>
    </w:p>
    <w:p>
      <w:r>
        <w:rPr>
          <w:b w:val="0"/>
          <w:i w:val="0"/>
        </w:rPr>
        <w:t>例如多单元 IQ 谱形状的三转速两方向 100%/93.3%，意思是转速分类跨这两个地方的表现；不是跨环境故障准确率。只找 10–60 Hz 主转频的基线两个方向都是 100%，说明这个任务很容易利用轴速线索完成。未见距离还有 50.0%/55.6% 的失败单元，不能说环境和距离影响都已消除。</w:t>
      </w:r>
    </w:p>
    <w:p>
      <w:r>
        <w:rPr>
          <w:b w:val="0"/>
          <w:i w:val="0"/>
        </w:rPr>
        <w:t>主表训练域已经包含 20/40/80 cm；它本身也不是未见距离测试。真实目标仍是“同转速、不同故障、未见环境”的区分，需要新故障实验。</w:t>
      </w:r>
    </w:p>
    <w:p>
      <w:pPr>
        <w:pStyle w:val="Heading1"/>
      </w:pPr>
      <w:r>
        <w:rPr>
          <w:b w:val="0"/>
          <w:i w:val="0"/>
        </w:rPr>
        <w:t>12. 本次输入输出 demo 怎么展示</w:t>
      </w:r>
    </w:p>
    <w:p>
      <w:r>
        <w:rPr>
          <w:b w:val="0"/>
          <w:i w:val="0"/>
        </w:rPr>
        <w:t xml:space="preserve">打开 </w:t>
      </w:r>
      <w:hyperlink r:id="rId15">
        <w:r>
          <w:rPr>
            <w:color w:val="23668A"/>
          </w:rPr>
          <w:t>模型输入输出演示</w:t>
        </w:r>
      </w:hyperlink>
      <w:r>
        <w:t>。页面可切换 12 份录制，每份固定展示第一个有效窗口，包含：</w:t>
      </w:r>
    </w:p>
    <w:p>
      <w:pPr>
        <w:pStyle w:val="ListBullet"/>
      </w:pPr>
      <w:r>
        <w:rPr>
          <w:b w:val="0"/>
          <w:i w:val="0"/>
        </w:rPr>
        <w:t>实际输入形状、接触 XYZ 和一帧一个单元的 IQ 曲线。</w:t>
      </w:r>
    </w:p>
    <w:p>
      <w:pPr>
        <w:pStyle w:val="ListBullet"/>
      </w:pPr>
      <w:r>
        <w:rPr>
          <w:b w:val="0"/>
          <w:i w:val="0"/>
        </w:rPr>
        <w:t>128 维雷达谱特征及 StandardScaler 前后切换，逐频带查看计算。</w:t>
      </w:r>
    </w:p>
    <w:p>
      <w:pPr>
        <w:pStyle w:val="ListBullet"/>
      </w:pPr>
      <w:r>
        <w:rPr>
          <w:b w:val="0"/>
          <w:i w:val="0"/>
        </w:rPr>
        <w:t>两侧实际 128 维 hidden、同一个头给出的四类概率、真实标签。</w:t>
      </w:r>
    </w:p>
    <w:p>
      <w:pPr>
        <w:pStyle w:val="ListBullet"/>
      </w:pPr>
      <w:r>
        <w:rPr>
          <w:b w:val="0"/>
          <w:i w:val="0"/>
        </w:rPr>
        <w:t>对应模型与数据路径、录制留出/外部角色、ROI 有效性。</w:t>
      </w:r>
    </w:p>
    <w:p>
      <w:r>
        <w:rPr>
          <w:b w:val="0"/>
          <w:i w:val="0"/>
        </w:rPr>
        <w:t>示例：</w:t>
      </w:r>
      <w:r>
        <w:rPr>
          <w:b w:val="0"/>
          <w:i w:val="0"/>
        </w:rPr>
        <w:t>20260920-184857-normal-460800</w:t>
      </w:r>
      <w:r>
        <w:t xml:space="preserve"> 第一窗，接触式正常概率约 72.47%，雷达正常概率约 90.17%，两侧都预测正常。</w:t>
      </w:r>
      <w:r>
        <w:rPr>
          <w:b w:val="0"/>
          <w:i w:val="0"/>
        </w:rPr>
        <w:t>20260920-193718-roll-115200</w:t>
      </w:r>
      <w:r>
        <w:t xml:space="preserve"> 第一窗，接触式预测正常约 76.63%，雷达预测滚动体约 74.13%；保留这一误判，而不是只挑成功演示。</w:t>
      </w:r>
    </w:p>
    <w:p>
      <w:r>
        <w:rPr>
          <w:b w:val="0"/>
          <w:i w:val="0"/>
        </w:rPr>
        <w:t xml:space="preserve">这些是模型输出概率，不是新估计的“准确率”。本次实际从保存的距门 IQ 重算谱特征、从 raw_xyz 重算 DCT，再运行冻结 FCN/雷达 encoder/共享头；没有更新任何参数。CPU 重算与旧缓存有小数值差，12 个样例的分类均一致，接触概率最大差约 0.000378，雷达约 0.00000173，完整记录见 </w:t>
      </w:r>
      <w:r>
        <w:rPr>
          <w:b w:val="0"/>
          <w:i w:val="0"/>
        </w:rPr>
        <w:t>replay/verification.json</w:t>
      </w:r>
      <w:r>
        <w:t>。</w:t>
      </w:r>
    </w:p>
    <w:p>
      <w:r>
        <w:rPr>
          <w:b w:val="0"/>
          <w:i w:val="0"/>
        </w:rPr>
        <w:t>前八份主录制使用对应留出折；外部 keep/bigNormal 使用保守 all_known 模型。它们不是一个模型在同一个新测试集上的统一准确率。HTML 回放实际推理结果，不在浏览器运行 PyTorch；CLI 可真正重跑，见 README。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Contact-to-Radar Research  |  2026-09-23  |  Internal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73D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73D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73D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73D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kit-learn.org/stable/modules/generated/sklearn.preprocessing.StandardScaler.html" TargetMode="External"/><Relationship Id="rId12" Type="http://schemas.openxmlformats.org/officeDocument/2006/relationships/hyperlink" Target="https://docs.scipy.org/doc/scipy/reference/generated/scipy.fft.dct.html" TargetMode="External"/><Relationship Id="rId13" Type="http://schemas.openxmlformats.org/officeDocument/2006/relationships/hyperlink" Target="https://docs.pytorch.org/docs/stable/generated/torch.nn.BatchNorm1d.html" TargetMode="External"/><Relationship Id="rId14" Type="http://schemas.openxmlformats.org/officeDocument/2006/relationships/hyperlink" Target="https://papers.nips.cc/paper_files/paper/2017/file/f22e4747da1aa27e363d86d40ff442fe-Paper.pdf" TargetMode="External"/><Relationship Id="rId15" Type="http://schemas.openxmlformats.org/officeDocument/2006/relationships/hyperlink" Target="/home/huangyating/research_proposals/contact_radar_explainer_demo_20260923/replay/&#27169;&#22411;&#36755;&#20837;&#36755;&#20986;&#28436;&#31034;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预处理与对齐逐项解释</dc:title>
  <dc:subject>Verified results, limitations, and SenSys research plan</dc:subject>
  <dc:creator>python-docx</dc:creator>
  <cp:keywords/>
  <dc:description>Generated from the accompanying Markdown. No new model training.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