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9D9" w:rsidRDefault="002B69D9" w:rsidP="00106F95">
      <w:pPr>
        <w:pStyle w:val="Titre1"/>
        <w:rPr>
          <w:rFonts w:ascii="Calibri" w:hAnsi="Calibri" w:cs="Calibri"/>
          <w:b/>
          <w:color w:val="auto"/>
          <w:sz w:val="28"/>
          <w:szCs w:val="28"/>
        </w:rPr>
        <w:sectPr w:rsidR="002B69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Toc523947114"/>
    </w:p>
    <w:p w:rsidR="00106F95" w:rsidRPr="0054674E" w:rsidRDefault="00991E1D" w:rsidP="00106F95">
      <w:pPr>
        <w:pStyle w:val="Titre1"/>
        <w:rPr>
          <w:rFonts w:ascii="Calibri" w:hAnsi="Calibri" w:cs="Calibri"/>
          <w:b/>
          <w:color w:val="auto"/>
          <w:sz w:val="28"/>
          <w:szCs w:val="28"/>
        </w:rPr>
      </w:pPr>
      <w:r>
        <w:rPr>
          <w:rFonts w:ascii="Calibri" w:hAnsi="Calibri" w:cs="Calibri"/>
          <w:b/>
          <w:color w:val="auto"/>
          <w:sz w:val="28"/>
          <w:szCs w:val="28"/>
        </w:rPr>
        <w:lastRenderedPageBreak/>
        <w:t xml:space="preserve">II. </w:t>
      </w:r>
      <w:r w:rsidR="00106F95" w:rsidRPr="0054674E">
        <w:rPr>
          <w:rFonts w:ascii="Calibri" w:hAnsi="Calibri" w:cs="Calibri"/>
          <w:b/>
          <w:color w:val="auto"/>
          <w:sz w:val="28"/>
          <w:szCs w:val="28"/>
        </w:rPr>
        <w:t>GUIDE D’ANALYSE DU COMPTE DE RESULTAT</w:t>
      </w:r>
      <w:bookmarkEnd w:id="0"/>
    </w:p>
    <w:p w:rsidR="00106F95" w:rsidRPr="0054674E" w:rsidRDefault="00106F95" w:rsidP="00106F95">
      <w:pPr>
        <w:rPr>
          <w:rFonts w:cs="Calibri"/>
          <w:sz w:val="24"/>
          <w:szCs w:val="24"/>
        </w:rPr>
      </w:pPr>
      <w:r w:rsidRPr="0054674E">
        <w:rPr>
          <w:rFonts w:cs="Calibri"/>
          <w:sz w:val="24"/>
          <w:szCs w:val="24"/>
        </w:rPr>
        <w:t>L’approche va consister en la mise en œuvre des diligences suivantes :</w:t>
      </w:r>
    </w:p>
    <w:p w:rsidR="00106F95" w:rsidRPr="0054674E" w:rsidRDefault="00106F95" w:rsidP="00106F95">
      <w:pPr>
        <w:numPr>
          <w:ilvl w:val="0"/>
          <w:numId w:val="10"/>
        </w:numPr>
        <w:spacing w:after="200" w:line="276" w:lineRule="auto"/>
        <w:rPr>
          <w:rFonts w:cs="Calibri"/>
          <w:sz w:val="24"/>
          <w:szCs w:val="24"/>
        </w:rPr>
      </w:pPr>
      <w:r w:rsidRPr="0054674E">
        <w:rPr>
          <w:rFonts w:cs="Calibri"/>
          <w:sz w:val="24"/>
          <w:szCs w:val="24"/>
        </w:rPr>
        <w:t xml:space="preserve">Faire un tableau comparatif des comptes de résultat des </w:t>
      </w:r>
      <w:r w:rsidR="0025717E">
        <w:rPr>
          <w:rFonts w:cs="Calibri"/>
          <w:sz w:val="24"/>
          <w:szCs w:val="24"/>
        </w:rPr>
        <w:t>deux</w:t>
      </w:r>
      <w:r w:rsidRPr="0054674E">
        <w:rPr>
          <w:rFonts w:cs="Calibri"/>
          <w:sz w:val="24"/>
          <w:szCs w:val="24"/>
        </w:rPr>
        <w:t xml:space="preserve"> (0</w:t>
      </w:r>
      <w:r w:rsidR="0025717E">
        <w:rPr>
          <w:rFonts w:cs="Calibri"/>
          <w:sz w:val="24"/>
          <w:szCs w:val="24"/>
        </w:rPr>
        <w:t>2</w:t>
      </w:r>
      <w:r w:rsidRPr="0054674E">
        <w:rPr>
          <w:rFonts w:cs="Calibri"/>
          <w:sz w:val="24"/>
          <w:szCs w:val="24"/>
        </w:rPr>
        <w:t>) derniers exercices :</w:t>
      </w:r>
    </w:p>
    <w:bookmarkStart w:id="1" w:name="_MON_1597310710"/>
    <w:bookmarkEnd w:id="1"/>
    <w:p w:rsidR="00106F95" w:rsidRPr="005F2E8A" w:rsidRDefault="00C92B47" w:rsidP="00106F95">
      <w:pPr>
        <w:spacing w:after="0" w:line="240" w:lineRule="auto"/>
        <w:rPr>
          <w:rFonts w:cs="Calibri"/>
          <w:sz w:val="12"/>
          <w:szCs w:val="12"/>
        </w:rPr>
      </w:pPr>
      <w:r w:rsidRPr="0054674E">
        <w:rPr>
          <w:rFonts w:cs="Calibri"/>
          <w:sz w:val="24"/>
          <w:szCs w:val="24"/>
        </w:rPr>
        <w:object w:dxaOrig="11158" w:dyaOrig="3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58pt;height:180.75pt" o:ole="">
            <v:imagedata r:id="rId6" o:title=""/>
          </v:shape>
          <o:OLEObject Type="Embed" ProgID="Excel.Sheet.12" ShapeID="_x0000_i1029" DrawAspect="Content" ObjectID="_1598271532" r:id="rId7"/>
        </w:object>
      </w:r>
    </w:p>
    <w:p w:rsidR="00106F95" w:rsidRDefault="00106F95" w:rsidP="00106F95">
      <w:pPr>
        <w:numPr>
          <w:ilvl w:val="0"/>
          <w:numId w:val="10"/>
        </w:numPr>
        <w:spacing w:after="120" w:line="240" w:lineRule="auto"/>
        <w:ind w:left="714" w:hanging="357"/>
        <w:rPr>
          <w:rFonts w:cs="Calibri"/>
          <w:sz w:val="24"/>
          <w:szCs w:val="24"/>
        </w:rPr>
      </w:pPr>
      <w:r w:rsidRPr="0054674E">
        <w:rPr>
          <w:rFonts w:cs="Calibri"/>
          <w:sz w:val="24"/>
          <w:szCs w:val="24"/>
        </w:rPr>
        <w:t>Dégager les tendances des comptes sensibles en fonction de l’activité principale de l’entité ;</w:t>
      </w:r>
    </w:p>
    <w:p w:rsidR="00C92B47" w:rsidRPr="00C92B47" w:rsidRDefault="00C92B47" w:rsidP="00C92B47">
      <w:pPr>
        <w:spacing w:after="120" w:line="240" w:lineRule="auto"/>
        <w:rPr>
          <w:rFonts w:cs="Calibri"/>
          <w:i/>
          <w:sz w:val="24"/>
          <w:szCs w:val="24"/>
        </w:rPr>
      </w:pPr>
      <w:r w:rsidRPr="00C92B47">
        <w:rPr>
          <w:rFonts w:cs="Calibri"/>
          <w:i/>
          <w:sz w:val="24"/>
          <w:szCs w:val="24"/>
        </w:rPr>
        <w:t>La variation positive de 10% des produits plus que proportionnel à celle des charges (5%) a une incidence positive sur le résultat.</w:t>
      </w:r>
    </w:p>
    <w:p w:rsidR="00C92B47" w:rsidRPr="00C92B47" w:rsidRDefault="00C92B47" w:rsidP="00C92B47">
      <w:pPr>
        <w:spacing w:after="120" w:line="240" w:lineRule="auto"/>
        <w:rPr>
          <w:rFonts w:cs="Calibri"/>
          <w:i/>
          <w:sz w:val="24"/>
          <w:szCs w:val="24"/>
        </w:rPr>
      </w:pPr>
      <w:r w:rsidRPr="00C92B47">
        <w:rPr>
          <w:rFonts w:cs="Calibri"/>
          <w:i/>
          <w:sz w:val="24"/>
          <w:szCs w:val="24"/>
        </w:rPr>
        <w:t>Cette croissance est due à la nouvelle politique commerciale de vente de marchandises.</w:t>
      </w:r>
    </w:p>
    <w:p w:rsidR="00106F95" w:rsidRDefault="00106F95" w:rsidP="00106F95">
      <w:pPr>
        <w:numPr>
          <w:ilvl w:val="0"/>
          <w:numId w:val="10"/>
        </w:numPr>
        <w:spacing w:after="120" w:line="240" w:lineRule="auto"/>
        <w:ind w:left="714" w:hanging="357"/>
        <w:rPr>
          <w:rFonts w:cs="Calibri"/>
          <w:sz w:val="24"/>
          <w:szCs w:val="24"/>
        </w:rPr>
      </w:pPr>
      <w:r w:rsidRPr="0054674E">
        <w:rPr>
          <w:rFonts w:cs="Calibri"/>
          <w:sz w:val="24"/>
          <w:szCs w:val="24"/>
        </w:rPr>
        <w:t>Rapporter les tendances observées par rapport aux données budgétaires pour vérifier le respect des consignes budgétaires ;</w:t>
      </w:r>
    </w:p>
    <w:p w:rsidR="00C92B47" w:rsidRPr="00C92B47" w:rsidRDefault="00C92B47" w:rsidP="00C92B47">
      <w:pPr>
        <w:spacing w:after="120" w:line="240" w:lineRule="auto"/>
        <w:rPr>
          <w:rFonts w:cs="Calibri"/>
          <w:i/>
          <w:sz w:val="24"/>
          <w:szCs w:val="24"/>
        </w:rPr>
      </w:pPr>
      <w:r w:rsidRPr="00C92B47">
        <w:rPr>
          <w:rFonts w:cs="Calibri"/>
          <w:i/>
          <w:sz w:val="24"/>
          <w:szCs w:val="24"/>
        </w:rPr>
        <w:t>Une comparaison doit être faite avec les données budgétaires pour</w:t>
      </w:r>
      <w:r>
        <w:rPr>
          <w:rFonts w:cs="Calibri"/>
          <w:i/>
          <w:sz w:val="24"/>
          <w:szCs w:val="24"/>
        </w:rPr>
        <w:t xml:space="preserve"> s’assurer des taux d’exécution.</w:t>
      </w:r>
    </w:p>
    <w:p w:rsidR="00106F95" w:rsidRDefault="00106F95" w:rsidP="00106F95">
      <w:pPr>
        <w:numPr>
          <w:ilvl w:val="0"/>
          <w:numId w:val="10"/>
        </w:numPr>
        <w:spacing w:after="120" w:line="240" w:lineRule="auto"/>
        <w:ind w:left="714" w:hanging="357"/>
        <w:rPr>
          <w:rFonts w:cs="Calibri"/>
          <w:sz w:val="24"/>
          <w:szCs w:val="24"/>
        </w:rPr>
      </w:pPr>
      <w:r w:rsidRPr="0054674E">
        <w:rPr>
          <w:rFonts w:cs="Calibri"/>
          <w:sz w:val="24"/>
          <w:szCs w:val="24"/>
        </w:rPr>
        <w:t>Dégager l’évolution des soldes intermédiaires de gestion sur au moins cinq (05) exercices ;</w:t>
      </w:r>
    </w:p>
    <w:p w:rsidR="00C92B47" w:rsidRDefault="001E7E11" w:rsidP="00106F95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w:object w:dxaOrig="1440" w:dyaOrig="1440">
          <v:shape id="_x0000_s1032" type="#_x0000_t75" style="position:absolute;margin-left:0;margin-top:0;width:590.7pt;height:269.85pt;z-index:251672576;mso-position-horizontal:left;mso-position-horizontal-relative:text;mso-position-vertical-relative:text">
            <v:imagedata r:id="rId8" o:title=""/>
            <w10:wrap type="square" side="right"/>
          </v:shape>
          <o:OLEObject Type="Embed" ProgID="Excel.Sheet.12" ShapeID="_x0000_s1032" DrawAspect="Content" ObjectID="_1598271534" r:id="rId9"/>
        </w:object>
      </w:r>
    </w:p>
    <w:p w:rsidR="00C92B47" w:rsidRPr="00C92B47" w:rsidRDefault="00C92B47" w:rsidP="00C92B47">
      <w:pPr>
        <w:rPr>
          <w:rFonts w:cs="Calibri"/>
          <w:sz w:val="24"/>
          <w:szCs w:val="24"/>
        </w:rPr>
      </w:pPr>
    </w:p>
    <w:p w:rsidR="00C92B47" w:rsidRPr="00C92B47" w:rsidRDefault="00C92B47" w:rsidP="00C92B47">
      <w:pPr>
        <w:rPr>
          <w:rFonts w:cs="Calibri"/>
          <w:sz w:val="24"/>
          <w:szCs w:val="24"/>
        </w:rPr>
      </w:pPr>
    </w:p>
    <w:p w:rsidR="00C92B47" w:rsidRPr="00C92B47" w:rsidRDefault="00C92B47" w:rsidP="00C92B47">
      <w:pPr>
        <w:rPr>
          <w:rFonts w:cs="Calibri"/>
          <w:sz w:val="24"/>
          <w:szCs w:val="24"/>
        </w:rPr>
      </w:pPr>
      <w:bookmarkStart w:id="2" w:name="_GoBack"/>
      <w:bookmarkEnd w:id="2"/>
    </w:p>
    <w:p w:rsidR="00C92B47" w:rsidRPr="00C92B47" w:rsidRDefault="00C92B47" w:rsidP="00C92B47">
      <w:pPr>
        <w:rPr>
          <w:rFonts w:cs="Calibri"/>
          <w:sz w:val="24"/>
          <w:szCs w:val="24"/>
        </w:rPr>
      </w:pPr>
    </w:p>
    <w:p w:rsidR="00C92B47" w:rsidRPr="00C92B47" w:rsidRDefault="00C92B47" w:rsidP="00C92B47">
      <w:pPr>
        <w:rPr>
          <w:rFonts w:cs="Calibri"/>
          <w:sz w:val="24"/>
          <w:szCs w:val="24"/>
        </w:rPr>
      </w:pPr>
    </w:p>
    <w:p w:rsidR="00C92B47" w:rsidRPr="00C92B47" w:rsidRDefault="00C92B47" w:rsidP="00C92B47">
      <w:pPr>
        <w:rPr>
          <w:rFonts w:cs="Calibri"/>
          <w:sz w:val="24"/>
          <w:szCs w:val="24"/>
        </w:rPr>
      </w:pPr>
    </w:p>
    <w:p w:rsidR="00C92B47" w:rsidRDefault="00C92B47" w:rsidP="00C92B47">
      <w:pPr>
        <w:jc w:val="right"/>
        <w:rPr>
          <w:rFonts w:cs="Calibri"/>
          <w:sz w:val="24"/>
          <w:szCs w:val="24"/>
        </w:rPr>
      </w:pPr>
    </w:p>
    <w:p w:rsidR="00C92B47" w:rsidRDefault="00C92B47" w:rsidP="00106F95">
      <w:pPr>
        <w:rPr>
          <w:rFonts w:cs="Calibri"/>
          <w:sz w:val="24"/>
          <w:szCs w:val="24"/>
        </w:rPr>
      </w:pPr>
    </w:p>
    <w:p w:rsidR="00106F95" w:rsidRPr="0054674E" w:rsidRDefault="00C92B47" w:rsidP="00C92B47">
      <w:pPr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textWrapping" w:clear="all"/>
      </w:r>
    </w:p>
    <w:p w:rsidR="00106F95" w:rsidRDefault="00106F95" w:rsidP="00106F95">
      <w:pPr>
        <w:numPr>
          <w:ilvl w:val="0"/>
          <w:numId w:val="10"/>
        </w:numPr>
        <w:spacing w:after="200" w:line="276" w:lineRule="auto"/>
        <w:rPr>
          <w:rFonts w:cs="Calibri"/>
          <w:sz w:val="24"/>
          <w:szCs w:val="24"/>
        </w:rPr>
      </w:pPr>
      <w:r w:rsidRPr="0054674E">
        <w:rPr>
          <w:rFonts w:cs="Calibri"/>
          <w:sz w:val="24"/>
          <w:szCs w:val="24"/>
        </w:rPr>
        <w:t>Apprécier les conditions de réalisation du résultat net à travers l’analyse des soldes intermédiaires de gestion </w:t>
      </w:r>
    </w:p>
    <w:p w:rsidR="002E32E2" w:rsidRPr="002E32E2" w:rsidRDefault="002E32E2" w:rsidP="002E32E2">
      <w:pPr>
        <w:spacing w:after="0" w:line="240" w:lineRule="auto"/>
        <w:rPr>
          <w:rFonts w:ascii="Calibri" w:eastAsia="Times New Roman" w:hAnsi="Calibri" w:cs="Calibri"/>
          <w:i/>
          <w:color w:val="000000"/>
          <w:lang w:val="fr-BF" w:eastAsia="fr-BF"/>
        </w:rPr>
      </w:pPr>
      <w:r w:rsidRPr="002E32E2">
        <w:rPr>
          <w:rFonts w:ascii="Calibri" w:eastAsia="Times New Roman" w:hAnsi="Calibri" w:cs="Calibri"/>
          <w:i/>
          <w:color w:val="000000"/>
          <w:lang w:val="fr-BF" w:eastAsia="fr-BF"/>
        </w:rPr>
        <w:t>Le RN a beaucoup augmenté à cause de la croissance du RAO et du RHAO</w:t>
      </w:r>
    </w:p>
    <w:p w:rsidR="002B69D9" w:rsidRPr="002E32E2" w:rsidRDefault="00106F95" w:rsidP="002E32E2">
      <w:pPr>
        <w:numPr>
          <w:ilvl w:val="0"/>
          <w:numId w:val="10"/>
        </w:numPr>
        <w:spacing w:after="200" w:line="276" w:lineRule="auto"/>
        <w:rPr>
          <w:rFonts w:cs="Calibri"/>
          <w:sz w:val="24"/>
          <w:szCs w:val="24"/>
        </w:rPr>
      </w:pPr>
      <w:r w:rsidRPr="0054674E">
        <w:rPr>
          <w:rFonts w:cs="Calibri"/>
          <w:sz w:val="24"/>
          <w:szCs w:val="24"/>
        </w:rPr>
        <w:t>Apprécier le niveau de rentabilité à travers l’examen et le suivi régulier des ratios de gestion suivants sur au moins cinq (05) exercices.</w:t>
      </w:r>
      <w:bookmarkStart w:id="3" w:name="_Toc523947115"/>
    </w:p>
    <w:p w:rsidR="002E32E2" w:rsidRPr="002E32E2" w:rsidRDefault="002E32E2" w:rsidP="002E32E2">
      <w:pPr>
        <w:sectPr w:rsidR="002E32E2" w:rsidRPr="002E32E2" w:rsidSect="002B69D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L’entité </w:t>
      </w:r>
      <w:proofErr w:type="gramStart"/>
      <w:r>
        <w:t>a  été</w:t>
      </w:r>
      <w:proofErr w:type="gramEnd"/>
      <w:r>
        <w:t xml:space="preserve"> rentable durant l’exercice sous revue  vu que   tous  ces    SIG sont eu vert.</w:t>
      </w:r>
    </w:p>
    <w:p w:rsidR="00106F95" w:rsidRPr="0054674E" w:rsidRDefault="00106F95" w:rsidP="00106F95">
      <w:pPr>
        <w:pStyle w:val="Titre1"/>
        <w:spacing w:line="360" w:lineRule="auto"/>
        <w:rPr>
          <w:rFonts w:ascii="Calibri" w:hAnsi="Calibri" w:cs="Calibri"/>
          <w:color w:val="auto"/>
          <w:sz w:val="24"/>
          <w:szCs w:val="24"/>
        </w:rPr>
      </w:pPr>
      <w:r w:rsidRPr="0054674E">
        <w:rPr>
          <w:rFonts w:ascii="Calibri" w:hAnsi="Calibri" w:cs="Calibri"/>
          <w:b/>
          <w:color w:val="auto"/>
          <w:sz w:val="28"/>
          <w:szCs w:val="28"/>
        </w:rPr>
        <w:lastRenderedPageBreak/>
        <w:t>I</w:t>
      </w:r>
      <w:r>
        <w:rPr>
          <w:rFonts w:ascii="Calibri" w:hAnsi="Calibri" w:cs="Calibri"/>
          <w:b/>
          <w:color w:val="auto"/>
          <w:sz w:val="28"/>
          <w:szCs w:val="28"/>
        </w:rPr>
        <w:t>I.1.</w:t>
      </w:r>
      <w:r w:rsidRPr="0054674E">
        <w:rPr>
          <w:rFonts w:ascii="Calibri" w:hAnsi="Calibri" w:cs="Calibri"/>
          <w:b/>
          <w:color w:val="auto"/>
          <w:sz w:val="28"/>
          <w:szCs w:val="28"/>
        </w:rPr>
        <w:t xml:space="preserve"> LES RATIOS DE STRUCTURE</w:t>
      </w:r>
      <w:bookmarkEnd w:id="3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677"/>
        <w:gridCol w:w="2835"/>
      </w:tblGrid>
      <w:tr w:rsidR="00106F95" w:rsidRPr="00356F91" w:rsidTr="00AC533D">
        <w:tc>
          <w:tcPr>
            <w:tcW w:w="2235" w:type="dxa"/>
          </w:tcPr>
          <w:p w:rsidR="00106F95" w:rsidRPr="00356F91" w:rsidRDefault="00106F95" w:rsidP="00AC533D">
            <w:pPr>
              <w:tabs>
                <w:tab w:val="left" w:pos="3769"/>
              </w:tabs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356F91">
              <w:rPr>
                <w:rFonts w:cs="Calibri"/>
                <w:b/>
                <w:sz w:val="24"/>
                <w:szCs w:val="24"/>
              </w:rPr>
              <w:t>Nature</w:t>
            </w:r>
          </w:p>
        </w:tc>
        <w:tc>
          <w:tcPr>
            <w:tcW w:w="4677" w:type="dxa"/>
          </w:tcPr>
          <w:p w:rsidR="00106F95" w:rsidRPr="00356F91" w:rsidRDefault="00106F95" w:rsidP="00AC533D">
            <w:pPr>
              <w:tabs>
                <w:tab w:val="left" w:pos="3769"/>
              </w:tabs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356F91">
              <w:rPr>
                <w:rFonts w:cs="Calibri"/>
                <w:b/>
                <w:sz w:val="24"/>
                <w:szCs w:val="24"/>
              </w:rPr>
              <w:t>Formule</w:t>
            </w:r>
          </w:p>
        </w:tc>
        <w:tc>
          <w:tcPr>
            <w:tcW w:w="2835" w:type="dxa"/>
          </w:tcPr>
          <w:p w:rsidR="00106F95" w:rsidRPr="00356F91" w:rsidRDefault="00106F95" w:rsidP="00AC533D">
            <w:pPr>
              <w:tabs>
                <w:tab w:val="left" w:pos="3769"/>
              </w:tabs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356F91">
              <w:rPr>
                <w:rFonts w:cs="Calibri"/>
                <w:b/>
                <w:sz w:val="24"/>
                <w:szCs w:val="24"/>
              </w:rPr>
              <w:t>Interprétations</w:t>
            </w:r>
          </w:p>
        </w:tc>
      </w:tr>
      <w:tr w:rsidR="00106F95" w:rsidRPr="00356F91" w:rsidTr="00AC533D">
        <w:tc>
          <w:tcPr>
            <w:tcW w:w="2235" w:type="dxa"/>
            <w:vAlign w:val="center"/>
          </w:tcPr>
          <w:p w:rsidR="00106F95" w:rsidRPr="00356F91" w:rsidRDefault="00106F95" w:rsidP="00AC533D">
            <w:pPr>
              <w:tabs>
                <w:tab w:val="left" w:pos="3769"/>
              </w:tabs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356F91">
              <w:rPr>
                <w:rFonts w:cs="Calibri"/>
                <w:sz w:val="24"/>
                <w:szCs w:val="24"/>
              </w:rPr>
              <w:t>Autofinancement</w:t>
            </w:r>
          </w:p>
        </w:tc>
        <w:tc>
          <w:tcPr>
            <w:tcW w:w="4677" w:type="dxa"/>
            <w:vAlign w:val="center"/>
          </w:tcPr>
          <w:p w:rsidR="00106F95" w:rsidRDefault="00106F95" w:rsidP="00AC533D">
            <w:pPr>
              <w:tabs>
                <w:tab w:val="left" w:pos="3769"/>
              </w:tabs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356F91">
              <w:rPr>
                <w:rFonts w:cs="Calibri"/>
                <w:sz w:val="24"/>
                <w:szCs w:val="24"/>
              </w:rPr>
              <w:t>Autofinancement/Valeur Ajoutée</w:t>
            </w:r>
          </w:p>
          <w:p w:rsidR="00696DF6" w:rsidRPr="00356F91" w:rsidRDefault="002970A2" w:rsidP="00AC533D">
            <w:pPr>
              <w:tabs>
                <w:tab w:val="left" w:pos="3769"/>
              </w:tabs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377CF6">
              <w:rPr>
                <w:rFonts w:cs="Calibri"/>
                <w:sz w:val="24"/>
                <w:szCs w:val="24"/>
                <w:highlight w:val="yellow"/>
              </w:rPr>
              <w:t>331 773 800/485 093</w:t>
            </w:r>
            <w:r w:rsidR="00377CF6" w:rsidRPr="00377CF6">
              <w:rPr>
                <w:rFonts w:cs="Calibri"/>
                <w:sz w:val="24"/>
                <w:szCs w:val="24"/>
                <w:highlight w:val="yellow"/>
              </w:rPr>
              <w:t> </w:t>
            </w:r>
            <w:r w:rsidRPr="00377CF6">
              <w:rPr>
                <w:rFonts w:cs="Calibri"/>
                <w:sz w:val="24"/>
                <w:szCs w:val="24"/>
                <w:highlight w:val="yellow"/>
              </w:rPr>
              <w:t>197</w:t>
            </w:r>
            <w:r w:rsidR="00377CF6" w:rsidRPr="00377CF6">
              <w:rPr>
                <w:rFonts w:cs="Calibri"/>
                <w:sz w:val="24"/>
                <w:szCs w:val="24"/>
                <w:highlight w:val="yellow"/>
              </w:rPr>
              <w:t>=68,39%</w:t>
            </w:r>
          </w:p>
        </w:tc>
        <w:tc>
          <w:tcPr>
            <w:tcW w:w="2835" w:type="dxa"/>
          </w:tcPr>
          <w:p w:rsidR="00106F95" w:rsidRPr="00356F91" w:rsidRDefault="00106F95" w:rsidP="00AC533D">
            <w:pPr>
              <w:tabs>
                <w:tab w:val="left" w:pos="3769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56F91">
              <w:rPr>
                <w:rFonts w:cs="Calibri"/>
                <w:sz w:val="24"/>
                <w:szCs w:val="24"/>
              </w:rPr>
              <w:t>Il mesure la part de la valeur Ajoutée consacrée à l’autofinancement</w:t>
            </w:r>
          </w:p>
        </w:tc>
      </w:tr>
    </w:tbl>
    <w:p w:rsidR="00106F95" w:rsidRDefault="00106F95" w:rsidP="00106F95">
      <w:pPr>
        <w:tabs>
          <w:tab w:val="left" w:pos="3769"/>
        </w:tabs>
        <w:spacing w:after="120" w:line="240" w:lineRule="auto"/>
        <w:rPr>
          <w:rFonts w:cs="Calibri"/>
          <w:sz w:val="24"/>
          <w:szCs w:val="24"/>
        </w:rPr>
      </w:pPr>
    </w:p>
    <w:bookmarkStart w:id="4" w:name="_MON_1598207097"/>
    <w:bookmarkEnd w:id="4"/>
    <w:p w:rsidR="00C470B1" w:rsidRDefault="002970A2" w:rsidP="00106F95">
      <w:pPr>
        <w:tabs>
          <w:tab w:val="left" w:pos="3769"/>
        </w:tabs>
        <w:spacing w:after="12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object w:dxaOrig="9545" w:dyaOrig="927">
          <v:shape id="_x0000_i1031" type="#_x0000_t75" style="width:477pt;height:46.5pt" o:ole="">
            <v:imagedata r:id="rId10" o:title=""/>
          </v:shape>
          <o:OLEObject Type="Embed" ProgID="Excel.Sheet.12" ShapeID="_x0000_i1031" DrawAspect="Content" ObjectID="_1598271533" r:id="rId11"/>
        </w:object>
      </w:r>
    </w:p>
    <w:p w:rsidR="00C470B1" w:rsidRDefault="00C470B1" w:rsidP="00106F95">
      <w:pPr>
        <w:tabs>
          <w:tab w:val="left" w:pos="3769"/>
        </w:tabs>
        <w:spacing w:after="120" w:line="240" w:lineRule="auto"/>
        <w:rPr>
          <w:rFonts w:cs="Calibri"/>
          <w:sz w:val="24"/>
          <w:szCs w:val="24"/>
        </w:rPr>
      </w:pPr>
    </w:p>
    <w:p w:rsidR="00C470B1" w:rsidRPr="0054674E" w:rsidRDefault="00C470B1" w:rsidP="00106F95">
      <w:pPr>
        <w:tabs>
          <w:tab w:val="left" w:pos="3769"/>
        </w:tabs>
        <w:spacing w:after="120" w:line="240" w:lineRule="auto"/>
        <w:rPr>
          <w:rFonts w:cs="Calibri"/>
          <w:sz w:val="24"/>
          <w:szCs w:val="24"/>
        </w:rPr>
      </w:pPr>
    </w:p>
    <w:p w:rsidR="00106F95" w:rsidRPr="0054674E" w:rsidRDefault="00106F95" w:rsidP="00106F95">
      <w:pPr>
        <w:pStyle w:val="Titre1"/>
        <w:spacing w:line="360" w:lineRule="auto"/>
        <w:rPr>
          <w:rFonts w:ascii="Calibri" w:hAnsi="Calibri" w:cs="Calibri"/>
          <w:color w:val="auto"/>
          <w:sz w:val="24"/>
          <w:szCs w:val="24"/>
        </w:rPr>
      </w:pPr>
      <w:bookmarkStart w:id="5" w:name="_Toc523947116"/>
      <w:r w:rsidRPr="0054674E">
        <w:rPr>
          <w:rFonts w:ascii="Calibri" w:hAnsi="Calibri" w:cs="Calibri"/>
          <w:b/>
          <w:color w:val="auto"/>
          <w:sz w:val="28"/>
          <w:szCs w:val="28"/>
        </w:rPr>
        <w:t>I</w:t>
      </w:r>
      <w:r>
        <w:rPr>
          <w:rFonts w:ascii="Calibri" w:hAnsi="Calibri" w:cs="Calibri"/>
          <w:b/>
          <w:color w:val="auto"/>
          <w:sz w:val="28"/>
          <w:szCs w:val="28"/>
        </w:rPr>
        <w:t>I.2.</w:t>
      </w:r>
      <w:r w:rsidRPr="0054674E">
        <w:rPr>
          <w:rFonts w:ascii="Calibri" w:hAnsi="Calibri" w:cs="Calibri"/>
          <w:b/>
          <w:color w:val="auto"/>
          <w:sz w:val="28"/>
          <w:szCs w:val="28"/>
        </w:rPr>
        <w:t xml:space="preserve"> LES RATIOS D’ACTIVITE</w:t>
      </w:r>
      <w:r>
        <w:rPr>
          <w:rFonts w:ascii="Calibri" w:hAnsi="Calibri" w:cs="Calibri"/>
          <w:b/>
          <w:color w:val="auto"/>
          <w:sz w:val="28"/>
          <w:szCs w:val="28"/>
        </w:rPr>
        <w:t>S</w:t>
      </w:r>
      <w:bookmarkEnd w:id="5"/>
    </w:p>
    <w:tbl>
      <w:tblPr>
        <w:tblW w:w="10632" w:type="dxa"/>
        <w:tblInd w:w="-69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7"/>
        <w:gridCol w:w="3354"/>
        <w:gridCol w:w="4961"/>
      </w:tblGrid>
      <w:tr w:rsidR="00106F95" w:rsidRPr="00356F91" w:rsidTr="00AC533D">
        <w:trPr>
          <w:trHeight w:hRule="exact" w:val="47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70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b/>
                <w:bCs/>
                <w:color w:val="000000"/>
                <w:spacing w:val="10"/>
                <w:sz w:val="24"/>
                <w:szCs w:val="17"/>
                <w:lang w:eastAsia="fr-FR" w:bidi="fr-FR"/>
              </w:rPr>
              <w:t>Nature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70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b/>
                <w:bCs/>
                <w:color w:val="000000"/>
                <w:spacing w:val="10"/>
                <w:sz w:val="24"/>
                <w:szCs w:val="17"/>
                <w:lang w:eastAsia="fr-FR" w:bidi="fr-FR"/>
              </w:rPr>
              <w:t>Formule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70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b/>
                <w:bCs/>
                <w:color w:val="000000"/>
                <w:spacing w:val="10"/>
                <w:sz w:val="24"/>
                <w:szCs w:val="17"/>
                <w:lang w:eastAsia="fr-FR" w:bidi="fr-FR"/>
              </w:rPr>
              <w:t>Interprétations</w:t>
            </w:r>
          </w:p>
        </w:tc>
      </w:tr>
      <w:tr w:rsidR="00106F95" w:rsidRPr="00356F91" w:rsidTr="00AC533D">
        <w:trPr>
          <w:trHeight w:hRule="exact" w:val="92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202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Taux</w:t>
            </w:r>
          </w:p>
          <w:p w:rsidR="00106F95" w:rsidRPr="0054674E" w:rsidRDefault="00106F95" w:rsidP="00AC533D">
            <w:pPr>
              <w:widowControl w:val="0"/>
              <w:spacing w:after="0" w:line="202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proofErr w:type="gramStart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de</w:t>
            </w:r>
            <w:proofErr w:type="gramEnd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croissance du CA HT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322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proofErr w:type="spellStart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CA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vertAlign w:val="subscript"/>
                <w:lang w:eastAsia="fr-FR" w:bidi="fr-FR"/>
              </w:rPr>
              <w:t>n</w:t>
            </w:r>
            <w:proofErr w:type="spellEnd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- </w:t>
            </w:r>
            <w:proofErr w:type="spellStart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CA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vertAlign w:val="subscript"/>
                <w:lang w:eastAsia="fr-FR" w:bidi="fr-FR"/>
              </w:rPr>
              <w:t>n</w:t>
            </w:r>
            <w:proofErr w:type="spellEnd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-1/</w:t>
            </w:r>
            <w:proofErr w:type="spellStart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CA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vertAlign w:val="subscript"/>
                <w:lang w:eastAsia="fr-FR" w:bidi="fr-FR"/>
              </w:rPr>
              <w:t>n</w:t>
            </w:r>
            <w:proofErr w:type="spellEnd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</w:t>
            </w: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–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1</w:t>
            </w:r>
          </w:p>
          <w:p w:rsidR="002970A2" w:rsidRPr="00AD2AF6" w:rsidRDefault="002970A2" w:rsidP="00AC533D">
            <w:pPr>
              <w:widowControl w:val="0"/>
              <w:spacing w:after="0" w:line="322" w:lineRule="exact"/>
              <w:jc w:val="center"/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</w:pPr>
            <w:r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2 041 946 745-1 871 826 890 /</w:t>
            </w:r>
          </w:p>
          <w:p w:rsidR="002970A2" w:rsidRPr="0054674E" w:rsidRDefault="002970A2" w:rsidP="00AC533D">
            <w:pPr>
              <w:widowControl w:val="0"/>
              <w:spacing w:after="0" w:line="322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1 871 826 890   = 9%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202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L'évolution du CA permet de mesurer le taux de croissance de l'entreprise.</w:t>
            </w:r>
          </w:p>
          <w:p w:rsidR="00616AFB" w:rsidRPr="0054674E" w:rsidRDefault="00616AFB" w:rsidP="00AC533D">
            <w:pPr>
              <w:widowControl w:val="0"/>
              <w:spacing w:after="0" w:line="202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Le TC est de 9%.</w:t>
            </w:r>
          </w:p>
        </w:tc>
      </w:tr>
      <w:tr w:rsidR="00106F95" w:rsidRPr="00356F91" w:rsidTr="00AC533D">
        <w:trPr>
          <w:trHeight w:hRule="exact" w:val="99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Taux</w:t>
            </w:r>
          </w:p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proofErr w:type="gramStart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de</w:t>
            </w:r>
            <w:proofErr w:type="gramEnd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marge commerciale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Marge commerciale/Ventes de marchandises hors taxes</w:t>
            </w:r>
          </w:p>
          <w:p w:rsidR="00616AFB" w:rsidRPr="0054674E" w:rsidRDefault="00616AFB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40 000 000/110 000 000= 36%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Il mesure l'évolution de la performance de l'activité commerciale de l'entreprise.</w:t>
            </w:r>
          </w:p>
          <w:p w:rsidR="00AD2AF6" w:rsidRDefault="00AD2AF6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</w:p>
          <w:p w:rsidR="00AD2AF6" w:rsidRPr="0054674E" w:rsidRDefault="00AD2AF6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La MC est de 36%</w:t>
            </w:r>
          </w:p>
        </w:tc>
      </w:tr>
      <w:tr w:rsidR="00106F95" w:rsidRPr="00356F91" w:rsidTr="00AC533D">
        <w:trPr>
          <w:trHeight w:hRule="exact" w:val="99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Taux de croissance de la</w:t>
            </w:r>
          </w:p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proofErr w:type="gramStart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valeur</w:t>
            </w:r>
            <w:proofErr w:type="gramEnd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ajoutée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VAn-VAn-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1/</w:t>
            </w:r>
            <w:proofErr w:type="spellStart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VAn</w:t>
            </w:r>
            <w:proofErr w:type="spellEnd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</w:t>
            </w: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–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1</w:t>
            </w:r>
          </w:p>
          <w:p w:rsidR="00616AFB" w:rsidRPr="00AD2AF6" w:rsidRDefault="00616AFB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</w:pPr>
            <w:r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(485 093</w:t>
            </w:r>
            <w:r w:rsidR="00AD2AF6"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 </w:t>
            </w:r>
            <w:r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197</w:t>
            </w:r>
            <w:r w:rsidR="00AD2AF6"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 xml:space="preserve"> </w:t>
            </w:r>
            <w:r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-</w:t>
            </w:r>
            <w:r w:rsidR="00AD2AF6"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 xml:space="preserve"> </w:t>
            </w:r>
            <w:r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382 440</w:t>
            </w:r>
            <w:r w:rsidR="00AD2AF6"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 </w:t>
            </w:r>
            <w:proofErr w:type="gramStart"/>
            <w:r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760</w:t>
            </w:r>
            <w:r w:rsidR="00AD2AF6"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 xml:space="preserve"> </w:t>
            </w:r>
            <w:r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)</w:t>
            </w:r>
            <w:proofErr w:type="gramEnd"/>
            <w:r w:rsidR="00AD2AF6"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 xml:space="preserve"> </w:t>
            </w:r>
            <w:r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/</w:t>
            </w:r>
          </w:p>
          <w:p w:rsidR="00616AFB" w:rsidRPr="0054674E" w:rsidRDefault="00616AFB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 xml:space="preserve">382 440 760   </w:t>
            </w:r>
            <w:r w:rsidR="00AD2AF6"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=27%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L'évolution de la valeur ajoutée est également un indicateur de croissance.</w:t>
            </w:r>
          </w:p>
        </w:tc>
      </w:tr>
      <w:tr w:rsidR="00106F95" w:rsidRPr="00356F91" w:rsidTr="00AC533D">
        <w:trPr>
          <w:trHeight w:hRule="exact" w:val="99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Taux</w:t>
            </w:r>
          </w:p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proofErr w:type="gramStart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d'intégration</w:t>
            </w:r>
            <w:proofErr w:type="gram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Valeur ajoutée/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Chiffre d'affaires hors taxes</w:t>
            </w:r>
          </w:p>
          <w:p w:rsidR="00AD2AF6" w:rsidRPr="00AD2AF6" w:rsidRDefault="00AD2AF6" w:rsidP="00AD2AF6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485 093 197 /2 041 946 745 = 27%</w:t>
            </w:r>
            <w:r w:rsidRPr="00AD2AF6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 </w:t>
            </w:r>
          </w:p>
          <w:p w:rsidR="00AD2AF6" w:rsidRPr="0054674E" w:rsidRDefault="00AD2AF6" w:rsidP="00AD2AF6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AD2AF6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Il mesure le taux d'intégration de l'entreprise dans le processus de production ainsi que le poids des charges externes.</w:t>
            </w:r>
          </w:p>
        </w:tc>
      </w:tr>
      <w:tr w:rsidR="00106F95" w:rsidRPr="00356F91" w:rsidTr="00AC533D">
        <w:trPr>
          <w:trHeight w:hRule="exact" w:val="99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Productivité du personnel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Valeur ajoutée</w:t>
            </w: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/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Effectif</w:t>
            </w:r>
          </w:p>
          <w:p w:rsidR="00AD2AF6" w:rsidRPr="00AD2AF6" w:rsidRDefault="00AD2AF6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</w:pPr>
            <w:r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 xml:space="preserve">485 093 197/50= </w:t>
            </w:r>
          </w:p>
          <w:p w:rsidR="00AD2AF6" w:rsidRDefault="00AD2AF6" w:rsidP="00AD2AF6">
            <w:pPr>
              <w:jc w:val="center"/>
              <w:rPr>
                <w:rFonts w:ascii="Calibri" w:hAnsi="Calibri" w:cs="Calibri"/>
                <w:color w:val="000000"/>
                <w:lang w:val="fr-BF"/>
              </w:rPr>
            </w:pPr>
            <w:r w:rsidRPr="00AD2AF6">
              <w:rPr>
                <w:rFonts w:ascii="Calibri" w:hAnsi="Calibri" w:cs="Calibri"/>
                <w:color w:val="000000"/>
                <w:highlight w:val="yellow"/>
              </w:rPr>
              <w:t xml:space="preserve">    9 701 864</w:t>
            </w:r>
            <w:r>
              <w:rPr>
                <w:rFonts w:ascii="Calibri" w:hAnsi="Calibri" w:cs="Calibri"/>
                <w:color w:val="000000"/>
              </w:rPr>
              <w:t xml:space="preserve">   </w:t>
            </w:r>
          </w:p>
          <w:p w:rsidR="00AD2AF6" w:rsidRPr="0054674E" w:rsidRDefault="00AD2AF6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D2AF6" w:rsidRDefault="00106F95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Il mesure la part de richesse créée par chaque salarié ; </w:t>
            </w:r>
          </w:p>
          <w:p w:rsidR="00106F95" w:rsidRPr="0054674E" w:rsidRDefault="00106F95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proofErr w:type="gramStart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il</w:t>
            </w:r>
            <w:proofErr w:type="gramEnd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permet d'apprécier le niveau de compétitivité de l'entreprise.</w:t>
            </w:r>
          </w:p>
        </w:tc>
      </w:tr>
      <w:tr w:rsidR="00106F95" w:rsidRPr="00356F91" w:rsidTr="00AC533D">
        <w:trPr>
          <w:trHeight w:hRule="exact" w:val="99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Rendement de l'équipement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Valeur ajoutée/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Équipement de production</w:t>
            </w:r>
          </w:p>
          <w:p w:rsidR="00AD2AF6" w:rsidRDefault="00AD2AF6" w:rsidP="00AD2AF6">
            <w:pPr>
              <w:jc w:val="center"/>
              <w:rPr>
                <w:rFonts w:ascii="Calibri" w:hAnsi="Calibri" w:cs="Calibri"/>
                <w:color w:val="000000"/>
                <w:lang w:val="fr-BF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56580D" w:rsidRPr="00AD2AF6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485 093</w:t>
            </w:r>
            <w:r w:rsidR="0056580D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 </w:t>
            </w:r>
            <w:r w:rsidR="0056580D" w:rsidRPr="0056580D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197</w:t>
            </w:r>
            <w:r w:rsidR="0056580D" w:rsidRPr="0056580D">
              <w:rPr>
                <w:rFonts w:ascii="Calibri" w:hAnsi="Calibri" w:cs="Calibri"/>
                <w:color w:val="000000"/>
                <w:highlight w:val="yellow"/>
              </w:rPr>
              <w:t>/</w:t>
            </w:r>
            <w:r w:rsidRPr="0056580D">
              <w:rPr>
                <w:rFonts w:ascii="Calibri" w:hAnsi="Calibri" w:cs="Calibri"/>
                <w:color w:val="000000"/>
                <w:highlight w:val="yellow"/>
              </w:rPr>
              <w:t xml:space="preserve">158 997 027 </w:t>
            </w:r>
            <w:r w:rsidR="0056580D" w:rsidRPr="0056580D">
              <w:rPr>
                <w:rFonts w:ascii="Calibri" w:hAnsi="Calibri" w:cs="Calibri"/>
                <w:color w:val="000000"/>
                <w:highlight w:val="yellow"/>
              </w:rPr>
              <w:t>=3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</w:p>
          <w:p w:rsidR="00AD2AF6" w:rsidRDefault="00AD2AF6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</w:p>
          <w:p w:rsidR="00AD2AF6" w:rsidRPr="0054674E" w:rsidRDefault="00AD2AF6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Il mesure la part de richesse créée par </w:t>
            </w:r>
            <w:proofErr w:type="spellStart"/>
            <w:r w:rsidR="00AD2AF6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fcfa</w:t>
            </w:r>
            <w:proofErr w:type="spellEnd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investi ; il indique le degré de performance de l'équipement.</w:t>
            </w:r>
          </w:p>
        </w:tc>
      </w:tr>
      <w:tr w:rsidR="00106F95" w:rsidRPr="00356F91" w:rsidTr="00AC533D">
        <w:trPr>
          <w:trHeight w:hRule="exact" w:val="99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Part de</w:t>
            </w:r>
          </w:p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proofErr w:type="gramStart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valeur</w:t>
            </w:r>
            <w:proofErr w:type="gramEnd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ajoutée revenant au personnel (facteur travail)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Charges de personnel/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Valeur ajoutée</w:t>
            </w:r>
          </w:p>
          <w:p w:rsidR="0056580D" w:rsidRPr="0054674E" w:rsidRDefault="0056580D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6580D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218 217 093/485 093 197=45%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Il mesure la part de richesse qui sert à rémunérer le travail des salariés. Il permet d'apprécier la politique salariale de l'entreprise.</w:t>
            </w:r>
          </w:p>
        </w:tc>
      </w:tr>
      <w:tr w:rsidR="00106F95" w:rsidRPr="00356F91" w:rsidTr="00AC533D">
        <w:trPr>
          <w:trHeight w:hRule="exact" w:val="997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Part de</w:t>
            </w:r>
          </w:p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proofErr w:type="gramStart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valeur</w:t>
            </w:r>
            <w:proofErr w:type="gramEnd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ajoutée revenant aux prêteurs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Charges financières (Intérêts)/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Valeur ajoutée</w:t>
            </w:r>
          </w:p>
          <w:p w:rsidR="000E22C7" w:rsidRPr="0054674E" w:rsidRDefault="000E22C7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3 500 000/</w:t>
            </w:r>
            <w:r w:rsidRPr="0056580D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485 093</w:t>
            </w:r>
            <w:r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 </w:t>
            </w:r>
            <w:r w:rsidRPr="0056580D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197</w:t>
            </w:r>
            <w:r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= 0,72%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Il mesure la part de valeur ajoutée consacrée à la rémunération des prêteurs ; il indique le degré d'endettement de l'entreprise.</w:t>
            </w:r>
          </w:p>
        </w:tc>
      </w:tr>
      <w:tr w:rsidR="00106F95" w:rsidRPr="00356F91" w:rsidTr="009622FA">
        <w:trPr>
          <w:trHeight w:hRule="exact" w:val="1295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lastRenderedPageBreak/>
              <w:t>Taux de marge brute d'exploitation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Excédent brut d'exploitation/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Chiffre d'affaires hors taxes</w:t>
            </w:r>
          </w:p>
          <w:p w:rsidR="009622FA" w:rsidRDefault="000E22C7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</w:pPr>
            <w:r w:rsidRPr="009622FA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266</w:t>
            </w:r>
            <w:r w:rsidR="009622FA" w:rsidRPr="009622FA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 xml:space="preserve"> </w:t>
            </w:r>
            <w:r w:rsidRPr="009622FA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876</w:t>
            </w:r>
            <w:r w:rsidR="009622FA" w:rsidRPr="009622FA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 xml:space="preserve"> </w:t>
            </w:r>
            <w:r w:rsidRPr="009622FA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 xml:space="preserve">104/2 041 946 745 </w:t>
            </w:r>
            <w:r w:rsidR="009622FA" w:rsidRPr="009622FA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= 13%</w:t>
            </w:r>
          </w:p>
          <w:p w:rsidR="000E22C7" w:rsidRPr="0054674E" w:rsidRDefault="000E22C7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0E22C7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Il mesure la capacité de l'entreprise à générer une rentabilité à partir du CA indépendamment de sa politique d'investissement et de son mode de financement.</w:t>
            </w:r>
          </w:p>
          <w:p w:rsidR="009622FA" w:rsidRPr="0054674E" w:rsidRDefault="009622FA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</w:p>
        </w:tc>
      </w:tr>
      <w:tr w:rsidR="00106F95" w:rsidRPr="00356F91" w:rsidTr="009622FA">
        <w:trPr>
          <w:trHeight w:hRule="exact" w:val="115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Taux de marge nette d'exploitation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Résultat d'exploitation/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Chiffre d'affaires hors taxes</w:t>
            </w:r>
          </w:p>
          <w:p w:rsidR="009622FA" w:rsidRPr="0054674E" w:rsidRDefault="009622FA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9622FA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240 364 791/2 041 946 745= 11,77%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Il mesure la capacité de l'entreprise à générer une rentabilité à partir du CA compte tenu de son activité d'exploitation.</w:t>
            </w:r>
          </w:p>
        </w:tc>
      </w:tr>
      <w:tr w:rsidR="00106F95" w:rsidRPr="00356F91" w:rsidTr="009622FA">
        <w:trPr>
          <w:trHeight w:hRule="exact" w:val="1149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Taux de marge nette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Résultat de l'exercice/</w:t>
            </w: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Chiffre d'affaires hors taxes</w:t>
            </w:r>
          </w:p>
          <w:p w:rsidR="009622FA" w:rsidRPr="0054674E" w:rsidRDefault="009622FA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9622FA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215 389 710   /2 041 946 745=10,55%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Il mesure la capacité de l'entreprise à générer un bénéfice net à partir du CA.</w:t>
            </w:r>
          </w:p>
        </w:tc>
      </w:tr>
      <w:tr w:rsidR="00106F95" w:rsidRPr="00356F91" w:rsidTr="006848E5">
        <w:trPr>
          <w:trHeight w:hRule="exact" w:val="1232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Poids de l’endettement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Charges d’intérêts/Excédent Brut d’Exploitation</w:t>
            </w:r>
          </w:p>
          <w:p w:rsidR="006848E5" w:rsidRPr="0054674E" w:rsidRDefault="006848E5" w:rsidP="00AC533D">
            <w:pPr>
              <w:widowControl w:val="0"/>
              <w:spacing w:after="0" w:line="254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6848E5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3 500 000   / 266</w:t>
            </w:r>
            <w:r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 xml:space="preserve"> </w:t>
            </w:r>
            <w:r w:rsidRPr="006848E5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876</w:t>
            </w:r>
            <w:r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 xml:space="preserve"> </w:t>
            </w:r>
            <w:r w:rsidRPr="006848E5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104=1,31%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97" w:lineRule="exact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Il mesure le poids de l’endettement de l’entité.</w:t>
            </w:r>
          </w:p>
        </w:tc>
      </w:tr>
    </w:tbl>
    <w:p w:rsidR="00106F95" w:rsidRPr="0054674E" w:rsidRDefault="00106F95" w:rsidP="00106F95">
      <w:pPr>
        <w:tabs>
          <w:tab w:val="left" w:pos="3769"/>
        </w:tabs>
        <w:spacing w:after="0"/>
        <w:rPr>
          <w:rFonts w:cs="Calibri"/>
          <w:sz w:val="24"/>
          <w:szCs w:val="24"/>
        </w:rPr>
      </w:pPr>
    </w:p>
    <w:p w:rsidR="00106F95" w:rsidRDefault="00106F95" w:rsidP="00106F95">
      <w:pPr>
        <w:pStyle w:val="Titre1"/>
        <w:spacing w:line="360" w:lineRule="auto"/>
        <w:rPr>
          <w:rFonts w:ascii="Calibri" w:hAnsi="Calibri" w:cs="Calibri"/>
          <w:b/>
          <w:color w:val="auto"/>
          <w:sz w:val="28"/>
          <w:szCs w:val="28"/>
        </w:rPr>
      </w:pPr>
      <w:bookmarkStart w:id="6" w:name="_Toc523947117"/>
      <w:r w:rsidRPr="0054674E">
        <w:rPr>
          <w:rFonts w:ascii="Calibri" w:hAnsi="Calibri" w:cs="Calibri"/>
          <w:b/>
          <w:color w:val="auto"/>
          <w:sz w:val="28"/>
          <w:szCs w:val="28"/>
        </w:rPr>
        <w:t>I</w:t>
      </w:r>
      <w:r>
        <w:rPr>
          <w:rFonts w:ascii="Calibri" w:hAnsi="Calibri" w:cs="Calibri"/>
          <w:b/>
          <w:color w:val="auto"/>
          <w:sz w:val="28"/>
          <w:szCs w:val="28"/>
        </w:rPr>
        <w:t>I.</w:t>
      </w:r>
      <w:r w:rsidRPr="0054674E">
        <w:rPr>
          <w:rFonts w:ascii="Calibri" w:hAnsi="Calibri" w:cs="Calibri"/>
          <w:b/>
          <w:color w:val="auto"/>
          <w:sz w:val="28"/>
          <w:szCs w:val="28"/>
        </w:rPr>
        <w:t>3</w:t>
      </w:r>
      <w:r>
        <w:rPr>
          <w:rFonts w:ascii="Calibri" w:hAnsi="Calibri" w:cs="Calibri"/>
          <w:b/>
          <w:color w:val="auto"/>
          <w:sz w:val="28"/>
          <w:szCs w:val="28"/>
        </w:rPr>
        <w:t>.</w:t>
      </w:r>
      <w:r w:rsidRPr="0054674E">
        <w:rPr>
          <w:rFonts w:ascii="Calibri" w:hAnsi="Calibri" w:cs="Calibri"/>
          <w:b/>
          <w:color w:val="auto"/>
          <w:sz w:val="28"/>
          <w:szCs w:val="28"/>
        </w:rPr>
        <w:t xml:space="preserve"> LES RATIOS DE RENTABILITE</w:t>
      </w:r>
      <w:bookmarkEnd w:id="6"/>
    </w:p>
    <w:tbl>
      <w:tblPr>
        <w:tblW w:w="10490" w:type="dxa"/>
        <w:tblInd w:w="-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3622"/>
        <w:gridCol w:w="4693"/>
      </w:tblGrid>
      <w:tr w:rsidR="00106F95" w:rsidRPr="00356F91" w:rsidTr="00AC533D">
        <w:trPr>
          <w:trHeight w:hRule="exact" w:val="470"/>
        </w:trPr>
        <w:tc>
          <w:tcPr>
            <w:tcW w:w="2175" w:type="dxa"/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70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b/>
                <w:bCs/>
                <w:color w:val="000000"/>
                <w:spacing w:val="10"/>
                <w:sz w:val="24"/>
                <w:szCs w:val="17"/>
                <w:lang w:eastAsia="fr-FR" w:bidi="fr-FR"/>
              </w:rPr>
              <w:t>Nature</w:t>
            </w:r>
          </w:p>
        </w:tc>
        <w:tc>
          <w:tcPr>
            <w:tcW w:w="3622" w:type="dxa"/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70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b/>
                <w:bCs/>
                <w:color w:val="000000"/>
                <w:spacing w:val="10"/>
                <w:sz w:val="24"/>
                <w:szCs w:val="17"/>
                <w:lang w:eastAsia="fr-FR" w:bidi="fr-FR"/>
              </w:rPr>
              <w:t>Formule</w:t>
            </w:r>
          </w:p>
        </w:tc>
        <w:tc>
          <w:tcPr>
            <w:tcW w:w="4693" w:type="dxa"/>
            <w:shd w:val="clear" w:color="auto" w:fill="FFFFFF"/>
            <w:vAlign w:val="center"/>
          </w:tcPr>
          <w:p w:rsidR="00106F95" w:rsidRPr="0054674E" w:rsidRDefault="00106F95" w:rsidP="00AC533D">
            <w:pPr>
              <w:widowControl w:val="0"/>
              <w:spacing w:after="0" w:line="170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b/>
                <w:bCs/>
                <w:color w:val="000000"/>
                <w:spacing w:val="10"/>
                <w:sz w:val="24"/>
                <w:szCs w:val="17"/>
                <w:lang w:eastAsia="fr-FR" w:bidi="fr-FR"/>
              </w:rPr>
              <w:t>Interprétations</w:t>
            </w:r>
          </w:p>
        </w:tc>
      </w:tr>
      <w:tr w:rsidR="00106F95" w:rsidRPr="00356F91" w:rsidTr="00AC533D">
        <w:trPr>
          <w:trHeight w:hRule="exact" w:val="847"/>
        </w:trPr>
        <w:tc>
          <w:tcPr>
            <w:tcW w:w="2175" w:type="dxa"/>
            <w:shd w:val="clear" w:color="auto" w:fill="FFFFFF"/>
            <w:vAlign w:val="bottom"/>
          </w:tcPr>
          <w:p w:rsidR="00106F95" w:rsidRPr="0054674E" w:rsidRDefault="00106F95" w:rsidP="00AC533D">
            <w:pPr>
              <w:widowControl w:val="0"/>
              <w:spacing w:after="0" w:line="202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Taux</w:t>
            </w:r>
          </w:p>
          <w:p w:rsidR="00106F95" w:rsidRPr="0054674E" w:rsidRDefault="00106F95" w:rsidP="00AC533D">
            <w:pPr>
              <w:widowControl w:val="0"/>
              <w:spacing w:after="0" w:line="202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proofErr w:type="gramStart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de</w:t>
            </w:r>
            <w:proofErr w:type="gramEnd"/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 xml:space="preserve"> marge brute d’exploitation</w:t>
            </w:r>
          </w:p>
        </w:tc>
        <w:tc>
          <w:tcPr>
            <w:tcW w:w="3622" w:type="dxa"/>
            <w:shd w:val="clear" w:color="auto" w:fill="FFFFFF"/>
            <w:vAlign w:val="center"/>
          </w:tcPr>
          <w:p w:rsidR="00106F95" w:rsidRDefault="00106F95" w:rsidP="00AC533D">
            <w:pPr>
              <w:widowControl w:val="0"/>
              <w:spacing w:after="0" w:line="322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EBE/CA HT</w:t>
            </w:r>
          </w:p>
          <w:p w:rsidR="006848E5" w:rsidRPr="0054674E" w:rsidRDefault="006848E5" w:rsidP="00AC533D">
            <w:pPr>
              <w:widowControl w:val="0"/>
              <w:spacing w:after="0" w:line="322" w:lineRule="exact"/>
              <w:jc w:val="center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6848E5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266</w:t>
            </w:r>
            <w:r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 xml:space="preserve"> </w:t>
            </w:r>
            <w:r w:rsidRPr="006848E5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876</w:t>
            </w:r>
            <w:r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 </w:t>
            </w:r>
            <w:r w:rsidRPr="006848E5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104</w:t>
            </w:r>
            <w:r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/</w:t>
            </w:r>
            <w:r w:rsidRPr="009622FA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2 041 946</w:t>
            </w:r>
            <w:r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 </w:t>
            </w:r>
            <w:r w:rsidRPr="009622FA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745</w:t>
            </w:r>
            <w:r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=</w:t>
            </w:r>
            <w:r w:rsidRPr="006848E5">
              <w:rPr>
                <w:rFonts w:eastAsia="Arial" w:cs="Calibri"/>
                <w:color w:val="000000"/>
                <w:sz w:val="24"/>
                <w:szCs w:val="17"/>
                <w:highlight w:val="yellow"/>
                <w:lang w:eastAsia="fr-FR" w:bidi="fr-FR"/>
              </w:rPr>
              <w:t>13,07%</w:t>
            </w:r>
          </w:p>
        </w:tc>
        <w:tc>
          <w:tcPr>
            <w:tcW w:w="4693" w:type="dxa"/>
            <w:shd w:val="clear" w:color="auto" w:fill="FFFFFF"/>
            <w:vAlign w:val="bottom"/>
          </w:tcPr>
          <w:p w:rsidR="00106F95" w:rsidRPr="0054674E" w:rsidRDefault="00106F95" w:rsidP="00AC533D">
            <w:pPr>
              <w:widowControl w:val="0"/>
              <w:spacing w:after="0" w:line="202" w:lineRule="exact"/>
              <w:jc w:val="both"/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</w:pPr>
            <w:r w:rsidRPr="0054674E">
              <w:rPr>
                <w:rFonts w:eastAsia="Arial" w:cs="Calibri"/>
                <w:color w:val="000000"/>
                <w:sz w:val="24"/>
                <w:szCs w:val="17"/>
                <w:lang w:eastAsia="fr-FR" w:bidi="fr-FR"/>
              </w:rPr>
              <w:t>Il mesure la capacité de l’entreprise à générer une rentabilité à partir du CA indépendamment de sa politique d’investissement et de son mode de financement</w:t>
            </w:r>
          </w:p>
        </w:tc>
      </w:tr>
    </w:tbl>
    <w:p w:rsidR="00106F95" w:rsidRDefault="00106F95" w:rsidP="00106F95">
      <w:pPr>
        <w:tabs>
          <w:tab w:val="left" w:pos="3769"/>
        </w:tabs>
        <w:rPr>
          <w:rFonts w:cs="Calibri"/>
          <w:sz w:val="24"/>
          <w:szCs w:val="24"/>
        </w:rPr>
      </w:pPr>
    </w:p>
    <w:p w:rsidR="00106F95" w:rsidRPr="0049016F" w:rsidRDefault="00106F95" w:rsidP="00106F95">
      <w:pPr>
        <w:tabs>
          <w:tab w:val="left" w:pos="3769"/>
        </w:tabs>
        <w:rPr>
          <w:rFonts w:cs="Calibri"/>
          <w:b/>
          <w:i/>
          <w:sz w:val="24"/>
          <w:szCs w:val="24"/>
        </w:rPr>
      </w:pPr>
      <w:r w:rsidRPr="0049016F">
        <w:rPr>
          <w:rFonts w:cs="Calibri"/>
          <w:b/>
          <w:sz w:val="24"/>
          <w:szCs w:val="24"/>
          <w:u w:val="single"/>
        </w:rPr>
        <w:t>NB</w:t>
      </w:r>
      <w:r w:rsidRPr="0049016F">
        <w:rPr>
          <w:rFonts w:cs="Calibri"/>
          <w:b/>
          <w:sz w:val="24"/>
          <w:szCs w:val="24"/>
        </w:rPr>
        <w:t> </w:t>
      </w:r>
      <w:r w:rsidRPr="0049016F">
        <w:rPr>
          <w:rFonts w:cs="Calibri"/>
          <w:b/>
          <w:i/>
          <w:sz w:val="24"/>
          <w:szCs w:val="24"/>
        </w:rPr>
        <w:t>: L’utilisation d’un ratio sera fonction des besoin</w:t>
      </w:r>
      <w:r>
        <w:rPr>
          <w:rFonts w:cs="Calibri"/>
          <w:b/>
          <w:i/>
          <w:sz w:val="24"/>
          <w:szCs w:val="24"/>
        </w:rPr>
        <w:t>s</w:t>
      </w:r>
      <w:r w:rsidRPr="0049016F">
        <w:rPr>
          <w:rFonts w:cs="Calibri"/>
          <w:b/>
          <w:i/>
          <w:sz w:val="24"/>
          <w:szCs w:val="24"/>
        </w:rPr>
        <w:t xml:space="preserve"> d’affiner les résultats de l’analyse effectuée</w:t>
      </w:r>
      <w:r w:rsidRPr="0049016F">
        <w:rPr>
          <w:rFonts w:cs="Calibri"/>
          <w:b/>
          <w:sz w:val="24"/>
          <w:szCs w:val="24"/>
        </w:rPr>
        <w:t>.</w:t>
      </w:r>
    </w:p>
    <w:p w:rsidR="00106F95" w:rsidRPr="0054674E" w:rsidRDefault="00106F95" w:rsidP="00106F95">
      <w:pPr>
        <w:pStyle w:val="Titre1"/>
        <w:rPr>
          <w:rFonts w:ascii="Calibri" w:hAnsi="Calibri" w:cs="Calibri"/>
          <w:color w:val="auto"/>
          <w:sz w:val="24"/>
          <w:szCs w:val="24"/>
        </w:rPr>
      </w:pPr>
      <w:bookmarkStart w:id="7" w:name="_Toc523947118"/>
      <w:r w:rsidRPr="0054674E">
        <w:rPr>
          <w:rFonts w:ascii="Calibri" w:hAnsi="Calibri" w:cs="Calibri"/>
          <w:b/>
          <w:color w:val="auto"/>
          <w:sz w:val="28"/>
          <w:szCs w:val="28"/>
        </w:rPr>
        <w:t>I</w:t>
      </w:r>
      <w:r>
        <w:rPr>
          <w:rFonts w:ascii="Calibri" w:hAnsi="Calibri" w:cs="Calibri"/>
          <w:b/>
          <w:color w:val="auto"/>
          <w:sz w:val="28"/>
          <w:szCs w:val="28"/>
        </w:rPr>
        <w:t xml:space="preserve">II. </w:t>
      </w:r>
      <w:r w:rsidRPr="0054674E">
        <w:rPr>
          <w:rFonts w:ascii="Calibri" w:hAnsi="Calibri" w:cs="Calibri"/>
          <w:b/>
          <w:color w:val="auto"/>
          <w:sz w:val="28"/>
          <w:szCs w:val="28"/>
        </w:rPr>
        <w:t>GUIDE D’ANALYSE DU TABLEAU DE FLUX DE TRESORERIE</w:t>
      </w:r>
      <w:bookmarkEnd w:id="7"/>
    </w:p>
    <w:p w:rsidR="00106F95" w:rsidRPr="0054674E" w:rsidRDefault="00106F95" w:rsidP="00106F95">
      <w:pPr>
        <w:jc w:val="both"/>
        <w:rPr>
          <w:rFonts w:cs="Calibri"/>
          <w:sz w:val="24"/>
          <w:szCs w:val="24"/>
        </w:rPr>
      </w:pPr>
      <w:r w:rsidRPr="0054674E">
        <w:rPr>
          <w:rFonts w:cs="Calibri"/>
          <w:sz w:val="24"/>
          <w:szCs w:val="24"/>
        </w:rPr>
        <w:t>Le tableau des flux de trésorerie (TFT) constitue un état de synthèse qui fournit des renseignements sur la variation de trésorerie de l’entité.</w:t>
      </w:r>
    </w:p>
    <w:p w:rsidR="00106F95" w:rsidRPr="0054674E" w:rsidRDefault="00106F95" w:rsidP="00106F95">
      <w:pPr>
        <w:jc w:val="both"/>
        <w:rPr>
          <w:rFonts w:cs="Calibri"/>
          <w:sz w:val="24"/>
          <w:szCs w:val="24"/>
        </w:rPr>
      </w:pPr>
      <w:r w:rsidRPr="0054674E">
        <w:rPr>
          <w:rFonts w:cs="Calibri"/>
          <w:sz w:val="24"/>
          <w:szCs w:val="24"/>
        </w:rPr>
        <w:t xml:space="preserve">Son analyse fait ressortir la contribution de chaque type d’activité à la variation globale de trésorerie, en d’autres termes, elle permet de connaitre la provenance des flux de liquidités (encaissements) et </w:t>
      </w:r>
      <w:r>
        <w:rPr>
          <w:rFonts w:cs="Calibri"/>
          <w:sz w:val="24"/>
          <w:szCs w:val="24"/>
        </w:rPr>
        <w:t xml:space="preserve">la </w:t>
      </w:r>
      <w:r w:rsidRPr="0054674E">
        <w:rPr>
          <w:rFonts w:cs="Calibri"/>
          <w:sz w:val="24"/>
          <w:szCs w:val="24"/>
        </w:rPr>
        <w:t>manière dont les flux ont été utilisés (décaissements) au cours de l’exercice.</w:t>
      </w:r>
    </w:p>
    <w:p w:rsidR="00106F95" w:rsidRPr="0054674E" w:rsidRDefault="00106F95" w:rsidP="00106F95">
      <w:pPr>
        <w:jc w:val="both"/>
        <w:rPr>
          <w:rFonts w:cs="Calibri"/>
          <w:sz w:val="24"/>
          <w:szCs w:val="24"/>
        </w:rPr>
      </w:pPr>
      <w:r w:rsidRPr="0054674E">
        <w:rPr>
          <w:rFonts w:cs="Calibri"/>
          <w:sz w:val="24"/>
          <w:szCs w:val="24"/>
        </w:rPr>
        <w:t>Le diagnostic est effectué selon les activités :</w:t>
      </w:r>
    </w:p>
    <w:p w:rsidR="00106F95" w:rsidRPr="0054674E" w:rsidRDefault="00106F95" w:rsidP="00106F95">
      <w:pPr>
        <w:pStyle w:val="Paragraphedeliste"/>
        <w:numPr>
          <w:ilvl w:val="0"/>
          <w:numId w:val="6"/>
        </w:numPr>
        <w:spacing w:after="160" w:line="259" w:lineRule="auto"/>
        <w:jc w:val="both"/>
        <w:rPr>
          <w:rFonts w:ascii="Calibri" w:hAnsi="Calibri" w:cs="Calibri"/>
        </w:rPr>
      </w:pPr>
      <w:r w:rsidRPr="0054674E">
        <w:rPr>
          <w:rFonts w:ascii="Calibri" w:hAnsi="Calibri" w:cs="Calibri"/>
          <w:b/>
        </w:rPr>
        <w:t>Activités opérationnelles :</w:t>
      </w:r>
      <w:r w:rsidRPr="0054674E">
        <w:rPr>
          <w:rFonts w:ascii="Calibri" w:hAnsi="Calibri" w:cs="Calibri"/>
        </w:rPr>
        <w:t xml:space="preserve"> c’est-à-dire les principales activités génératrices produites de l’entité. </w:t>
      </w:r>
      <w:r w:rsidRPr="0049016F">
        <w:rPr>
          <w:rFonts w:ascii="Calibri" w:hAnsi="Calibri" w:cs="Calibri"/>
          <w:u w:val="single"/>
        </w:rPr>
        <w:t>Exemple</w:t>
      </w:r>
      <w:r w:rsidRPr="0054674E">
        <w:rPr>
          <w:rFonts w:ascii="Calibri" w:hAnsi="Calibri" w:cs="Calibri"/>
        </w:rPr>
        <w:t> : vente d’hydrocarbure, fourniture d’électricité, prestation de service.</w:t>
      </w:r>
    </w:p>
    <w:p w:rsidR="00106F95" w:rsidRPr="0054674E" w:rsidRDefault="00106F95" w:rsidP="00106F95">
      <w:pPr>
        <w:pStyle w:val="Paragraphedeliste"/>
        <w:numPr>
          <w:ilvl w:val="0"/>
          <w:numId w:val="6"/>
        </w:numPr>
        <w:spacing w:after="160" w:line="259" w:lineRule="auto"/>
        <w:jc w:val="both"/>
        <w:rPr>
          <w:rFonts w:ascii="Calibri" w:hAnsi="Calibri" w:cs="Calibri"/>
        </w:rPr>
      </w:pPr>
      <w:r w:rsidRPr="0054674E">
        <w:rPr>
          <w:rFonts w:ascii="Calibri" w:hAnsi="Calibri" w:cs="Calibri"/>
          <w:b/>
        </w:rPr>
        <w:t>Activités d’investissements :</w:t>
      </w:r>
      <w:r w:rsidRPr="0054674E">
        <w:rPr>
          <w:rFonts w:ascii="Calibri" w:hAnsi="Calibri" w:cs="Calibri"/>
        </w:rPr>
        <w:t xml:space="preserve"> c’est-à-dire l’acquisition (décaissement) ou la sortie (encaissement) d’actif à long terme. </w:t>
      </w:r>
      <w:r w:rsidRPr="0049016F">
        <w:rPr>
          <w:rFonts w:ascii="Calibri" w:hAnsi="Calibri" w:cs="Calibri"/>
          <w:u w:val="single"/>
        </w:rPr>
        <w:t>Exemple</w:t>
      </w:r>
      <w:r w:rsidRPr="0054674E">
        <w:rPr>
          <w:rFonts w:ascii="Calibri" w:hAnsi="Calibri" w:cs="Calibri"/>
        </w:rPr>
        <w:t xml:space="preserve"> cession ou acquisition d’un véhicule automobile.</w:t>
      </w:r>
    </w:p>
    <w:p w:rsidR="00106F95" w:rsidRPr="0054674E" w:rsidRDefault="00106F95" w:rsidP="00106F95">
      <w:pPr>
        <w:pStyle w:val="Paragraphedeliste"/>
        <w:numPr>
          <w:ilvl w:val="0"/>
          <w:numId w:val="6"/>
        </w:numPr>
        <w:spacing w:after="160" w:line="259" w:lineRule="auto"/>
        <w:jc w:val="both"/>
        <w:rPr>
          <w:rFonts w:ascii="Calibri" w:hAnsi="Calibri" w:cs="Calibri"/>
        </w:rPr>
      </w:pPr>
      <w:r w:rsidRPr="0054674E">
        <w:rPr>
          <w:rFonts w:ascii="Calibri" w:hAnsi="Calibri" w:cs="Calibri"/>
          <w:b/>
        </w:rPr>
        <w:t>Activités de financement :</w:t>
      </w:r>
      <w:r w:rsidRPr="0054674E">
        <w:rPr>
          <w:rFonts w:ascii="Calibri" w:hAnsi="Calibri" w:cs="Calibri"/>
        </w:rPr>
        <w:t xml:space="preserve"> c’est-à-dire des encaissements ou des décaissements ainsi des activités financières (émission ou vente d’action, dividendes payés ou reçus, emprunts et remboursements, prêt et récupération).</w:t>
      </w:r>
    </w:p>
    <w:p w:rsidR="00106F95" w:rsidRPr="0054674E" w:rsidRDefault="00106F95" w:rsidP="00106F95">
      <w:pPr>
        <w:jc w:val="both"/>
        <w:rPr>
          <w:rFonts w:cs="Calibri"/>
          <w:sz w:val="24"/>
          <w:szCs w:val="24"/>
        </w:rPr>
      </w:pPr>
      <w:r w:rsidRPr="0054674E">
        <w:rPr>
          <w:rFonts w:cs="Calibri"/>
          <w:sz w:val="24"/>
          <w:szCs w:val="24"/>
        </w:rPr>
        <w:lastRenderedPageBreak/>
        <w:t xml:space="preserve">Pour l’analyse de cet état financier de synthèse, il convient d’établir un état récapitulatif sur au moins cinq (5) exercices.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787"/>
        <w:gridCol w:w="683"/>
        <w:gridCol w:w="616"/>
        <w:gridCol w:w="1434"/>
        <w:gridCol w:w="1532"/>
        <w:gridCol w:w="1579"/>
      </w:tblGrid>
      <w:tr w:rsidR="00106F95" w:rsidRPr="0049016F" w:rsidTr="006848E5">
        <w:tc>
          <w:tcPr>
            <w:tcW w:w="3116" w:type="dxa"/>
          </w:tcPr>
          <w:p w:rsidR="00106F95" w:rsidRPr="0049016F" w:rsidRDefault="00106F95" w:rsidP="00AC533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49016F">
              <w:rPr>
                <w:rFonts w:cs="Calibri"/>
                <w:b/>
                <w:sz w:val="24"/>
                <w:szCs w:val="24"/>
              </w:rPr>
              <w:t>Rubriques</w:t>
            </w:r>
          </w:p>
        </w:tc>
        <w:tc>
          <w:tcPr>
            <w:tcW w:w="787" w:type="dxa"/>
          </w:tcPr>
          <w:p w:rsidR="00106F95" w:rsidRPr="0049016F" w:rsidRDefault="00106F95" w:rsidP="00AC533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49016F">
              <w:rPr>
                <w:rFonts w:cs="Calibri"/>
                <w:b/>
                <w:sz w:val="24"/>
                <w:szCs w:val="24"/>
              </w:rPr>
              <w:t>N+3</w:t>
            </w:r>
          </w:p>
        </w:tc>
        <w:tc>
          <w:tcPr>
            <w:tcW w:w="683" w:type="dxa"/>
          </w:tcPr>
          <w:p w:rsidR="00106F95" w:rsidRPr="0049016F" w:rsidRDefault="00106F95" w:rsidP="00AC533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49016F">
              <w:rPr>
                <w:rFonts w:cs="Calibri"/>
                <w:b/>
                <w:sz w:val="24"/>
                <w:szCs w:val="24"/>
              </w:rPr>
              <w:t>N+2</w:t>
            </w:r>
          </w:p>
        </w:tc>
        <w:tc>
          <w:tcPr>
            <w:tcW w:w="616" w:type="dxa"/>
          </w:tcPr>
          <w:p w:rsidR="00106F95" w:rsidRPr="0049016F" w:rsidRDefault="00106F95" w:rsidP="00AC533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49016F">
              <w:rPr>
                <w:rFonts w:cs="Calibri"/>
                <w:b/>
                <w:sz w:val="24"/>
                <w:szCs w:val="24"/>
              </w:rPr>
              <w:t>N+1</w:t>
            </w:r>
          </w:p>
        </w:tc>
        <w:tc>
          <w:tcPr>
            <w:tcW w:w="1434" w:type="dxa"/>
          </w:tcPr>
          <w:p w:rsidR="00106F95" w:rsidRPr="0049016F" w:rsidRDefault="00106F95" w:rsidP="00AC533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49016F">
              <w:rPr>
                <w:rFonts w:cs="Calibri"/>
                <w:b/>
                <w:sz w:val="24"/>
                <w:szCs w:val="24"/>
              </w:rPr>
              <w:t>N</w:t>
            </w:r>
          </w:p>
        </w:tc>
        <w:tc>
          <w:tcPr>
            <w:tcW w:w="1532" w:type="dxa"/>
          </w:tcPr>
          <w:p w:rsidR="00106F95" w:rsidRPr="0049016F" w:rsidRDefault="00106F95" w:rsidP="00AC533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49016F">
              <w:rPr>
                <w:rFonts w:cs="Calibri"/>
                <w:b/>
                <w:sz w:val="24"/>
                <w:szCs w:val="24"/>
              </w:rPr>
              <w:t>N-1</w:t>
            </w:r>
          </w:p>
        </w:tc>
        <w:tc>
          <w:tcPr>
            <w:tcW w:w="1579" w:type="dxa"/>
          </w:tcPr>
          <w:p w:rsidR="00106F95" w:rsidRPr="0049016F" w:rsidRDefault="00106F95" w:rsidP="00AC533D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49016F">
              <w:rPr>
                <w:rFonts w:cs="Calibri"/>
                <w:b/>
                <w:sz w:val="24"/>
                <w:szCs w:val="24"/>
              </w:rPr>
              <w:t>Commentaire</w:t>
            </w:r>
          </w:p>
        </w:tc>
      </w:tr>
      <w:tr w:rsidR="006848E5" w:rsidRPr="00356F91" w:rsidTr="006848E5">
        <w:tc>
          <w:tcPr>
            <w:tcW w:w="3116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Flux trésor. </w:t>
            </w:r>
            <w:proofErr w:type="spellStart"/>
            <w:r>
              <w:rPr>
                <w:rFonts w:cs="Calibri"/>
                <w:sz w:val="24"/>
                <w:szCs w:val="24"/>
              </w:rPr>
              <w:t>Act</w:t>
            </w:r>
            <w:proofErr w:type="spellEnd"/>
            <w:r>
              <w:rPr>
                <w:rFonts w:cs="Calibri"/>
                <w:sz w:val="24"/>
                <w:szCs w:val="24"/>
              </w:rPr>
              <w:t>. opérationnelle</w:t>
            </w:r>
          </w:p>
        </w:tc>
        <w:tc>
          <w:tcPr>
            <w:tcW w:w="787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83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16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434" w:type="dxa"/>
          </w:tcPr>
          <w:p w:rsidR="006848E5" w:rsidRPr="00504086" w:rsidRDefault="006848E5" w:rsidP="006848E5">
            <w:pPr>
              <w:rPr>
                <w:highlight w:val="yellow"/>
              </w:rPr>
            </w:pPr>
            <w:r w:rsidRPr="00504086">
              <w:rPr>
                <w:highlight w:val="yellow"/>
              </w:rPr>
              <w:t xml:space="preserve"> 170 234 983   </w:t>
            </w:r>
          </w:p>
        </w:tc>
        <w:tc>
          <w:tcPr>
            <w:tcW w:w="1532" w:type="dxa"/>
          </w:tcPr>
          <w:p w:rsidR="006848E5" w:rsidRPr="00504086" w:rsidRDefault="006848E5" w:rsidP="006848E5">
            <w:pPr>
              <w:rPr>
                <w:highlight w:val="yellow"/>
              </w:rPr>
            </w:pPr>
            <w:r w:rsidRPr="00504086">
              <w:rPr>
                <w:highlight w:val="yellow"/>
              </w:rPr>
              <w:t xml:space="preserve"> 98 148 770   </w:t>
            </w:r>
          </w:p>
        </w:tc>
        <w:tc>
          <w:tcPr>
            <w:tcW w:w="1579" w:type="dxa"/>
          </w:tcPr>
          <w:p w:rsidR="006848E5" w:rsidRPr="00504086" w:rsidRDefault="00504086" w:rsidP="006848E5">
            <w:pPr>
              <w:spacing w:after="0" w:line="24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504086">
              <w:rPr>
                <w:rFonts w:cs="Calibri"/>
                <w:sz w:val="24"/>
                <w:szCs w:val="24"/>
                <w:highlight w:val="yellow"/>
              </w:rPr>
              <w:t>73,45%</w:t>
            </w:r>
          </w:p>
        </w:tc>
      </w:tr>
      <w:tr w:rsidR="006848E5" w:rsidRPr="00356F91" w:rsidTr="006848E5">
        <w:tc>
          <w:tcPr>
            <w:tcW w:w="3116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Flux trésor. </w:t>
            </w:r>
            <w:proofErr w:type="spellStart"/>
            <w:r>
              <w:rPr>
                <w:rFonts w:cs="Calibri"/>
                <w:sz w:val="24"/>
                <w:szCs w:val="24"/>
              </w:rPr>
              <w:t>Act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="Calibri"/>
                <w:sz w:val="24"/>
                <w:szCs w:val="24"/>
              </w:rPr>
              <w:t>Investiss</w:t>
            </w:r>
            <w:proofErr w:type="spellEnd"/>
            <w:r>
              <w:rPr>
                <w:rFonts w:cs="Calibri"/>
                <w:sz w:val="24"/>
                <w:szCs w:val="24"/>
              </w:rPr>
              <w:t>.</w:t>
            </w:r>
          </w:p>
        </w:tc>
        <w:tc>
          <w:tcPr>
            <w:tcW w:w="787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83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16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434" w:type="dxa"/>
          </w:tcPr>
          <w:p w:rsidR="006848E5" w:rsidRPr="00504086" w:rsidRDefault="006848E5" w:rsidP="006848E5">
            <w:pPr>
              <w:rPr>
                <w:highlight w:val="yellow"/>
              </w:rPr>
            </w:pPr>
            <w:r w:rsidRPr="00504086">
              <w:rPr>
                <w:highlight w:val="yellow"/>
              </w:rPr>
              <w:t xml:space="preserve">-328 722 013   </w:t>
            </w:r>
          </w:p>
        </w:tc>
        <w:tc>
          <w:tcPr>
            <w:tcW w:w="1532" w:type="dxa"/>
          </w:tcPr>
          <w:p w:rsidR="006848E5" w:rsidRPr="00504086" w:rsidRDefault="006848E5" w:rsidP="006848E5">
            <w:pPr>
              <w:rPr>
                <w:highlight w:val="yellow"/>
              </w:rPr>
            </w:pPr>
            <w:r w:rsidRPr="00504086">
              <w:rPr>
                <w:highlight w:val="yellow"/>
              </w:rPr>
              <w:t xml:space="preserve">-17 160 017   </w:t>
            </w:r>
          </w:p>
        </w:tc>
        <w:tc>
          <w:tcPr>
            <w:tcW w:w="1579" w:type="dxa"/>
          </w:tcPr>
          <w:p w:rsidR="006848E5" w:rsidRPr="00504086" w:rsidRDefault="00504086" w:rsidP="006848E5">
            <w:pPr>
              <w:spacing w:after="0" w:line="24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504086">
              <w:rPr>
                <w:rFonts w:cs="Calibri"/>
                <w:sz w:val="24"/>
                <w:szCs w:val="24"/>
                <w:highlight w:val="yellow"/>
              </w:rPr>
              <w:t>-1815,63%</w:t>
            </w:r>
          </w:p>
        </w:tc>
      </w:tr>
      <w:tr w:rsidR="006848E5" w:rsidRPr="00356F91" w:rsidTr="006848E5">
        <w:tc>
          <w:tcPr>
            <w:tcW w:w="3116" w:type="dxa"/>
          </w:tcPr>
          <w:p w:rsidR="006848E5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Flux trésor. </w:t>
            </w:r>
            <w:proofErr w:type="spellStart"/>
            <w:r>
              <w:rPr>
                <w:rFonts w:cs="Calibri"/>
                <w:sz w:val="24"/>
                <w:szCs w:val="24"/>
              </w:rPr>
              <w:t>Act</w:t>
            </w:r>
            <w:proofErr w:type="spellEnd"/>
            <w:r>
              <w:rPr>
                <w:rFonts w:cs="Calibri"/>
                <w:sz w:val="24"/>
                <w:szCs w:val="24"/>
              </w:rPr>
              <w:t>. Financement</w:t>
            </w:r>
          </w:p>
        </w:tc>
        <w:tc>
          <w:tcPr>
            <w:tcW w:w="787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83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16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434" w:type="dxa"/>
          </w:tcPr>
          <w:p w:rsidR="006848E5" w:rsidRPr="00504086" w:rsidRDefault="006848E5" w:rsidP="006848E5">
            <w:pPr>
              <w:rPr>
                <w:highlight w:val="yellow"/>
              </w:rPr>
            </w:pPr>
            <w:r w:rsidRPr="00504086">
              <w:rPr>
                <w:highlight w:val="yellow"/>
              </w:rPr>
              <w:t xml:space="preserve"> 207 000 000   </w:t>
            </w:r>
          </w:p>
        </w:tc>
        <w:tc>
          <w:tcPr>
            <w:tcW w:w="1532" w:type="dxa"/>
          </w:tcPr>
          <w:p w:rsidR="006848E5" w:rsidRPr="00504086" w:rsidRDefault="006848E5" w:rsidP="006848E5">
            <w:pPr>
              <w:rPr>
                <w:highlight w:val="yellow"/>
              </w:rPr>
            </w:pPr>
            <w:r w:rsidRPr="00504086">
              <w:rPr>
                <w:highlight w:val="yellow"/>
              </w:rPr>
              <w:t xml:space="preserve">-40 000 000   </w:t>
            </w:r>
          </w:p>
        </w:tc>
        <w:tc>
          <w:tcPr>
            <w:tcW w:w="1579" w:type="dxa"/>
          </w:tcPr>
          <w:p w:rsidR="006848E5" w:rsidRPr="00504086" w:rsidRDefault="00504086" w:rsidP="006848E5">
            <w:pPr>
              <w:spacing w:after="0" w:line="240" w:lineRule="auto"/>
              <w:rPr>
                <w:rFonts w:cs="Calibri"/>
                <w:sz w:val="24"/>
                <w:szCs w:val="24"/>
                <w:highlight w:val="yellow"/>
              </w:rPr>
            </w:pPr>
            <w:r w:rsidRPr="00504086">
              <w:rPr>
                <w:rFonts w:cs="Calibri"/>
                <w:sz w:val="24"/>
                <w:szCs w:val="24"/>
                <w:highlight w:val="yellow"/>
              </w:rPr>
              <w:t>617,50%</w:t>
            </w:r>
          </w:p>
        </w:tc>
      </w:tr>
      <w:tr w:rsidR="006848E5" w:rsidRPr="00356F91" w:rsidTr="006848E5">
        <w:tc>
          <w:tcPr>
            <w:tcW w:w="3116" w:type="dxa"/>
          </w:tcPr>
          <w:p w:rsidR="006848E5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Trésorerie nette</w:t>
            </w:r>
          </w:p>
        </w:tc>
        <w:tc>
          <w:tcPr>
            <w:tcW w:w="787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83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616" w:type="dxa"/>
          </w:tcPr>
          <w:p w:rsidR="006848E5" w:rsidRPr="00356F91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434" w:type="dxa"/>
          </w:tcPr>
          <w:p w:rsidR="006848E5" w:rsidRPr="00504086" w:rsidRDefault="006848E5" w:rsidP="006848E5">
            <w:pPr>
              <w:rPr>
                <w:highlight w:val="yellow"/>
              </w:rPr>
            </w:pPr>
            <w:r w:rsidRPr="00504086">
              <w:rPr>
                <w:highlight w:val="yellow"/>
              </w:rPr>
              <w:t xml:space="preserve"> 123 097 127   </w:t>
            </w:r>
          </w:p>
        </w:tc>
        <w:tc>
          <w:tcPr>
            <w:tcW w:w="1532" w:type="dxa"/>
          </w:tcPr>
          <w:p w:rsidR="006848E5" w:rsidRPr="00504086" w:rsidRDefault="006848E5" w:rsidP="006848E5">
            <w:pPr>
              <w:rPr>
                <w:highlight w:val="yellow"/>
              </w:rPr>
            </w:pPr>
            <w:r w:rsidRPr="00504086">
              <w:rPr>
                <w:highlight w:val="yellow"/>
              </w:rPr>
              <w:t xml:space="preserve"> 74 584 157   </w:t>
            </w:r>
          </w:p>
        </w:tc>
        <w:tc>
          <w:tcPr>
            <w:tcW w:w="1579" w:type="dxa"/>
          </w:tcPr>
          <w:p w:rsidR="00504086" w:rsidRPr="00504086" w:rsidRDefault="00504086" w:rsidP="00504086">
            <w:pPr>
              <w:rPr>
                <w:rFonts w:ascii="Calibri" w:hAnsi="Calibri" w:cs="Calibri"/>
                <w:color w:val="000000"/>
                <w:highlight w:val="yellow"/>
                <w:lang w:val="fr-BF"/>
              </w:rPr>
            </w:pPr>
            <w:r w:rsidRPr="00504086">
              <w:rPr>
                <w:rFonts w:ascii="Calibri" w:hAnsi="Calibri" w:cs="Calibri"/>
                <w:color w:val="000000"/>
                <w:highlight w:val="yellow"/>
              </w:rPr>
              <w:t>65,04%</w:t>
            </w:r>
          </w:p>
          <w:p w:rsidR="006848E5" w:rsidRPr="00504086" w:rsidRDefault="006848E5" w:rsidP="006848E5">
            <w:pPr>
              <w:spacing w:after="0" w:line="240" w:lineRule="auto"/>
              <w:rPr>
                <w:rFonts w:cs="Calibri"/>
                <w:sz w:val="24"/>
                <w:szCs w:val="24"/>
                <w:highlight w:val="yellow"/>
              </w:rPr>
            </w:pPr>
          </w:p>
        </w:tc>
      </w:tr>
    </w:tbl>
    <w:p w:rsidR="00106F95" w:rsidRDefault="00106F95" w:rsidP="00106F95">
      <w:pPr>
        <w:spacing w:after="0" w:line="240" w:lineRule="auto"/>
        <w:rPr>
          <w:rFonts w:cs="Calibri"/>
          <w:sz w:val="24"/>
          <w:szCs w:val="24"/>
        </w:rPr>
      </w:pPr>
    </w:p>
    <w:p w:rsidR="00106F95" w:rsidRPr="0054674E" w:rsidRDefault="00106F95" w:rsidP="00106F95">
      <w:pPr>
        <w:rPr>
          <w:rFonts w:cs="Calibri"/>
          <w:sz w:val="24"/>
          <w:szCs w:val="24"/>
        </w:rPr>
      </w:pPr>
      <w:r w:rsidRPr="0054674E">
        <w:rPr>
          <w:rFonts w:cs="Calibri"/>
          <w:sz w:val="24"/>
          <w:szCs w:val="24"/>
        </w:rPr>
        <w:t xml:space="preserve">De cet état comparatif effectuer les diligences suivantes : </w:t>
      </w:r>
    </w:p>
    <w:p w:rsidR="00106F95" w:rsidRPr="0054674E" w:rsidRDefault="00106F95" w:rsidP="00106F95">
      <w:pPr>
        <w:pStyle w:val="Paragraphedeliste"/>
        <w:numPr>
          <w:ilvl w:val="0"/>
          <w:numId w:val="11"/>
        </w:numPr>
        <w:spacing w:after="160" w:line="259" w:lineRule="auto"/>
        <w:rPr>
          <w:rFonts w:ascii="Calibri" w:hAnsi="Calibri" w:cs="Calibri"/>
        </w:rPr>
      </w:pPr>
      <w:r w:rsidRPr="0054674E">
        <w:rPr>
          <w:rFonts w:ascii="Calibri" w:hAnsi="Calibri" w:cs="Calibri"/>
        </w:rPr>
        <w:t>Dégager l’évolution de la trésorerie issue de chaque type d’activité ;</w:t>
      </w:r>
    </w:p>
    <w:p w:rsidR="00106F95" w:rsidRPr="0054674E" w:rsidRDefault="00106F95" w:rsidP="00106F95">
      <w:pPr>
        <w:pStyle w:val="Paragraphedeliste"/>
        <w:numPr>
          <w:ilvl w:val="0"/>
          <w:numId w:val="11"/>
        </w:numPr>
        <w:spacing w:after="160" w:line="259" w:lineRule="auto"/>
        <w:rPr>
          <w:rFonts w:ascii="Calibri" w:hAnsi="Calibri" w:cs="Calibri"/>
        </w:rPr>
      </w:pPr>
      <w:r w:rsidRPr="0054674E">
        <w:rPr>
          <w:rFonts w:ascii="Calibri" w:hAnsi="Calibri" w:cs="Calibri"/>
        </w:rPr>
        <w:t>Apprécier la variation de la trésorerie nette en relation avec le lien FDR/BFR</w:t>
      </w:r>
    </w:p>
    <w:p w:rsidR="00106F95" w:rsidRPr="0054674E" w:rsidRDefault="00106F95" w:rsidP="00106F95">
      <w:pPr>
        <w:pStyle w:val="Paragraphedeliste"/>
        <w:numPr>
          <w:ilvl w:val="0"/>
          <w:numId w:val="11"/>
        </w:numPr>
        <w:spacing w:after="160" w:line="259" w:lineRule="auto"/>
        <w:rPr>
          <w:rFonts w:ascii="Calibri" w:hAnsi="Calibri" w:cs="Calibri"/>
        </w:rPr>
      </w:pPr>
      <w:r w:rsidRPr="0054674E">
        <w:rPr>
          <w:rFonts w:ascii="Calibri" w:hAnsi="Calibri" w:cs="Calibri"/>
        </w:rPr>
        <w:t>Rapprocher le niveau de la trésorerie nette avec le budget de trésorerie</w:t>
      </w:r>
    </w:p>
    <w:p w:rsidR="00106F95" w:rsidRPr="0054674E" w:rsidRDefault="00106F95" w:rsidP="00106F95">
      <w:pPr>
        <w:pStyle w:val="Titre1"/>
        <w:spacing w:line="360" w:lineRule="auto"/>
        <w:rPr>
          <w:rFonts w:ascii="Calibri" w:hAnsi="Calibri" w:cs="Calibri"/>
          <w:b/>
          <w:color w:val="auto"/>
          <w:sz w:val="28"/>
          <w:szCs w:val="28"/>
        </w:rPr>
      </w:pPr>
      <w:bookmarkStart w:id="8" w:name="_Toc523947119"/>
      <w:r>
        <w:rPr>
          <w:rFonts w:ascii="Calibri" w:hAnsi="Calibri" w:cs="Calibri"/>
          <w:b/>
          <w:color w:val="auto"/>
          <w:sz w:val="28"/>
          <w:szCs w:val="28"/>
        </w:rPr>
        <w:t>IV.</w:t>
      </w:r>
      <w:r w:rsidRPr="0054674E">
        <w:rPr>
          <w:rFonts w:ascii="Calibri" w:hAnsi="Calibri" w:cs="Calibri"/>
          <w:b/>
          <w:color w:val="auto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auto"/>
          <w:sz w:val="28"/>
          <w:szCs w:val="28"/>
        </w:rPr>
        <w:t xml:space="preserve">SYNTHESE DU </w:t>
      </w:r>
      <w:r w:rsidRPr="0054674E">
        <w:rPr>
          <w:rFonts w:ascii="Calibri" w:hAnsi="Calibri" w:cs="Calibri"/>
          <w:b/>
          <w:color w:val="auto"/>
          <w:sz w:val="28"/>
          <w:szCs w:val="28"/>
        </w:rPr>
        <w:t xml:space="preserve">GUIDE D’ANALYSE </w:t>
      </w:r>
      <w:bookmarkEnd w:id="8"/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  <w:gridCol w:w="6928"/>
      </w:tblGrid>
      <w:tr w:rsidR="00106F95" w:rsidRPr="00356F91" w:rsidTr="00AC533D">
        <w:tc>
          <w:tcPr>
            <w:tcW w:w="3132" w:type="dxa"/>
            <w:vAlign w:val="center"/>
          </w:tcPr>
          <w:p w:rsidR="00106F95" w:rsidRPr="00356F91" w:rsidRDefault="00106F95" w:rsidP="00AC533D">
            <w:pPr>
              <w:pStyle w:val="Corpsdutexte60"/>
              <w:shd w:val="clear" w:color="auto" w:fill="auto"/>
              <w:spacing w:line="240" w:lineRule="auto"/>
              <w:ind w:firstLine="0"/>
              <w:jc w:val="left"/>
              <w:rPr>
                <w:rFonts w:ascii="Calibri" w:eastAsia="Arial" w:hAnsi="Calibri" w:cs="Calibri"/>
                <w:b/>
                <w:i w:val="0"/>
                <w:sz w:val="24"/>
                <w:szCs w:val="24"/>
                <w:lang w:val="fr-FR"/>
              </w:rPr>
            </w:pPr>
            <w:r w:rsidRPr="00356F91">
              <w:rPr>
                <w:rStyle w:val="Corpsdutexte6Exact"/>
                <w:rFonts w:ascii="Calibri" w:hAnsi="Calibri" w:cs="Calibri"/>
                <w:b/>
                <w:i w:val="0"/>
                <w:sz w:val="24"/>
                <w:szCs w:val="24"/>
                <w:lang w:val="fr-FR"/>
              </w:rPr>
              <w:t xml:space="preserve">Examen du compte de résultat                                                                                  </w:t>
            </w:r>
          </w:p>
        </w:tc>
        <w:tc>
          <w:tcPr>
            <w:tcW w:w="6928" w:type="dxa"/>
          </w:tcPr>
          <w:p w:rsidR="00106F95" w:rsidRPr="00356F91" w:rsidRDefault="00106F95" w:rsidP="00106F95">
            <w:pPr>
              <w:pStyle w:val="Corpsdutexte60"/>
              <w:numPr>
                <w:ilvl w:val="0"/>
                <w:numId w:val="12"/>
              </w:numPr>
              <w:shd w:val="clear" w:color="auto" w:fill="auto"/>
              <w:spacing w:line="240" w:lineRule="auto"/>
              <w:jc w:val="left"/>
              <w:rPr>
                <w:rStyle w:val="Corpsdutexte6Exact"/>
                <w:rFonts w:ascii="Calibri" w:hAnsi="Calibri" w:cs="Calibri"/>
                <w:i w:val="0"/>
                <w:sz w:val="24"/>
                <w:szCs w:val="24"/>
                <w:lang w:val="fr-FR"/>
              </w:rPr>
            </w:pPr>
            <w:r w:rsidRPr="00356F91">
              <w:rPr>
                <w:rStyle w:val="Corpsdutexte6Exact"/>
                <w:rFonts w:ascii="Calibri" w:hAnsi="Calibri" w:cs="Calibri"/>
                <w:i w:val="0"/>
                <w:sz w:val="24"/>
                <w:szCs w:val="24"/>
                <w:lang w:val="fr-FR"/>
              </w:rPr>
              <w:t xml:space="preserve">Évolution du chiffre d’affaires HT </w:t>
            </w:r>
          </w:p>
          <w:p w:rsidR="00106F95" w:rsidRPr="00356F91" w:rsidRDefault="00106F95" w:rsidP="00106F95">
            <w:pPr>
              <w:pStyle w:val="Corpsdutexte60"/>
              <w:numPr>
                <w:ilvl w:val="0"/>
                <w:numId w:val="12"/>
              </w:numPr>
              <w:shd w:val="clear" w:color="auto" w:fill="auto"/>
              <w:spacing w:line="240" w:lineRule="auto"/>
              <w:jc w:val="left"/>
              <w:rPr>
                <w:rStyle w:val="Corpsdutexte6Exact"/>
                <w:rFonts w:ascii="Calibri" w:hAnsi="Calibri" w:cs="Calibri"/>
                <w:i w:val="0"/>
                <w:sz w:val="24"/>
                <w:szCs w:val="24"/>
                <w:lang w:val="fr-FR"/>
              </w:rPr>
            </w:pPr>
            <w:r w:rsidRPr="00356F91">
              <w:rPr>
                <w:rStyle w:val="Corpsdutexte6Exact"/>
                <w:rFonts w:ascii="Calibri" w:hAnsi="Calibri" w:cs="Calibri"/>
                <w:i w:val="0"/>
                <w:sz w:val="24"/>
                <w:szCs w:val="24"/>
                <w:lang w:val="fr-FR"/>
              </w:rPr>
              <w:t xml:space="preserve">Évolution du résultat net, du résultat courant </w:t>
            </w:r>
          </w:p>
          <w:p w:rsidR="00106F95" w:rsidRPr="00356F91" w:rsidRDefault="00106F95" w:rsidP="00106F95">
            <w:pPr>
              <w:pStyle w:val="Corpsdutexte60"/>
              <w:numPr>
                <w:ilvl w:val="0"/>
                <w:numId w:val="12"/>
              </w:numPr>
              <w:shd w:val="clear" w:color="auto" w:fill="auto"/>
              <w:spacing w:line="240" w:lineRule="auto"/>
              <w:jc w:val="left"/>
              <w:rPr>
                <w:rStyle w:val="Corpsdutexte6Exact"/>
                <w:rFonts w:ascii="Calibri" w:hAnsi="Calibri" w:cs="Calibri"/>
                <w:i w:val="0"/>
                <w:sz w:val="24"/>
                <w:szCs w:val="24"/>
                <w:lang w:val="fr-FR"/>
              </w:rPr>
            </w:pPr>
            <w:r w:rsidRPr="00356F91">
              <w:rPr>
                <w:rStyle w:val="Corpsdutexte6Exact"/>
                <w:rFonts w:ascii="Calibri" w:hAnsi="Calibri" w:cs="Calibri"/>
                <w:i w:val="0"/>
                <w:sz w:val="24"/>
                <w:szCs w:val="24"/>
                <w:lang w:val="fr-FR"/>
              </w:rPr>
              <w:t>Étude des soldes intermédiaires de gestion</w:t>
            </w:r>
          </w:p>
          <w:p w:rsidR="00106F95" w:rsidRPr="00356F91" w:rsidRDefault="00106F95" w:rsidP="00106F95">
            <w:pPr>
              <w:pStyle w:val="Corpsdutexte60"/>
              <w:numPr>
                <w:ilvl w:val="0"/>
                <w:numId w:val="12"/>
              </w:numPr>
              <w:shd w:val="clear" w:color="auto" w:fill="auto"/>
              <w:spacing w:line="240" w:lineRule="auto"/>
              <w:jc w:val="left"/>
              <w:rPr>
                <w:rStyle w:val="Corpsdutexte6Exact"/>
                <w:rFonts w:ascii="Calibri" w:hAnsi="Calibri" w:cs="Calibri"/>
                <w:i w:val="0"/>
                <w:sz w:val="24"/>
                <w:szCs w:val="24"/>
                <w:lang w:val="fr-FR"/>
              </w:rPr>
            </w:pPr>
            <w:r w:rsidRPr="00356F91">
              <w:rPr>
                <w:rStyle w:val="Corpsdutexte6Exact"/>
                <w:rFonts w:ascii="Calibri" w:hAnsi="Calibri" w:cs="Calibri"/>
                <w:i w:val="0"/>
                <w:sz w:val="24"/>
                <w:szCs w:val="24"/>
                <w:lang w:val="fr-FR"/>
              </w:rPr>
              <w:t>Structure des coûts de l’entreprise</w:t>
            </w:r>
          </w:p>
          <w:p w:rsidR="00106F95" w:rsidRPr="00356F91" w:rsidRDefault="00106F95" w:rsidP="00106F95">
            <w:pPr>
              <w:pStyle w:val="Paragraphedeliste"/>
              <w:numPr>
                <w:ilvl w:val="0"/>
                <w:numId w:val="12"/>
              </w:numPr>
              <w:spacing w:after="0" w:line="240" w:lineRule="auto"/>
              <w:rPr>
                <w:rFonts w:ascii="Calibri" w:hAnsi="Calibri" w:cs="Calibri"/>
                <w:sz w:val="28"/>
              </w:rPr>
            </w:pPr>
            <w:r w:rsidRPr="00356F91">
              <w:rPr>
                <w:rStyle w:val="Corpsdutexte6Exact"/>
                <w:rFonts w:ascii="Calibri" w:hAnsi="Calibri" w:cs="Calibri"/>
                <w:sz w:val="24"/>
                <w:szCs w:val="24"/>
              </w:rPr>
              <w:t>Évolution de la capacité d’autofinancement</w:t>
            </w:r>
          </w:p>
        </w:tc>
      </w:tr>
      <w:tr w:rsidR="00106F95" w:rsidRPr="00356F91" w:rsidTr="00AC533D">
        <w:tc>
          <w:tcPr>
            <w:tcW w:w="3132" w:type="dxa"/>
            <w:vAlign w:val="center"/>
          </w:tcPr>
          <w:p w:rsidR="00106F95" w:rsidRPr="00356F91" w:rsidRDefault="00106F95" w:rsidP="00AC533D">
            <w:pPr>
              <w:spacing w:after="0" w:line="240" w:lineRule="auto"/>
              <w:rPr>
                <w:rFonts w:cs="Calibri"/>
                <w:b/>
                <w:sz w:val="28"/>
              </w:rPr>
            </w:pPr>
            <w:r w:rsidRPr="00356F91">
              <w:rPr>
                <w:rStyle w:val="Corpsdutexte6Exact"/>
                <w:rFonts w:ascii="Calibri" w:hAnsi="Calibri" w:cs="Calibri"/>
                <w:b/>
                <w:sz w:val="24"/>
                <w:szCs w:val="24"/>
              </w:rPr>
              <w:t xml:space="preserve">Examen de bilan                                                                     </w:t>
            </w:r>
          </w:p>
        </w:tc>
        <w:tc>
          <w:tcPr>
            <w:tcW w:w="6928" w:type="dxa"/>
          </w:tcPr>
          <w:p w:rsidR="00106F95" w:rsidRPr="00356F91" w:rsidRDefault="00106F95" w:rsidP="00106F95">
            <w:pPr>
              <w:pStyle w:val="Corpsdutexte60"/>
              <w:numPr>
                <w:ilvl w:val="0"/>
                <w:numId w:val="13"/>
              </w:numPr>
              <w:shd w:val="clear" w:color="auto" w:fill="auto"/>
              <w:spacing w:line="240" w:lineRule="auto"/>
              <w:jc w:val="left"/>
              <w:rPr>
                <w:rFonts w:ascii="Calibri" w:hAnsi="Calibri" w:cs="Calibri"/>
                <w:i w:val="0"/>
                <w:sz w:val="24"/>
                <w:szCs w:val="24"/>
                <w:lang w:val="fr-FR"/>
              </w:rPr>
            </w:pPr>
            <w:r w:rsidRPr="00356F91">
              <w:rPr>
                <w:rStyle w:val="Corpsdutexte6Exact"/>
                <w:rFonts w:ascii="Calibri" w:hAnsi="Calibri" w:cs="Calibri"/>
                <w:i w:val="0"/>
                <w:sz w:val="24"/>
                <w:szCs w:val="24"/>
                <w:lang w:val="fr-FR"/>
              </w:rPr>
              <w:t>Étude des équilibres financiers : fonds de roulement, besoins en fonds de roulement, trésorerie</w:t>
            </w:r>
          </w:p>
          <w:p w:rsidR="00106F95" w:rsidRPr="00356F91" w:rsidRDefault="00106F95" w:rsidP="00106F95">
            <w:pPr>
              <w:pStyle w:val="Corpsdutexte60"/>
              <w:numPr>
                <w:ilvl w:val="0"/>
                <w:numId w:val="13"/>
              </w:numPr>
              <w:shd w:val="clear" w:color="auto" w:fill="auto"/>
              <w:spacing w:line="240" w:lineRule="auto"/>
              <w:jc w:val="left"/>
              <w:rPr>
                <w:rFonts w:ascii="Calibri" w:hAnsi="Calibri" w:cs="Calibri"/>
                <w:i w:val="0"/>
                <w:sz w:val="24"/>
                <w:szCs w:val="24"/>
                <w:lang w:val="fr-FR"/>
              </w:rPr>
            </w:pPr>
            <w:r w:rsidRPr="00356F91">
              <w:rPr>
                <w:rStyle w:val="Corpsdutexte6Exact"/>
                <w:rFonts w:ascii="Calibri" w:hAnsi="Calibri" w:cs="Calibri"/>
                <w:i w:val="0"/>
                <w:sz w:val="24"/>
                <w:szCs w:val="24"/>
                <w:lang w:val="fr-FR"/>
              </w:rPr>
              <w:t>Analyse de la structure financière</w:t>
            </w:r>
          </w:p>
          <w:p w:rsidR="00106F95" w:rsidRPr="00356F91" w:rsidRDefault="00106F95" w:rsidP="00106F95">
            <w:pPr>
              <w:pStyle w:val="Corpsdutexte60"/>
              <w:numPr>
                <w:ilvl w:val="0"/>
                <w:numId w:val="13"/>
              </w:numPr>
              <w:shd w:val="clear" w:color="auto" w:fill="auto"/>
              <w:spacing w:line="240" w:lineRule="auto"/>
              <w:jc w:val="left"/>
              <w:rPr>
                <w:rFonts w:ascii="Calibri" w:hAnsi="Calibri" w:cs="Calibri"/>
                <w:i w:val="0"/>
                <w:sz w:val="24"/>
                <w:szCs w:val="24"/>
                <w:lang w:val="fr-FR"/>
              </w:rPr>
            </w:pPr>
            <w:r w:rsidRPr="00356F91">
              <w:rPr>
                <w:rStyle w:val="Corpsdutexte6Exact"/>
                <w:rFonts w:ascii="Calibri" w:hAnsi="Calibri" w:cs="Calibri"/>
                <w:i w:val="0"/>
                <w:sz w:val="24"/>
                <w:szCs w:val="24"/>
                <w:lang w:val="fr-FR"/>
              </w:rPr>
              <w:t>Évolution de l’excédent de trésorerie d’exploitation</w:t>
            </w:r>
          </w:p>
          <w:p w:rsidR="00106F95" w:rsidRPr="00356F91" w:rsidRDefault="00106F95" w:rsidP="00106F95">
            <w:pPr>
              <w:pStyle w:val="Paragraphedeliste"/>
              <w:numPr>
                <w:ilvl w:val="0"/>
                <w:numId w:val="13"/>
              </w:numPr>
              <w:spacing w:after="0" w:line="240" w:lineRule="auto"/>
              <w:rPr>
                <w:rFonts w:ascii="Calibri" w:hAnsi="Calibri" w:cs="Calibri"/>
                <w:sz w:val="28"/>
              </w:rPr>
            </w:pPr>
            <w:r w:rsidRPr="00356F91">
              <w:rPr>
                <w:rStyle w:val="Corpsdutexte6Exact"/>
                <w:rFonts w:ascii="Calibri" w:hAnsi="Calibri" w:cs="Calibri"/>
                <w:i/>
                <w:sz w:val="24"/>
                <w:szCs w:val="24"/>
              </w:rPr>
              <w:t>Évaluation de la solvabilité et de la liquidité</w:t>
            </w:r>
          </w:p>
        </w:tc>
      </w:tr>
      <w:tr w:rsidR="00106F95" w:rsidRPr="00356F91" w:rsidTr="00AC533D">
        <w:trPr>
          <w:trHeight w:val="1134"/>
        </w:trPr>
        <w:tc>
          <w:tcPr>
            <w:tcW w:w="3132" w:type="dxa"/>
            <w:vAlign w:val="center"/>
          </w:tcPr>
          <w:p w:rsidR="00106F95" w:rsidRPr="00356F91" w:rsidRDefault="00106F95" w:rsidP="00AC533D">
            <w:pPr>
              <w:spacing w:after="0" w:line="240" w:lineRule="auto"/>
              <w:rPr>
                <w:rFonts w:cs="Calibri"/>
                <w:b/>
                <w:sz w:val="28"/>
              </w:rPr>
            </w:pPr>
            <w:r w:rsidRPr="00356F91">
              <w:rPr>
                <w:rFonts w:cs="Calibri"/>
                <w:b/>
                <w:sz w:val="24"/>
                <w:szCs w:val="24"/>
              </w:rPr>
              <w:t xml:space="preserve">Etude tableau de flux de trésorerie                                                                                                                              </w:t>
            </w:r>
          </w:p>
        </w:tc>
        <w:tc>
          <w:tcPr>
            <w:tcW w:w="6928" w:type="dxa"/>
          </w:tcPr>
          <w:p w:rsidR="00106F95" w:rsidRPr="00356F91" w:rsidRDefault="00106F95" w:rsidP="00106F95">
            <w:pPr>
              <w:pStyle w:val="Paragraphedeliste"/>
              <w:numPr>
                <w:ilvl w:val="0"/>
                <w:numId w:val="14"/>
              </w:numPr>
              <w:tabs>
                <w:tab w:val="left" w:pos="248"/>
              </w:tabs>
              <w:spacing w:after="0" w:line="240" w:lineRule="auto"/>
              <w:rPr>
                <w:rFonts w:ascii="Calibri" w:hAnsi="Calibri" w:cs="Calibri"/>
              </w:rPr>
            </w:pPr>
            <w:r w:rsidRPr="00356F91">
              <w:rPr>
                <w:rFonts w:ascii="Calibri" w:hAnsi="Calibri" w:cs="Calibri"/>
              </w:rPr>
              <w:t>Etude des flux financiers</w:t>
            </w:r>
          </w:p>
          <w:p w:rsidR="00106F95" w:rsidRPr="00356F91" w:rsidRDefault="00106F95" w:rsidP="00106F95">
            <w:pPr>
              <w:pStyle w:val="Paragraphedeliste"/>
              <w:numPr>
                <w:ilvl w:val="0"/>
                <w:numId w:val="14"/>
              </w:numPr>
              <w:tabs>
                <w:tab w:val="left" w:pos="248"/>
              </w:tabs>
              <w:spacing w:after="0" w:line="240" w:lineRule="auto"/>
              <w:rPr>
                <w:rFonts w:ascii="Calibri" w:hAnsi="Calibri" w:cs="Calibri"/>
              </w:rPr>
            </w:pPr>
            <w:r w:rsidRPr="00356F91">
              <w:rPr>
                <w:rFonts w:ascii="Calibri" w:hAnsi="Calibri" w:cs="Calibri"/>
              </w:rPr>
              <w:t>Appréciation de la politique financière (Financement, activités opérationnelles, Investissement)</w:t>
            </w:r>
          </w:p>
          <w:p w:rsidR="00106F95" w:rsidRPr="00356F91" w:rsidRDefault="00106F95" w:rsidP="00106F95">
            <w:pPr>
              <w:pStyle w:val="Paragraphedeliste"/>
              <w:numPr>
                <w:ilvl w:val="0"/>
                <w:numId w:val="14"/>
              </w:numPr>
              <w:spacing w:after="0" w:line="240" w:lineRule="auto"/>
              <w:rPr>
                <w:rFonts w:ascii="Calibri" w:hAnsi="Calibri" w:cs="Calibri"/>
                <w:sz w:val="28"/>
              </w:rPr>
            </w:pPr>
            <w:r w:rsidRPr="00356F91">
              <w:rPr>
                <w:rFonts w:ascii="Calibri" w:hAnsi="Calibri" w:cs="Calibri"/>
              </w:rPr>
              <w:t>Analyse prévisionnelle</w:t>
            </w:r>
          </w:p>
        </w:tc>
      </w:tr>
    </w:tbl>
    <w:p w:rsidR="00106F95" w:rsidRPr="0054674E" w:rsidRDefault="00106F95" w:rsidP="00106F95">
      <w:pPr>
        <w:spacing w:before="240" w:after="0"/>
        <w:jc w:val="both"/>
        <w:rPr>
          <w:rFonts w:cs="Calibri"/>
          <w:sz w:val="24"/>
          <w:szCs w:val="24"/>
        </w:rPr>
      </w:pPr>
      <w:r w:rsidRPr="005430D8">
        <w:rPr>
          <w:rFonts w:cs="Calibri"/>
          <w:b/>
          <w:sz w:val="24"/>
          <w:szCs w:val="24"/>
          <w:u w:val="single"/>
        </w:rPr>
        <w:t>NB</w:t>
      </w:r>
      <w:r>
        <w:rPr>
          <w:rFonts w:cs="Calibri"/>
          <w:sz w:val="24"/>
          <w:szCs w:val="24"/>
        </w:rPr>
        <w:t xml:space="preserve"> : </w:t>
      </w:r>
      <w:r w:rsidRPr="0054674E">
        <w:rPr>
          <w:rFonts w:cs="Calibri"/>
          <w:sz w:val="24"/>
          <w:szCs w:val="24"/>
        </w:rPr>
        <w:t>Il est indiqué d’établir un tableau de bord qui regroupe les indications les plus significatives pour suivre la situation de l’entreprise, l’évolution d’activité, la dynamique financière, etc</w:t>
      </w:r>
      <w:proofErr w:type="gramStart"/>
      <w:r w:rsidRPr="0054674E">
        <w:rPr>
          <w:rFonts w:cs="Calibri"/>
          <w:sz w:val="24"/>
          <w:szCs w:val="24"/>
        </w:rPr>
        <w:t>…,  et</w:t>
      </w:r>
      <w:proofErr w:type="gramEnd"/>
      <w:r w:rsidRPr="0054674E">
        <w:rPr>
          <w:rFonts w:cs="Calibri"/>
          <w:sz w:val="24"/>
          <w:szCs w:val="24"/>
        </w:rPr>
        <w:t xml:space="preserve"> les comparer aux ratios du même secteur. A titre d’exemple, le tableau de bord peut regrouper les ratios concernant : </w:t>
      </w:r>
    </w:p>
    <w:p w:rsidR="00106F95" w:rsidRPr="0054674E" w:rsidRDefault="00106F95" w:rsidP="00106F95">
      <w:pPr>
        <w:pStyle w:val="Paragraphedeliste"/>
        <w:numPr>
          <w:ilvl w:val="0"/>
          <w:numId w:val="15"/>
        </w:numPr>
        <w:spacing w:after="160" w:line="259" w:lineRule="auto"/>
        <w:jc w:val="both"/>
        <w:rPr>
          <w:rFonts w:ascii="Calibri" w:hAnsi="Calibri" w:cs="Calibri"/>
        </w:rPr>
      </w:pPr>
      <w:proofErr w:type="gramStart"/>
      <w:r w:rsidRPr="0054674E">
        <w:rPr>
          <w:rFonts w:ascii="Calibri" w:hAnsi="Calibri" w:cs="Calibri"/>
        </w:rPr>
        <w:t>l’activité</w:t>
      </w:r>
      <w:proofErr w:type="gramEnd"/>
      <w:r w:rsidRPr="0054674E">
        <w:rPr>
          <w:rFonts w:ascii="Calibri" w:hAnsi="Calibri" w:cs="Calibri"/>
        </w:rPr>
        <w:t>,</w:t>
      </w:r>
    </w:p>
    <w:p w:rsidR="00106F95" w:rsidRPr="0054674E" w:rsidRDefault="00106F95" w:rsidP="00106F95">
      <w:pPr>
        <w:pStyle w:val="Paragraphedeliste"/>
        <w:numPr>
          <w:ilvl w:val="0"/>
          <w:numId w:val="15"/>
        </w:numPr>
        <w:spacing w:after="160" w:line="259" w:lineRule="auto"/>
        <w:jc w:val="both"/>
        <w:rPr>
          <w:rFonts w:ascii="Calibri" w:hAnsi="Calibri" w:cs="Calibri"/>
        </w:rPr>
      </w:pPr>
      <w:proofErr w:type="gramStart"/>
      <w:r w:rsidRPr="0054674E">
        <w:rPr>
          <w:rFonts w:ascii="Calibri" w:hAnsi="Calibri" w:cs="Calibri"/>
        </w:rPr>
        <w:t>la</w:t>
      </w:r>
      <w:proofErr w:type="gramEnd"/>
      <w:r w:rsidRPr="0054674E">
        <w:rPr>
          <w:rFonts w:ascii="Calibri" w:hAnsi="Calibri" w:cs="Calibri"/>
        </w:rPr>
        <w:t xml:space="preserve"> rentabilité,</w:t>
      </w:r>
    </w:p>
    <w:p w:rsidR="00106F95" w:rsidRPr="0054674E" w:rsidRDefault="00106F95" w:rsidP="00106F95">
      <w:pPr>
        <w:pStyle w:val="Paragraphedeliste"/>
        <w:numPr>
          <w:ilvl w:val="0"/>
          <w:numId w:val="15"/>
        </w:numPr>
        <w:spacing w:after="160" w:line="259" w:lineRule="auto"/>
        <w:jc w:val="both"/>
        <w:rPr>
          <w:rFonts w:ascii="Calibri" w:hAnsi="Calibri" w:cs="Calibri"/>
        </w:rPr>
      </w:pPr>
      <w:proofErr w:type="gramStart"/>
      <w:r w:rsidRPr="0054674E">
        <w:rPr>
          <w:rFonts w:ascii="Calibri" w:hAnsi="Calibri" w:cs="Calibri"/>
        </w:rPr>
        <w:t>les</w:t>
      </w:r>
      <w:proofErr w:type="gramEnd"/>
      <w:r w:rsidRPr="0054674E">
        <w:rPr>
          <w:rFonts w:ascii="Calibri" w:hAnsi="Calibri" w:cs="Calibri"/>
        </w:rPr>
        <w:t xml:space="preserve"> décisions d’investissement et de financement, </w:t>
      </w:r>
    </w:p>
    <w:p w:rsidR="00106F95" w:rsidRPr="0054674E" w:rsidRDefault="00106F95" w:rsidP="00106F95">
      <w:pPr>
        <w:pStyle w:val="Paragraphedeliste"/>
        <w:numPr>
          <w:ilvl w:val="0"/>
          <w:numId w:val="15"/>
        </w:numPr>
        <w:spacing w:after="160" w:line="259" w:lineRule="auto"/>
        <w:jc w:val="both"/>
        <w:rPr>
          <w:rFonts w:ascii="Calibri" w:hAnsi="Calibri" w:cs="Calibri"/>
        </w:rPr>
      </w:pPr>
      <w:proofErr w:type="gramStart"/>
      <w:r w:rsidRPr="0054674E">
        <w:rPr>
          <w:rFonts w:ascii="Calibri" w:hAnsi="Calibri" w:cs="Calibri"/>
        </w:rPr>
        <w:t>la</w:t>
      </w:r>
      <w:proofErr w:type="gramEnd"/>
      <w:r w:rsidRPr="0054674E">
        <w:rPr>
          <w:rFonts w:ascii="Calibri" w:hAnsi="Calibri" w:cs="Calibri"/>
        </w:rPr>
        <w:t xml:space="preserve"> structure financière</w:t>
      </w:r>
      <w:r>
        <w:rPr>
          <w:rFonts w:ascii="Calibri" w:hAnsi="Calibri" w:cs="Calibri"/>
        </w:rPr>
        <w:t xml:space="preserve"> (ratio structure, ratio d’activité)</w:t>
      </w:r>
      <w:r w:rsidRPr="0054674E">
        <w:rPr>
          <w:rFonts w:ascii="Calibri" w:hAnsi="Calibri" w:cs="Calibri"/>
        </w:rPr>
        <w:t>.</w:t>
      </w:r>
    </w:p>
    <w:p w:rsidR="0006117D" w:rsidRPr="0006117D" w:rsidRDefault="0006117D" w:rsidP="0006117D">
      <w:pPr>
        <w:jc w:val="both"/>
        <w:rPr>
          <w:rFonts w:cstheme="minorHAnsi"/>
        </w:rPr>
      </w:pPr>
    </w:p>
    <w:sectPr w:rsidR="0006117D" w:rsidRPr="0006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77AAC"/>
    <w:multiLevelType w:val="hybridMultilevel"/>
    <w:tmpl w:val="8948EF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0422"/>
    <w:multiLevelType w:val="hybridMultilevel"/>
    <w:tmpl w:val="B232C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05CA8"/>
    <w:multiLevelType w:val="hybridMultilevel"/>
    <w:tmpl w:val="CF6ACA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7573"/>
    <w:multiLevelType w:val="hybridMultilevel"/>
    <w:tmpl w:val="D28825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95A"/>
    <w:multiLevelType w:val="hybridMultilevel"/>
    <w:tmpl w:val="3F7E24E0"/>
    <w:lvl w:ilvl="0" w:tplc="0714D8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842DC"/>
    <w:multiLevelType w:val="multilevel"/>
    <w:tmpl w:val="7A76626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C891C05"/>
    <w:multiLevelType w:val="hybridMultilevel"/>
    <w:tmpl w:val="36560C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F172B"/>
    <w:multiLevelType w:val="hybridMultilevel"/>
    <w:tmpl w:val="CD8037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23334"/>
    <w:multiLevelType w:val="hybridMultilevel"/>
    <w:tmpl w:val="12E415C6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26AD8"/>
    <w:multiLevelType w:val="hybridMultilevel"/>
    <w:tmpl w:val="13946B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1586A"/>
    <w:multiLevelType w:val="hybridMultilevel"/>
    <w:tmpl w:val="747653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495DA7"/>
    <w:multiLevelType w:val="hybridMultilevel"/>
    <w:tmpl w:val="308E000A"/>
    <w:lvl w:ilvl="0" w:tplc="37065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E64C4"/>
    <w:multiLevelType w:val="hybridMultilevel"/>
    <w:tmpl w:val="A2D2F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37C7A"/>
    <w:multiLevelType w:val="hybridMultilevel"/>
    <w:tmpl w:val="36560C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F5006"/>
    <w:multiLevelType w:val="hybridMultilevel"/>
    <w:tmpl w:val="ABCAD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  <w:num w:numId="12">
    <w:abstractNumId w:val="14"/>
  </w:num>
  <w:num w:numId="13">
    <w:abstractNumId w:val="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A1"/>
    <w:rsid w:val="0006117D"/>
    <w:rsid w:val="000E22C7"/>
    <w:rsid w:val="00106F95"/>
    <w:rsid w:val="00172393"/>
    <w:rsid w:val="001E7E11"/>
    <w:rsid w:val="0025717E"/>
    <w:rsid w:val="002970A2"/>
    <w:rsid w:val="002B69D9"/>
    <w:rsid w:val="002E32E2"/>
    <w:rsid w:val="00365FA1"/>
    <w:rsid w:val="00377CF6"/>
    <w:rsid w:val="0043034B"/>
    <w:rsid w:val="00504086"/>
    <w:rsid w:val="0056580D"/>
    <w:rsid w:val="005A318D"/>
    <w:rsid w:val="00616AFB"/>
    <w:rsid w:val="006848E5"/>
    <w:rsid w:val="00696DF6"/>
    <w:rsid w:val="00864459"/>
    <w:rsid w:val="009569A1"/>
    <w:rsid w:val="009622FA"/>
    <w:rsid w:val="009739EF"/>
    <w:rsid w:val="00991E1D"/>
    <w:rsid w:val="0099770D"/>
    <w:rsid w:val="00AC194E"/>
    <w:rsid w:val="00AD2AF6"/>
    <w:rsid w:val="00BB41BF"/>
    <w:rsid w:val="00C470B1"/>
    <w:rsid w:val="00C92B47"/>
    <w:rsid w:val="00EB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9BC88B7"/>
  <w15:chartTrackingRefBased/>
  <w15:docId w15:val="{01D3DC2A-1E0F-4C0A-B02F-9F5957D1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9A1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6117D"/>
    <w:pPr>
      <w:keepNext/>
      <w:keepLines/>
      <w:spacing w:before="240" w:after="0" w:line="276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Bullets,List Paragraph (numbered (a)),References,Liste 1,List Paragraph nowy,Numbered List Paragraph,Medium Grid 1 - Accent 21,ReferencesCxSpLast,Paragraphe  revu,Normal 2,Colorful List - Accent 12,Main numbered paragraph,Bullet L1"/>
    <w:basedOn w:val="Normal"/>
    <w:link w:val="ParagraphedelisteCar"/>
    <w:uiPriority w:val="34"/>
    <w:qFormat/>
    <w:rsid w:val="009569A1"/>
    <w:pPr>
      <w:spacing w:after="200" w:line="276" w:lineRule="auto"/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6117D"/>
    <w:rPr>
      <w:rFonts w:ascii="Cambria" w:eastAsia="Times New Roman" w:hAnsi="Cambria" w:cs="Times New Roman"/>
      <w:color w:val="365F91"/>
      <w:sz w:val="32"/>
      <w:szCs w:val="32"/>
      <w:lang w:val="fr-FR"/>
    </w:rPr>
  </w:style>
  <w:style w:type="character" w:customStyle="1" w:styleId="ParagraphedelisteCar">
    <w:name w:val="Paragraphe de liste Car"/>
    <w:aliases w:val="Bullets Car,List Paragraph (numbered (a)) Car,References Car,Liste 1 Car,List Paragraph nowy Car,Numbered List Paragraph Car,Medium Grid 1 - Accent 21 Car,ReferencesCxSpLast Car,Paragraphe  revu Car,Normal 2 Car,Bullet L1 Car"/>
    <w:link w:val="Paragraphedeliste"/>
    <w:uiPriority w:val="34"/>
    <w:locked/>
    <w:rsid w:val="00106F95"/>
    <w:rPr>
      <w:lang w:val="fr-FR"/>
    </w:rPr>
  </w:style>
  <w:style w:type="character" w:customStyle="1" w:styleId="Corpsdutexte6">
    <w:name w:val="Corps du texte (6)_"/>
    <w:link w:val="Corpsdutexte60"/>
    <w:rsid w:val="00106F95"/>
    <w:rPr>
      <w:rFonts w:ascii="Times New Roman" w:eastAsia="Times New Roman" w:hAnsi="Times New Roman" w:cs="Times New Roman"/>
      <w:i/>
      <w:iCs/>
      <w:sz w:val="18"/>
      <w:szCs w:val="18"/>
      <w:shd w:val="clear" w:color="auto" w:fill="FFFFFF"/>
    </w:rPr>
  </w:style>
  <w:style w:type="paragraph" w:customStyle="1" w:styleId="Corpsdutexte60">
    <w:name w:val="Corps du texte (6)"/>
    <w:basedOn w:val="Normal"/>
    <w:link w:val="Corpsdutexte6"/>
    <w:rsid w:val="00106F95"/>
    <w:pPr>
      <w:widowControl w:val="0"/>
      <w:shd w:val="clear" w:color="auto" w:fill="FFFFFF"/>
      <w:spacing w:after="0" w:line="254" w:lineRule="exact"/>
      <w:ind w:hanging="2040"/>
      <w:jc w:val="both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Corpsdutexte6Exact">
    <w:name w:val="Corps du texte (6) Exact"/>
    <w:rsid w:val="00106F95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E4595-F434-4369-A6A5-54E8EC60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NACOULMA Lassané</dc:creator>
  <cp:keywords/>
  <dc:description/>
  <cp:lastModifiedBy>NACOULMA Lassané</cp:lastModifiedBy>
  <cp:revision>11</cp:revision>
  <dcterms:created xsi:type="dcterms:W3CDTF">2018-09-11T17:26:00Z</dcterms:created>
  <dcterms:modified xsi:type="dcterms:W3CDTF">2018-09-12T15:32:00Z</dcterms:modified>
</cp:coreProperties>
</file>