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odèles-décritures-comptables-syscohada"/>
    <w:p>
      <w:pPr>
        <w:pStyle w:val="Heading1"/>
      </w:pPr>
      <w:r>
        <w:t xml:space="preserve">Modèles d’écritures comptables (SYSCOHADA)</w:t>
      </w:r>
    </w:p>
    <w:p>
      <w:pPr>
        <w:pStyle w:val="FirstParagraph"/>
      </w:pPr>
      <w:r>
        <w:t xml:space="preserve">Ce document présente des modèles d’écritures pour différentes opérations courantes. Ils servent de guide pour structurer vos propres enregistrements.</w:t>
      </w:r>
    </w:p>
    <w:bookmarkStart w:id="22" w:name="constitution-du-capital"/>
    <w:p>
      <w:pPr>
        <w:pStyle w:val="Heading2"/>
      </w:pPr>
      <w:r>
        <w:t xml:space="preserve">1. Constitution du capital</w:t>
      </w:r>
    </w:p>
    <w:bookmarkStart w:id="20" w:name="souscription-en-numéraire"/>
    <w:p>
      <w:pPr>
        <w:pStyle w:val="Heading3"/>
      </w:pPr>
      <w:r>
        <w:t xml:space="preserve">Souscription en numéraire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512 – Banque (montant versé)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456 – Associés – Versements appelés (si versement partiel)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101 – Capital social (valeur nominale)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104 – Primes d’émission (le cas échéant)</w:t>
      </w:r>
    </w:p>
    <w:bookmarkEnd w:id="20"/>
    <w:bookmarkStart w:id="21" w:name="apport-en-nature"/>
    <w:p>
      <w:pPr>
        <w:pStyle w:val="Heading3"/>
      </w:pPr>
      <w:r>
        <w:t xml:space="preserve">Apport en nature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2xx – Immobilisation concernée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101 – Capital social</w:t>
      </w:r>
    </w:p>
    <w:bookmarkEnd w:id="21"/>
    <w:bookmarkEnd w:id="22"/>
    <w:bookmarkStart w:id="25" w:name="achats-de-marchandises-ou-de-matières"/>
    <w:p>
      <w:pPr>
        <w:pStyle w:val="Heading2"/>
      </w:pPr>
      <w:r>
        <w:t xml:space="preserve">2. Achats de marchandises ou de matières</w:t>
      </w:r>
    </w:p>
    <w:bookmarkStart w:id="23" w:name="achat-à-crédit-tva-déductible"/>
    <w:p>
      <w:pPr>
        <w:pStyle w:val="Heading3"/>
      </w:pPr>
      <w:r>
        <w:t xml:space="preserve">Achat à crédit (TVA déductible)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601 – Achats de marchandises (HT)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345 – TVA déductible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401 – Fournisseurs (TTC)</w:t>
      </w:r>
    </w:p>
    <w:bookmarkEnd w:id="23"/>
    <w:bookmarkStart w:id="24" w:name="paiement-de-la-facture-fournisseur"/>
    <w:p>
      <w:pPr>
        <w:pStyle w:val="Heading3"/>
      </w:pPr>
      <w:r>
        <w:t xml:space="preserve">Paiement de la facture fournisseur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401 – Fournisseurs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512 – Banque</w:t>
      </w:r>
    </w:p>
    <w:bookmarkEnd w:id="24"/>
    <w:bookmarkEnd w:id="25"/>
    <w:bookmarkStart w:id="28" w:name="ventes-de-produits-ou-de-services"/>
    <w:p>
      <w:pPr>
        <w:pStyle w:val="Heading2"/>
      </w:pPr>
      <w:r>
        <w:t xml:space="preserve">3. Ventes de produits ou de services</w:t>
      </w:r>
    </w:p>
    <w:bookmarkStart w:id="26" w:name="vente-avec-tva-collectée"/>
    <w:p>
      <w:pPr>
        <w:pStyle w:val="Heading3"/>
      </w:pPr>
      <w:r>
        <w:t xml:space="preserve">Vente avec TVA collectée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411 – Clients (TTC)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701/707 – Ventes de produits finis ou marchandises (HT)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445 – TVA collectée</w:t>
      </w:r>
    </w:p>
    <w:bookmarkEnd w:id="26"/>
    <w:bookmarkStart w:id="27" w:name="encaissement-du-client"/>
    <w:p>
      <w:pPr>
        <w:pStyle w:val="Heading3"/>
      </w:pPr>
      <w:r>
        <w:t xml:space="preserve">Encaissement du client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512 – Banque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411 – Clients</w:t>
      </w:r>
    </w:p>
    <w:bookmarkEnd w:id="27"/>
    <w:bookmarkEnd w:id="28"/>
    <w:bookmarkStart w:id="31" w:name="paiement-des-salaires"/>
    <w:p>
      <w:pPr>
        <w:pStyle w:val="Heading2"/>
      </w:pPr>
      <w:r>
        <w:t xml:space="preserve">4. Paiement des salaires</w:t>
      </w:r>
    </w:p>
    <w:bookmarkStart w:id="29" w:name="comptabilisation-de-la-paie"/>
    <w:p>
      <w:pPr>
        <w:pStyle w:val="Heading3"/>
      </w:pPr>
      <w:r>
        <w:t xml:space="preserve">Comptabilisation de la paie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641 – Salaires et appointements bruts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645 – Charges sociales à la charge de l’employeur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421 – Personnel – Rémunérations dues (net à payer)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431 – Organismes sociaux (cotisations salariales)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442 – Organismes sociaux (cotisations patronales)</w:t>
      </w:r>
    </w:p>
    <w:bookmarkEnd w:id="29"/>
    <w:bookmarkStart w:id="30" w:name="paiement-des-salaires-1"/>
    <w:p>
      <w:pPr>
        <w:pStyle w:val="Heading3"/>
      </w:pPr>
      <w:r>
        <w:t xml:space="preserve">Paiement des salaires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421 – Personnel – Rémunérations dues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512 – Banque</w:t>
      </w:r>
    </w:p>
    <w:bookmarkEnd w:id="30"/>
    <w:bookmarkEnd w:id="31"/>
    <w:bookmarkStart w:id="33" w:name="acquisition-dune-immobilisation"/>
    <w:p>
      <w:pPr>
        <w:pStyle w:val="Heading2"/>
      </w:pPr>
      <w:r>
        <w:t xml:space="preserve">5. Acquisition d’une immobilisation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21x – Immobilisation concernée (HT)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345 – TVA déductible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404 – Fournisseurs d’immobilisations (TTC)</w:t>
      </w:r>
    </w:p>
    <w:bookmarkStart w:id="32" w:name="paiement"/>
    <w:p>
      <w:pPr>
        <w:pStyle w:val="Heading3"/>
      </w:pPr>
      <w:r>
        <w:t xml:space="preserve">Paiement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404 – Fournisseurs d’immobilisations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512 – Banque</w:t>
      </w:r>
    </w:p>
    <w:bookmarkEnd w:id="32"/>
    <w:bookmarkEnd w:id="33"/>
    <w:bookmarkStart w:id="34" w:name="dotations-aux-amortissements"/>
    <w:p>
      <w:pPr>
        <w:pStyle w:val="Heading2"/>
      </w:pPr>
      <w:r>
        <w:t xml:space="preserve">6. Dotations aux amortissements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Débit :</w:t>
      </w:r>
      <w:r>
        <w:t xml:space="preserve"> </w:t>
      </w:r>
      <w:r>
        <w:t xml:space="preserve">68x – Dotations aux amortissements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Crédit :</w:t>
      </w:r>
      <w:r>
        <w:t xml:space="preserve"> </w:t>
      </w:r>
      <w:r>
        <w:t xml:space="preserve">28x – Amortissements des immobilisations correspondantes</w:t>
      </w:r>
    </w:p>
    <w:bookmarkEnd w:id="34"/>
    <w:bookmarkStart w:id="35" w:name="opérations-diverses"/>
    <w:p>
      <w:pPr>
        <w:pStyle w:val="Heading2"/>
      </w:pPr>
      <w:r>
        <w:t xml:space="preserve">7. Opérations diverses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Charge constatée d’avance</w:t>
      </w:r>
      <w:r>
        <w:t xml:space="preserve"> : Débit 486 – Charges constatées d’avance / Crédit compte de charges concerné.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Produit constaté d’avance</w:t>
      </w:r>
      <w:r>
        <w:t xml:space="preserve"> : Débit compte de produits concerné / Crédit 486 – Produits constatés d’avance.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Ces modèles sont fournis à titre indicatif ; ils doivent être adaptés aux particularités de chaque entreprise et aux obligations légales.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2025-08-11T12:04:49Z</dcterms:created>
  <dcterms:modified xsi:type="dcterms:W3CDTF">2025-08-11T12:04:49Z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