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Meta"/>
      </w:pPr>
      <w:r>
        <w:t>Копия для коллег проекта «Новостной индекс в надзорных задачах», Департамент банковского регулирования и надзора • 29.09.2026</w:t>
      </w:r>
    </w:p>
    <w:p>
      <w:pPr>
        <w:pStyle w:val="Heading1"/>
      </w:pPr>
      <w:r>
        <w:t>Сопроводительное письмо</w:t>
      </w:r>
    </w:p>
    <w:p>
      <w:r>
        <w:t>Уважаемые коллеги!</w:t>
      </w:r>
    </w:p>
    <w:p>
      <w:r>
        <w:rPr>
          <w:b/>
        </w:rPr>
        <w:t xml:space="preserve">К записке о методах тональной разметки, отправленной вам 28.09.2026, прилагаю дополнение. </w:t>
      </w:r>
      <w:r>
        <w:t>В нём отвечаю на практический вопрос: чем ещё, кроме методологии, я могу быть полезен проекту. Коротко — тем, что делаю сам: у моей команды уже есть действующая инфраструктура оценки агрегатов по новостям, поисковым потокам и отчётности, и эта инфраструктура готова к использованию вместе с вашим новостным корпусом. Разделы 1–2 описывают, что у нас уже сделано и работает; разделы 3–4 — план совместного применения; раздел 5 — что предлагаю делать совместно в ближайшие месяцы.</w:t>
      </w:r>
    </w:p>
    <w:p>
      <w:r>
        <w:rPr>
          <w:b/>
        </w:rPr>
        <w:t xml:space="preserve">Важно уточнить роль каждой стороны. </w:t>
      </w:r>
      <w:r>
        <w:t>Мы не претендуем на надзорную функцию; наша цель — методологическое партнёрство. Ваш уникальный вклад — доступ к новостному корпусу и надзорная экспертиза в определении целевых событий. Наш — методология построения текстовых индексов, валидации, винтажности, а также действующие конвейеры оценки агрегатов (наукастинг) выпуска, спроса, инвестиционного спроса и регионального анализа, где новостные индексы могут стать новым классом регрессоров.</w:t>
      </w:r>
    </w:p>
    <w:p>
      <w:r>
        <w:rPr>
          <w:b/>
        </w:rPr>
        <w:t xml:space="preserve">Почему это перспективно для обеих сторон. </w:t>
      </w:r>
      <w:r>
        <w:t>Для вас — независимый внешний валидатор методологии, дополнительный источник метаданных и сравнение подходов; для нас — доступ к корпусу, который мы сейчас не имеем, и возможность применить наш аналитический стек к задачам надзора. Обе стороны работают на русскоязычном корпусе и нуждаются в методах, устойчивых в российских условиях; наш опыт построения первого индекса поискового сентимента (поисковый сентимент-индекс по Wordstat) и текущий пилот nowcasting ВНОК дают готовый тестовый полигон для совместной работы.</w:t>
      </w:r>
    </w:p>
    <w:p>
      <w:r>
        <w:t>С уважением, Ленар — макроэкономический контур исследовательского департамента</w:t>
      </w:r>
    </w:p>
    <w:p>
      <w:pPr>
        <w:pStyle w:val="Heading1"/>
      </w:pPr>
      <w:r>
        <w:t>Текстовые и новостные индексы в оценке агрегатов: наш опыт применения и план вместе с надзорным проектом</w:t>
      </w:r>
    </w:p>
    <w:p>
      <w:pPr>
        <w:pStyle w:val="AcMeta"/>
      </w:pPr>
      <w:r>
        <w:t>Аналитическое дополнение к записке «Тональная разметка новостей» от 28.09.2026. Фокус — наши усилия и планы применения методов к наукастингу агрегатов спроса, выпуска, инвестиций, регионального продукта и жилищного рынка.</w:t>
      </w:r>
    </w:p>
    <w:p>
      <w:pPr>
        <w:pStyle w:val="Heading1"/>
      </w:pPr>
      <w:r>
        <w:t>1. Что уже сделано: действующие компоненты стека</w:t>
      </w:r>
    </w:p>
    <w:p>
      <w:r>
        <w:t>За последнее время в контуре сформированы четыре компонента, напрямую связанные с тематикой вашего проекта.</w:t>
      </w:r>
    </w:p>
    <w:p>
      <w:pPr>
        <w:pStyle w:val="Heading2"/>
      </w:pPr>
      <w:r>
        <w:t>1.1. Поисковый сентимент-индекс по рынку жилья (действует)</w:t>
      </w:r>
    </w:p>
    <w:p>
      <w:r>
        <w:t>На поисковых данных Яндекс Wordstat построен первый русскоязычный сентимент-индекс по жилищной теме (адаптация методологии индексов Google-стиля на российских данных). Оценена связка с фактическими выдачами ипотеки: корреляция опережения в один месяц положительная — ΔPC1(t−1) предсказывает рост выдач в t с корреляцией около +0,25 на месячных данных 2018–2026. Индекс в производстве, обновляется ежемесячно, лежит в PostgreSQL с полной историей винтажей.</w:t>
      </w:r>
    </w:p>
    <w:p>
      <w:pPr>
        <w:pStyle w:val="Heading2"/>
      </w:pPr>
      <w:r>
        <w:t>1.2. Пилот nowcasting ИКВ по firm-level данным (действует)</w:t>
      </w:r>
    </w:p>
    <w:p>
      <w:r>
        <w:t>Второй компонент — пилот наукастинга инвестиций в основной капитал (ВНОК/ИКВ) на фирменных данных (ФНС, РСБУ, ДЗО). Модель — bridge-подход: квартальные агрегаты собираются из месячной отчетности фирм, плюс HF-тексты и поисковые индексы в качестве предикторов. На текущем моменте уже есть результаты первого пилота, записка и прототипная инфраструктура — смежный проект уже ведётся, не на стадии идеи.</w:t>
      </w:r>
    </w:p>
    <w:p>
      <w:pPr>
        <w:pStyle w:val="Heading2"/>
      </w:pPr>
      <w:r>
        <w:t>1.3. Инфраструктура данных: PostgreSQL с винтажностями</w:t>
      </w:r>
    </w:p>
    <w:p>
      <w:r>
        <w:t>Мы ведём все макроагрегаты в PostgreSQL с полным следованием принципу винтажности: каждое наблюдение связывается с релизом и типом оценки (first estimate, preliminary, revised), сохраняется история изменений значений между публикациями. Для новостного индекса это критично: без винтажности невозможно оценить опережающие свойства индекса — а именно они и есть надзорное применение. У нас это уже решено на уровне схемы БД; готова методология загрузки с автоматической регистрации релизов.</w:t>
      </w:r>
    </w:p>
    <w:p>
      <w:pPr>
        <w:pStyle w:val="Heading2"/>
      </w:pPr>
      <w:r>
        <w:t>1.4. Векторный слой и полный пайплайн текстов</w:t>
      </w:r>
    </w:p>
    <w:p>
      <w:r>
        <w:t>Тексты хранятся в векторной БД (Yandex text-search-doc, 256 измерений, семантический поиск по страницам и запискам). Прямое сопряжение с вашим корпусом: если вы дадите доступ к новостной ленте, мы подключаем наш векторный индекс к ней за один проход и получаем retrieval-слой для поиска близких новостей, тематических групп и событий — необходимый компонент до разметки.</w:t>
      </w:r>
    </w:p>
    <w:p>
      <w:pPr>
        <w:pStyle w:val="Heading1"/>
      </w:pPr>
      <w:r>
        <w:t>2. Что именно предлагается измерять: план применения</w:t>
      </w:r>
    </w:p>
    <w:p>
      <w:r>
        <w:t>Для задач вашего проекта и нашей аналитической повестки применимы три семейства индексов, каждое — с конкретными целевыми показателями.</w:t>
      </w:r>
    </w:p>
    <w:p>
      <w:pPr>
        <w:pStyle w:val="Heading2"/>
      </w:pPr>
      <w:r>
        <w:t>2.1. Агрегаты спроса и выпуска (наукастинг)</w:t>
      </w:r>
    </w:p>
    <w:p>
      <w:r>
        <w:t>Целевые ряды: ИФО ВВП (квартал), составляющие использования (потребление, инвестиции, накопление), ИПП по отраслям, оборот розницы. Методика: FAVAR-MIDAS с текстовыми индикаторами как HF-блоком; литература (Thorsrud 2020; Barbaglia et al. 2025) показывает прирост точности уже от одного сентимент-фактора. Применение: новостные индикаторы могут закрывать разрыв от 2–3 недель до 1 месяца между отчетной датой и публикацией росстатовского наблюдения, что важно для наукастинга на ранней стадии.</w:t>
      </w:r>
    </w:p>
    <w:p>
      <w:pPr>
        <w:pStyle w:val="Heading2"/>
      </w:pPr>
      <w:r>
        <w:t>2.2. Региональный продукт (ВРП) и его оперативная оценка</w:t>
      </w:r>
    </w:p>
    <w:p>
      <w:r>
        <w:t>У нас в базе ВРП с 1998 по 2024 год, и в ноябре 2026 Росстат впервые публикует оперативную оценку ВРП за 2025 год. Задача, где новостной сентимент по регионам может дать прирост: локальные шоки (заводы, аварии, санкции против компаний) видны в местных новостях за недели до отражения в квартальной статистике. Метод: сентимент региона + частота упоминаний ключевых слов как HF-предикторы для предсказания направления квартального ИФО ВРП региона.</w:t>
      </w:r>
    </w:p>
    <w:p>
      <w:pPr>
        <w:pStyle w:val="Heading2"/>
      </w:pPr>
      <w:r>
        <w:t>2.3. Жилищный рынок</w:t>
      </w:r>
    </w:p>
    <w:p>
      <w:r>
        <w:t>Жилищная тема у нас уже покрыта действующим поисковым индексом; новостной слой добавляет каналы, которых в поиске нет: негативные новости о застройщиках (банкротство, заморозка строительства), изменения в регулировании (льготная ипотека, эскроу, проектное финансирование) и их отражение в СМИ. Гипотеза: для этого сегмента новостной сентимент может работать как опережающий сигнал для ввода жилья и выдач, сопоставимый с поисковым индексом, но с меньшим лагом.</w:t>
      </w:r>
    </w:p>
    <w:p>
      <w:pPr>
        <w:pStyle w:val="Heading1"/>
      </w:pPr>
      <w:r>
        <w:t>3. Совместный план с надзорным проектом: три фазы</w:t>
      </w:r>
    </w:p>
    <w:p>
      <w:r>
        <w:rPr>
          <w:b/>
        </w:rPr>
        <w:t xml:space="preserve">Фаза 1 (1–2 месяца): </w:t>
      </w:r>
      <w:r>
        <w:t>каскадная разметка вашего корпуса по методологии из нашего обзора (словарный бейзлайн, LLM-выборка, файнтюн RuBERT, локальный инференс). Выход — индекс на полном корпусе с оценкой точности на выборке для валидации. Для нас это тест методологии; для вас — готовый рабочий индекс с документированным качеством.</w:t>
      </w:r>
    </w:p>
    <w:p>
      <w:r>
        <w:rPr>
          <w:b/>
        </w:rPr>
        <w:t xml:space="preserve">Фаза 2 (2–3 месяца): </w:t>
      </w:r>
      <w:r>
        <w:t>валидация индекса в двух направлениях: надзорном (опережение событий по банкам и секторам) и макроэкономическом (наукастинг агрегатов из раздела 2). Совместная интерпретация результатов: мы на данных, вы — на надзорной практике.</w:t>
      </w:r>
    </w:p>
    <w:p>
      <w:r>
        <w:rPr>
          <w:b/>
        </w:rPr>
        <w:t xml:space="preserve">Фаза 3 (с марта 2027): </w:t>
      </w:r>
      <w:r>
        <w:t>интеграция в регулярный процесс: макроэкономическая модель с новостным регрессором, винтажность в PostgreSQL, регламент ежемесячного пересчёта. По итогам — совместная статья или методологическая записка в стиле международных публикаций центробанков.</w:t>
      </w:r>
    </w:p>
    <w:p>
      <w:pPr>
        <w:pStyle w:val="Heading1"/>
      </w:pPr>
      <w:r>
        <w:t>4. Что мы готовы сделать уже сейчас</w:t>
      </w:r>
    </w:p>
    <w:p>
      <w:pPr>
        <w:pStyle w:val="ListBullet"/>
      </w:pPr>
      <w:r>
        <w:t>Принять от вашего проекта тестовую выборку 200–500 статей с вашими метками (или согласовать таксономию) и прогнать через наш стек — оценку согласованности, точности, интерпретируемости бесплатно и в течение недели.</w:t>
      </w:r>
    </w:p>
    <w:p>
      <w:pPr>
        <w:pStyle w:val="ListBullet"/>
      </w:pPr>
      <w:r>
        <w:t>Построить на нашем стоке базовую версию индекса по вашему корпусу (словарный бейзлайн) — это бесплатно и даст материал для первой сверки направленности.</w:t>
      </w:r>
    </w:p>
    <w:p>
      <w:pPr>
        <w:pStyle w:val="ListBullet"/>
      </w:pPr>
      <w:r>
        <w:t>Поделиться с вашим проектом методологией валидации и шаблоном журнала разметки (промпты, версии моделей, даты) — то, что потом поможет при внутренней проверке качества.</w:t>
      </w:r>
    </w:p>
    <w:p>
      <w:pPr>
        <w:pStyle w:val="Heading1"/>
      </w:pPr>
      <w:r>
        <w:t>5. Предложения по сотрудничеству</w:t>
      </w:r>
    </w:p>
    <w:p>
      <w:pPr>
        <w:pStyle w:val="ListBullet"/>
      </w:pPr>
      <w:r>
        <w:t>Регулярная сверка: раз в две-три недели 30-минутная встреча прогресса — что размечено, какие метрики, какие вопросы качества.</w:t>
      </w:r>
    </w:p>
    <w:p>
      <w:pPr>
        <w:pStyle w:val="ListBullet"/>
      </w:pPr>
      <w:r>
        <w:t>Совместная публикация: по итогам фаз 1–2 — методологическая записка, в которой наш опыт валидации и ваш надзорный опыт дополняют друг друга.</w:t>
      </w:r>
    </w:p>
    <w:p>
      <w:pPr>
        <w:pStyle w:val="ListBullet"/>
      </w:pPr>
      <w:r>
        <w:t>Общая инфраструктура: если у вашего проекта уже есть корпус и разметчик, наша инфраструктура винтажности и векторного поиска может дополнить её без дублирования.</w:t>
      </w:r>
    </w:p>
    <w:p>
      <w:pPr>
        <w:pStyle w:val="Heading1"/>
      </w:pPr>
      <w:r>
        <w:t>6. Ограничения текущих оценок</w:t>
      </w:r>
    </w:p>
    <w:p>
      <w:r>
        <w:t>Все оценки точности (кроме поискового сентимента) пока опираются на литературу, а не на наши собственные прогонки на русском корпусе: оценки согласованности разметки (κ ≥ 0,7), качество трансформера после файнтюна (85–90 %) и корреляции с агрегатами — это ориентиры из международных работ, не наши результаты. Корреляция +0,25 для поискового сентимента — наша собственная, подтверждённая. Для новостного сентимента эти цифры будут проверены в фазе 1; до этого записку стоит читать как план с оценками, а не как результаты.</w:t>
      </w:r>
    </w:p>
    <w:p>
      <w:pPr>
        <w:pStyle w:val="Heading1"/>
      </w:pPr>
      <w:r>
        <w:t>7. Литература (сокращённо, полный список в первой записке)</w:t>
      </w:r>
    </w:p>
    <w:p>
      <w:pPr>
        <w:pStyle w:val="ListBullet"/>
      </w:pPr>
      <w:r>
        <w:t>Buckman, Shapiro, Sudhof, Wilson (2020, 2022) — Daily News Sentiment Index, FRBSF.</w:t>
      </w:r>
    </w:p>
    <w:p>
      <w:pPr>
        <w:pStyle w:val="ListBullet"/>
      </w:pPr>
      <w:r>
        <w:t>IMF WP 2025/109 — LLM-классификация коммуникаций ЦБ, 74 882 документа.</w:t>
      </w:r>
    </w:p>
    <w:p>
      <w:pPr>
        <w:pStyle w:val="ListBullet"/>
      </w:pPr>
      <w:r>
        <w:t>FSB (2020) — The Use of Supervisory and Regulatory Technology (кейсы MAS, J-VEILLE, ECB EWS).</w:t>
      </w:r>
    </w:p>
    <w:p>
      <w:pPr>
        <w:pStyle w:val="ListBullet"/>
      </w:pPr>
      <w:r>
        <w:t>Kartaev et al. (2025) — индекс восприятия Банка России в Telegram (ЖНЭА).</w:t>
      </w:r>
    </w:p>
    <w:p>
      <w:pPr>
        <w:pStyle w:val="ListBullet"/>
      </w:pPr>
      <w:r>
        <w:t>Thorsrud (2020) — news в наукастинге ВВП; Barbaglia et al. (2025) — Economic Lexicon, Economic Inquiry.</w:t>
      </w:r>
    </w:p>
    <w:p>
      <w:pPr>
        <w:pStyle w:val="ListBullet"/>
      </w:pPr>
      <w:r>
        <w:t>Karpeko (2026) — QUIET: поисковый индекс спроса; наш housing-индекс — локальная адаптация.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Note">
    <w:name w:val="AcNote"/>
    <w:basedOn w:val="Normal"/>
    <w:rPr>
      <w:rFonts w:ascii="Times New Roman" w:hAnsi="Times New Roman"/>
      <w:i/>
      <w:sz w:val="22"/>
    </w:rPr>
  </w:style>
  <w:style w:type="paragraph" w:customStyle="1" w:styleId="AcMeta">
    <w:name w:val="AcMeta"/>
    <w:basedOn w:val="Normal"/>
    <w:rPr>
      <w:rFonts w:ascii="Times New Roman" w:hAnsi="Times New Roman"/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