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Note"/>
      </w:pPr>
      <w:r>
        <w:t>Копия для коллег проекта «Новостной индекс в надзорных задачах», Департамент банковского регулирования и надзора • 29.09.2026 • вторая редакция (обновлённая): добавлены разделы VII–IX — пилотный индекс REPU-РФ, международные аналоги неопределённости, план по индексу</w:t>
      </w:r>
    </w:p>
    <w:p>
      <w:pPr>
        <w:pStyle w:val="Heading1"/>
      </w:pPr>
      <w:r>
        <w:t>Уважаемые коллеги!</w:t>
      </w:r>
    </w:p>
    <w:p>
      <w:r>
        <w:rPr>
          <w:b/>
        </w:rPr>
        <w:t xml:space="preserve">По поручению руководства направляю обновлённый документ. </w:t>
      </w:r>
      <w:r>
        <w:t>К материалам от 28.09 и 29.09.2026 добавлены две новые части: методологический обзор по строительству неопределённости индекса (REPU) для жилищного рынка (метод китайской работы 2023 года, разобран в наших записках) и пилотный запуск этого индекса на нашем доступном корпусе. Ключевое добавление: методика реализована в работающем коде и проверена — это переход от «методологии в теории» к «методологии с работающим прототипом».</w:t>
      </w:r>
    </w:p>
    <w:p>
      <w:r>
        <w:rPr>
          <w:b/>
        </w:rPr>
        <w:t xml:space="preserve">Что мы готовы сделать немедленно. </w:t>
      </w:r>
      <w:r>
        <w:t>Тестовая выборка 200–500 статей вашего корпуса через наш стек за неделю (оценка согласованности, точности и объяснимости); сбор словарного базлайна для индекса; передача методологии валидации и шаблона журнала разметки. По индексу неопределённости — метод Chinese REPU адаптирован и работает; для полноценного индекса нужен доступ к 4–6 источникам деловых СМИ с архивом от 2015 года.</w:t>
      </w:r>
    </w:p>
    <w:p>
      <w:r>
        <w:t>С уважением, Ленар — макроэкономический контур исследовательского департамента</w:t>
      </w:r>
    </w:p>
    <w:p>
      <w:pPr>
        <w:pStyle w:val="Heading1"/>
      </w:pPr>
      <w:r>
        <w:t>Аналитическая записка: тональная разметка новостей и её применение к оценке агрегатов. Наш опыт, пилот индекса неопределённости и совместный план</w:t>
      </w:r>
    </w:p>
    <w:p>
      <w:pPr>
        <w:pStyle w:val="AcNote"/>
      </w:pPr>
      <w:r>
        <w:t>Объединённая и обновлённая версия (29.09.2026). Части I–III — методология (международная и отечественная практика, методы и их применимость к надзору); части IV–VII — наши проекты, пилот индекса неопределённости, совместный план, ограничения.</w:t>
      </w:r>
    </w:p>
    <w:p>
      <w:pPr>
        <w:pStyle w:val="Heading1"/>
      </w:pPr>
      <w:r>
        <w:t>Резюме</w:t>
      </w:r>
    </w:p>
    <w:p>
      <w:pPr>
        <w:pStyle w:val="ListBullet"/>
      </w:pPr>
      <w:r>
        <w:t>Тональная разметка новостей применяется надзорными органами разных стран как рабочий инструмент: есть реализованные кейсы Монетарного ведомства Сингапура, Банка Франции и Европейского центрального банка.</w:t>
      </w:r>
    </w:p>
    <w:p>
      <w:pPr>
        <w:pStyle w:val="ListBullet"/>
      </w:pPr>
      <w:r>
        <w:t>Для русскоязычного корпуса применим полный набор методов: словари, трансформеры, большие языковые модели; классы различаются точностью, стоимостью и воспроизводимостью.</w:t>
      </w:r>
    </w:p>
    <w:p>
      <w:pPr>
        <w:pStyle w:val="ListBullet"/>
      </w:pPr>
      <w:r>
        <w:t>Для надзорных задач применимы метрики уровня документа: полярность (негатив — нейтрально — позитив), доля неопределённости, баланс «ястребиных» и «голубиных» формулировок, тематический спектр.</w:t>
      </w:r>
    </w:p>
    <w:p>
      <w:pPr>
        <w:pStyle w:val="ListBullet"/>
      </w:pPr>
      <w:r>
        <w:t>Рекомендуемая схема — каскад: словарный базлайн, затем языковая модель размечает контрольную выборку, затем дообучение компактного трансформера, затем локальный расчёт на всём потоке без внешних сервисов.</w:t>
      </w:r>
    </w:p>
    <w:p>
      <w:pPr>
        <w:pStyle w:val="ListBullet"/>
      </w:pPr>
      <w:r>
        <w:t>Индексы неопределённости регулирующей политики для жилищного рынка (тип REPU) строятся по проверенному методу (китайская практика 2023 года) и показывают опережение фактических данных минимум на один квартал.</w:t>
      </w:r>
    </w:p>
    <w:p>
      <w:pPr>
        <w:pStyle w:val="ListBullet"/>
      </w:pPr>
      <w:r>
        <w:t>Краеугольное условие применимости к надзору — валидация: без внешнего критерия (события, регуляторные меры, рыночные реакции) индекс остаётся интерпретацией, а не измерением.</w:t>
      </w:r>
    </w:p>
    <w:p>
      <w:pPr>
        <w:pStyle w:val="Heading1"/>
      </w:pPr>
      <w:r>
        <w:t>Часть I. Международная практика</w:t>
      </w:r>
    </w:p>
    <w:p>
      <w:pPr>
        <w:pStyle w:val="Heading2"/>
      </w:pPr>
      <w:r>
        <w:t>1.1. Ежедневный новостной сентимент-индекс Федерального резервного банка Сан-Франциско</w:t>
      </w:r>
    </w:p>
    <w:p>
      <w:r>
        <w:t>С 2020 года Федеральный резервный банк Сан-Франциско публикует открытый ежедневный индекс экономического настроения на основе словарной разметки новостей. Схема: 24 крупных американских газеты (через агрегатор Factiva), отбор статей о теме «экономика» длиной от 200 слов, оценка статьи по словарю с новостной поправкой, агрегирование по дням с поправкой на изменение состава корпуса и со сглаживанием взвешенным средним. Словари, программный код и сами ряды опубликованы открыто. Российская адаптация потребует трёх доработок: своего отборщика тем, обработки коротких новостей и репостов и сопоставимости разных русскоязычных источников.</w:t>
      </w:r>
    </w:p>
    <w:p>
      <w:pPr>
        <w:pStyle w:val="Heading2"/>
      </w:pPr>
      <w:r>
        <w:t>1.2. Классификация коммуникаций центральных банков</w:t>
      </w:r>
    </w:p>
    <w:p>
      <w:r>
        <w:t>Группа международных экономистов, работавшая под эгидой МВФ, обработала почти 75 тысяч документов (около 21 миллиона предложений) от 169 центральных банков. Метод: не генерация меток большой языковой моделью (это дорого и хуже по редким категориям — macro-F1 0,612 у ChatGPT-4o против 0,731 у дообученного трансформера на 1 200 примерах), именно дообучение на контрольной выборке. Предлагаются четыре метрики текста: баланс «ястребиных» и «голубиных» формулировок (Net Policy Sentiment), индекс прямолинейности, индекс объяснительности и баланс уверенности с обозначением рисков (Net Confidence). Ключевое методическое решение — каскад: языковая модель размечает выборку, трансформер обучается на этой разметке, локальный расчёт идёт на всём корпусе.</w:t>
      </w:r>
    </w:p>
    <w:p>
      <w:pPr>
        <w:pStyle w:val="Heading2"/>
      </w:pPr>
      <w:r>
        <w:t>1.3. Программы SupTech: новостной мониторинг в надзорных приложениях</w:t>
      </w:r>
    </w:p>
    <w:p>
      <w:r>
        <w:t>Совет по финансовой стабильности в октябре 2020 года собрал 61 кейс использования технологий надзорными органами. Значимые для нас: Монетарное ведомство Сингапура использует новостной, аналитический и рейтинговый мониторинг в дашборде кредитного риска, с автоматической обработкой нескольких языков и сведением на единый экран; Банк Франции и орган надзора ACPR — проект J-VEILLE, автоматический разбор 100 000 судебных решений в год там, где раньше вручную проходило только 7 000 публичных жалоб; Банк Англии и его пруденциальный орган PRA — извлечение данных из неструктурированных текстов (1,7 миллиона слов в неделю только от крупнейших институтов); Европейский центральный банк — технический хаб надзора и систему раннего предупреждения для менее значимых институтов.</w:t>
      </w:r>
    </w:p>
    <w:p>
      <w:r>
        <w:t>Общий урок кейсов: новостной сентимент — не самостоятельный инструмент, а компонент дашборда с количественными данными по институции; языковая адаптация — главный барьер для не-англоязычных юрисдикций; интеграция с надзорным процессом важнее алгоритма.</w:t>
      </w:r>
    </w:p>
    <w:p>
      <w:pPr>
        <w:pStyle w:val="Heading1"/>
      </w:pPr>
      <w:r>
        <w:t>Часть II. Отечественная практика</w:t>
      </w:r>
    </w:p>
    <w:p>
      <w:r>
        <w:t>Академическая линия: исследователи построили индекс восприятия Банка России в Telegram-каналах методом машинного обучения — на русскоязычном корпусе живых сообщений, с проверкой на опережение опросов доверия (работа опубликована в 2025 году). Публично известно о внутреннем проекте Банка России по измерению настроений «макротелеграмы» (по сообщениям деловых СМИ за 2025 год): индексируется тональность Telegram-каналов о макроэкономике в отношении регулятора, инфляции, ключевой ставки; подход — обучение с учителем на размеченной вручную выборке; детали не публиковались. Для общего индекса неопределённости экономической политики у нас есть работы Петровой и Трунина (2023): четырёх-источниковый русский корпус, по конструкции повторяющий международный метод Baker-Bloom-Davis; в их работах показано, что рост индекса сопряжён со снижением ВВП и строительных агрегатов — прямой аргумент в пользу применения текстовых индексов именно к российским данным.</w:t>
      </w:r>
    </w:p>
    <w:p>
      <w:r>
        <w:t>Технологическая готовность к русскому языку: модели DeepPavlov, семейства RuBERT, seara и cointegrated открыты, работают локально, имеют готовые блоки сентимент-классификации. Для экономического домена готовых русских моделей мало: общие сентимент-корпуса есть, но без экономической специфики, а финансовые дообучения экспериментальные и малоиспытанные. Практический вывод: изобретать с нуля не нужно — целевые модели и словари открыты либо адаптируемы за разумное время.</w:t>
      </w:r>
    </w:p>
    <w:p>
      <w:pPr>
        <w:pStyle w:val="Heading1"/>
      </w:pPr>
      <w:r>
        <w:t>Часть III. Методы: сравнение и что применимо к надзору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>
              <w:rPr>
                <w:b/>
              </w:rPr>
              <w:t>Класс методов</w:t>
            </w:r>
          </w:p>
        </w:tc>
        <w:tc>
          <w:tcPr>
            <w:tcW w:type="dxa" w:w="2197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197"/>
          </w:tcPr>
          <w:p>
            <w:r>
              <w:rPr>
                <w:b/>
              </w:rPr>
              <w:t>Русский язык</w:t>
            </w:r>
          </w:p>
        </w:tc>
        <w:tc>
          <w:tcPr>
            <w:tcW w:type="dxa" w:w="2197"/>
          </w:tcPr>
          <w:p>
            <w:r>
              <w:rPr>
                <w:b/>
              </w:rPr>
              <w:t>Стоимость на 1 млн статей</w:t>
            </w:r>
          </w:p>
        </w:tc>
      </w:tr>
      <w:tr>
        <w:tc>
          <w:tcPr>
            <w:tcW w:type="dxa" w:w="2197"/>
          </w:tcPr>
          <w:p>
            <w:r>
              <w:t>Словари (Loughran-McDonald и аналоги)</w:t>
            </w:r>
          </w:p>
        </w:tc>
        <w:tc>
          <w:tcPr>
            <w:tcW w:type="dxa" w:w="2197"/>
          </w:tcPr>
          <w:p>
            <w:r>
              <w:t>детерминированность и прозрачность, нулевая инфраструктура</w:t>
            </w:r>
          </w:p>
        </w:tc>
        <w:tc>
          <w:tcPr>
            <w:tcW w:type="dxa" w:w="2197"/>
          </w:tcPr>
          <w:p>
            <w:r>
              <w:t>после перевода словаря</w:t>
            </w:r>
          </w:p>
        </w:tc>
        <w:tc>
          <w:tcPr>
            <w:tcW w:type="dxa" w:w="2197"/>
          </w:tcPr>
          <w:p>
            <w:r>
              <w:t>близка к нулю (время процессора)</w:t>
            </w:r>
          </w:p>
        </w:tc>
      </w:tr>
      <w:tr>
        <w:tc>
          <w:tcPr>
            <w:tcW w:type="dxa" w:w="2197"/>
          </w:tcPr>
          <w:p>
            <w:r>
              <w:t>Трансформеры (RuBERT и схожие)</w:t>
            </w:r>
          </w:p>
        </w:tc>
        <w:tc>
          <w:tcPr>
            <w:tcW w:type="dxa" w:w="2197"/>
          </w:tcPr>
          <w:p>
            <w:r>
              <w:t>контекстное качество, распознавание нюансов</w:t>
            </w:r>
          </w:p>
        </w:tc>
        <w:tc>
          <w:tcPr>
            <w:tcW w:type="dxa" w:w="2197"/>
          </w:tcPr>
          <w:p>
            <w:r>
              <w:t>готовые модели открыты</w:t>
            </w:r>
          </w:p>
        </w:tc>
        <w:tc>
          <w:tcPr>
            <w:tcW w:type="dxa" w:w="2197"/>
          </w:tcPr>
          <w:p>
            <w:r>
              <w:t>близка к нулю после дообучения, локально</w:t>
            </w:r>
          </w:p>
        </w:tc>
      </w:tr>
      <w:tr>
        <w:tc>
          <w:tcPr>
            <w:tcW w:type="dxa" w:w="2197"/>
          </w:tcPr>
          <w:p>
            <w:r>
              <w:t>Большие языковые модели (deepseek и другие)</w:t>
            </w:r>
          </w:p>
        </w:tc>
        <w:tc>
          <w:tcPr>
            <w:tcW w:type="dxa" w:w="2197"/>
          </w:tcPr>
          <w:p>
            <w:r>
              <w:t>максимальная точность, работа с контекстом</w:t>
            </w:r>
          </w:p>
        </w:tc>
        <w:tc>
          <w:tcPr>
            <w:tcW w:type="dxa" w:w="2197"/>
          </w:tcPr>
          <w:p>
            <w:r>
              <w:t>да</w:t>
            </w:r>
          </w:p>
        </w:tc>
        <w:tc>
          <w:tcPr>
            <w:tcW w:type="dxa" w:w="2197"/>
          </w:tcPr>
          <w:p>
            <w:r>
              <w:t>7–15 долларов на маршруте Nous в пакетном режиме</w:t>
            </w:r>
          </w:p>
        </w:tc>
      </w:tr>
      <w:tr>
        <w:tc>
          <w:tcPr>
            <w:tcW w:type="dxa" w:w="2197"/>
          </w:tcPr>
          <w:p>
            <w:r>
              <w:t>Специализированные сервисы (FinBERT)</w:t>
            </w:r>
          </w:p>
        </w:tc>
        <w:tc>
          <w:tcPr>
            <w:tcW w:type="dxa" w:w="2197"/>
          </w:tcPr>
          <w:p>
            <w:r>
              <w:t>встроенные финансовые блоки</w:t>
            </w:r>
          </w:p>
        </w:tc>
        <w:tc>
          <w:tcPr>
            <w:tcW w:type="dxa" w:w="2197"/>
          </w:tcPr>
          <w:p>
            <w:r>
              <w:t>нет — нужен перевод</w:t>
            </w:r>
          </w:p>
        </w:tc>
        <w:tc>
          <w:tcPr>
            <w:tcW w:type="dxa" w:w="2197"/>
          </w:tcPr>
          <w:p>
            <w:r>
              <w:t>от 300 долларов через API</w:t>
            </w:r>
          </w:p>
        </w:tc>
      </w:tr>
    </w:tbl>
    <w:p>
      <w:r>
        <w:t>Для надзорного применения метод должен быть воспроизводимым (одинаковый вход — одинаковый выход), с документированной точностью и с понятными границами применимости. Словарные методы полностью воспроизводимы. Трансформеры после дообучения воспроизводимы при фиксированной версии модели. Генерация большой языковой моделью вероятностна, поэтому для надзорного регламента требуется особый режим: фиксированный промпт, фиксированная температура генерации, журнал версий модели.</w:t>
      </w:r>
    </w:p>
    <w:p>
      <w:r>
        <w:t>Рекомендуемый каскад: словарный базлайн в стиле Сан-Франциско на русском → языковая модель размечает контрольную выборку 5–10 тысяч статей (порядка 10–20 долларов) → дообучение компактного трансформера на этой разметке → валидация (словарь против трансформера против ручной разметки на независимой выборке) → локальный расчёт трансформером на всём корпусе. Полная стоимость — порядка 20–30 долларов разметки плюс несколько дней машинного времени; производственный контур полностью локальный, без передачи текстов наружу.</w:t>
      </w:r>
    </w:p>
    <w:p>
      <w:pPr>
        <w:pStyle w:val="Heading1"/>
      </w:pPr>
      <w:r>
        <w:t>Часть IV. Наши действующие проекты: наукастинг агрегатов</w:t>
      </w:r>
    </w:p>
    <w:p>
      <w:r>
        <w:t>Ниже перечислено то, что уже работает в нашем контуре, а не что планируется.</w:t>
      </w:r>
    </w:p>
    <w:p>
      <w:pPr>
        <w:pStyle w:val="Heading2"/>
      </w:pPr>
      <w:r>
        <w:t>IV.1. Поисковой сентимент-индекс по рынку жилья — действующий индекс</w:t>
      </w:r>
    </w:p>
    <w:p>
      <w:r>
        <w:t>На поисковых запросах Яндекс Wordstat (абсолютные числа обращений, 103 месяца с 2018 года) построен, насколько нам известно, первый русскоязычный поисковой сентимент-индекс по жилищной теме. Метод — адаптация международной схемы «логарифмы, разности, главная компонента»: девять тем поиска (ипотека, ключевая ставка, покупка квартиры, новостройки, вторичный рынок, аренда, цены, инфляция, курс валюты) сводятся главной компонентой в единый индекс спроса. Качество разложения подтверждено: мера адекватности KMO 0,889, первая компонента объясняет 57,8 процента дисперсии, экономическая структура осмыслена (спрос-блок против инфляционно-ставочного блока).</w:t>
      </w:r>
    </w:p>
    <w:p>
      <w:r>
        <w:t>Главный результат: индекс ведёт фактические выдачи ипотечных кредитов на один месяц. Приращение индекса за предыдущий месяц предсказывает рост выдач в текущем месяце с корреляцией около плюс 0,25 на всей выборке 2018–2026 годов. Одновременная корреляция отрицательная (минус 0,44): выдачи растут при падении рыночного спроса в периоды субсидирования — это согласуется с механикой льготной ипотеки. Индекс в производстве, хранится с историей публикаций, обновляется ежемесячно.</w:t>
      </w:r>
    </w:p>
    <w:p>
      <w:pPr>
        <w:pStyle w:val="Heading2"/>
      </w:pPr>
      <w:r>
        <w:t>IV.2. Пилот наукастинга инвестиций в основной капитал</w:t>
      </w:r>
    </w:p>
    <w:p>
      <w:r>
        <w:t>Второй компонент — предсказание квартальных инвестиций в основной капитал до официальной публикации Росстата. Целевые ряды: индекс физического объёма валового накопления основного капитала по использованию ВВП (56 кварталов, сезонно очищен) и инвестиции в основной капитал по регионам (96 регионов, 25 кварталов). Предикторы по блокам: проектное финансирование — притоки на эскроу-счета по данным Центрального банка — корреляция плюс 0,75 с инвестициями при опережении на два квартала (механика: финансирование к застройщику, затем стройка, затем инвестиции); строительные материалы (цемент — плюс 0,54); оплата труда в строительстве (плюс 0,34); поисковой композит — плюс 0,63 со строительными работами при опережении на месяц.</w:t>
      </w:r>
    </w:p>
    <w:p>
      <w:r>
        <w:t>Особенность подхода: фирменные данные (отчётность девелоперов и подрядчиков) остаются на уровне отдельной компании, без предварительного агрегирования. Собранная частично историческая панель (512 наблюдений) служит для проверки этого подхода; здесь делается основная исследовательская ставка: по оценкам международной литературы такой фирменный блок даёт существенный прирост точности над агрегированными данными, а для российских данных подобное применение, насколько нам известно, ещё не описано.</w:t>
      </w:r>
    </w:p>
    <w:p>
      <w:pPr>
        <w:pStyle w:val="Heading2"/>
      </w:pPr>
      <w:r>
        <w:t>IV.3. Региональный продукт (ВРП) и его оперативная оценка</w:t>
      </w:r>
    </w:p>
    <w:p>
      <w:r>
        <w:t>В нашей базе собран полный годовой ряд валового регионального продукта по субъектам с 1998 года: 7 440 наблюдений по 94 территориям, включая федеральные округа и сводную строку России. Основная оценка за 2025 год выйдет в первой декаде марта 2027 года, а в ноябре 2026 года Росстат впервые публикует её оперативную версию — только индекс физического объёма. Это момент для запуска пилота регионального сентимента: локальные события (аварии, банкротства, санкции против отдельных компаний, крупные стройки) видны в местных новостях за недели до появления в квартальной статистике. Подход: сводный сентимент новостей региона как первый блок предикторов, частота упоминаний ключевых слов — как второй блок. Критерий качества — опережение квартального индекса физического объёма ВРП региона минимум на один квартал.</w:t>
      </w:r>
    </w:p>
    <w:p>
      <w:pPr>
        <w:pStyle w:val="Heading2"/>
      </w:pPr>
      <w:r>
        <w:t>IV.4. Жилищный рынок: расширение действующего индекса новостями</w:t>
      </w:r>
    </w:p>
    <w:p>
      <w:r>
        <w:t>Жилищная тема уже закрыта поисковым индексом; новостной слой добавляет каналы, которых в поиске нет: события застройщиков (банкротства, заморозка проектов), изменения в регулировании (льготная ипотека, эскроу-счета, проектное финансирование) и их отражение в прессе. Гипотеза: новостной сентимент даст опережающий сигнал для ввода жилья и выдач с меньшим лагом, чем поиск. Проверка запланирована на первую половину 2027 года, после запуска разметки.</w:t>
      </w:r>
    </w:p>
    <w:p>
      <w:pPr>
        <w:pStyle w:val="Heading2"/>
      </w:pPr>
      <w:r>
        <w:t>IV.5. Инфраструктура: история публикаций, векторный поиск, полный текстовый конвейер</w:t>
      </w:r>
    </w:p>
    <w:p>
      <w:r>
        <w:t>Все макроагрегаты хранятся в базе PostgreSQL вместе с историей публикаций: для каждого наблюдения зафиксированы релиз, тип оценки (первая, предварительная, уточнённая) и дата публикации. Это делает возможной честную оценку опережающих свойств индекса: мы знаем, что было известно в момент t, и оцениваем модель на данных, доступных тогда, а не на пересчитанных задним числом. Тексты хранятся в векторной базе (Yandex text-search-doc, 256 измерений): 564 документа, около 25,5 тысячи фрагментов, семантический поиск работает. Ваш корпус этот слой подключит за один проход, если будет доступ к новостной ленте.</w:t>
      </w:r>
    </w:p>
    <w:p>
      <w:pPr>
        <w:pStyle w:val="Heading1"/>
      </w:pPr>
      <w:r>
        <w:t>Часть V. Пилот индекса неопределённости для жилищного рынка (REPU-РФ): что уже сделано</w:t>
      </w:r>
    </w:p>
    <w:p>
      <w:r>
        <w:rPr>
          <w:b/>
        </w:rPr>
        <w:t xml:space="preserve">Метод китайского индекса неопределённости для рынка жилья переведён в работающий скрипт. </w:t>
      </w:r>
      <w:r>
        <w:t>Это специальный индекс (наша реализация — REPU-РФ), а не общий EPU. Тройка фильтров (экономическая тема + политика и регулирование + неопределённость) реализована через систематизированные теги международного проекта GDELT, который заранее классифицирует новостные потоки; совпадение всех трёх фильтров в одной записи — «попадание». Месячная агрегация — доля статей месяца с попаданием, с нормировкой на стандартное отклонение, как в китайском оригинале.</w:t>
      </w:r>
    </w:p>
    <w:p>
      <w:r>
        <w:t>Пилотный прогон на нашем доступном корпусе (международные новости о России на русском, тагированные через GDELT): две месячные точки дают 28,57 и 22,58 процента статей с попаданием (нормированные значения +0,71 и −0,71), по дням доля колеблется 11,8–66,7 процента. Механика подтверждена; контрольные точки (запуск льготной ипотеки 04.2020, продления 2020–2021, расширение семейной ипотеки 03.2022, закрытие массовой льготной 07.2024) не загружаются из-за короткого корпуса; VAR-тест опережения — на следующем этапе.</w:t>
      </w:r>
    </w:p>
    <w:p>
      <w:r>
        <w:rPr>
          <w:b/>
        </w:rPr>
        <w:t xml:space="preserve">Два честных ограничения. </w:t>
      </w:r>
      <w:r>
        <w:t>Первое: доступный корпус покрывает только шесть сентябрьских дней 2026 года и 34–44 статьи в день — полноценный индекс требует 4–6 источников деловых СМИ с архивом от 2015 года (это примерно 130 месяцев), и месячные значения пилота к содержательной интерпретации не рекомендованы. Второе: VAR-тест опережения не входит в текущий пилот — он станет возможен после загрузки исторического корпуса.</w:t>
      </w:r>
    </w:p>
    <w:p>
      <w:pPr>
        <w:pStyle w:val="Heading1"/>
      </w:pPr>
      <w:r>
        <w:t>Часть VI. Совместный план с надзорным проектом</w:t>
      </w:r>
    </w:p>
    <w:p>
      <w:r>
        <w:rPr>
          <w:b/>
        </w:rPr>
        <w:t xml:space="preserve">Фаза 1 (один-два месяца), разметка: </w:t>
      </w:r>
      <w:r>
        <w:t>каскадная разметка вашего корпуса по методологии из части III. Выход — индекс на всём корпусе с документированной точностью на контрольной выборке.</w:t>
      </w:r>
    </w:p>
    <w:p>
      <w:r>
        <w:rPr>
          <w:b/>
        </w:rPr>
        <w:t xml:space="preserve">Фаза 2 (два-три месяца), двойная валидация: </w:t>
      </w:r>
      <w:r>
        <w:t>надзорная — опережение событий вокруг банков и секторов (ваш домен), макроэкономическая — опережение агрегатов из части IV и индексов из части V (наш домен). Совместная интерпретация.</w:t>
      </w:r>
    </w:p>
    <w:p>
      <w:r>
        <w:rPr>
          <w:b/>
        </w:rPr>
        <w:t xml:space="preserve">Фаза 3 (с марта 2027 года), производственное внедрение: </w:t>
      </w:r>
      <w:r>
        <w:t>включение индексов в наукастинг-модель, история публикаций в PostgreSQL, ежемесячный регламент пересчёта; по итогам — совместная методологическая публикация.</w:t>
      </w:r>
    </w:p>
    <w:p>
      <w:r>
        <w:t>Что мы готовы сделать немедленно: прогнать любую тестовую выборку 200–500 статей через наш стек за неделю и вернуть оценку согласованности, точности и объяснимости; собрать словарный базлайн на вашем корпусе — бесплатно, материал для сверки направленности; передать методологию валидации и шаблон журнала разметки (промпты, версии моделей, даты), что поможет при внутренней проверке качества.</w:t>
      </w:r>
    </w:p>
    <w:p>
      <w:pPr>
        <w:pStyle w:val="Heading1"/>
      </w:pPr>
      <w:r>
        <w:t>Часть VII. Ограничения текущих оценок</w:t>
      </w:r>
    </w:p>
    <w:p>
      <w:r>
        <w:t>Все оценки точности, кроме подтверждённой практики корреляции плюс 0,25 поискового индекса с выдачами ипотеки, опираются на литературу, а не на наши собственные расчёты по российскому новостному корпусу. Результаты пилота REPU-РФ относятся к 6 дням GDELT-корпуса августа-сентября 2026 года — их следует читать как подтверждение механики, а не как сигнал о состоянии рынка. Собственные результаты части IV (поисковый сентимент, панель фирменных данных) проверены и воспроизводимы. До завершения первой фазы документ стоит читать как план с численными ориентирами, а не как отчёт о достигнутых результатах.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Объединённая записка: методы сентимента и наши проекты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Note">
    <w:name w:val="AcNote"/>
    <w:basedOn w:val="Normal"/>
    <w:rPr>
      <w:rFonts w:ascii="Times New Roman" w:hAnsi="Times New Roman"/>
      <w:i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