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Note"/>
      </w:pPr>
      <w:r>
        <w:rPr>
          <w:b/>
        </w:rPr>
        <w:t>Сопроводительное письмо</w:t>
      </w:r>
      <w:r>
        <w:t xml:space="preserve"> • подготовлено в исследовательском контуре экономического блока</w:t>
      </w:r>
    </w:p>
    <w:p>
      <w:pPr>
        <w:pStyle w:val="Heading1"/>
      </w:pPr>
      <w:r>
        <w:t>Сопроводительное письмо</w:t>
      </w:r>
    </w:p>
    <w:p>
      <w:r>
        <w:t>Уважаемые коллеги!</w:t>
      </w:r>
    </w:p>
    <w:p>
      <w:r>
        <w:t>По поручению руководства направляю на ваше рассмотрение аналитическую записку «Тональная разметка новостей: возможности и зарубежная и отечественная практика» (сентябрь 2026). Она подготовлена в контуре экономического анализа в рамках методологической поддержки проекта по использованию новостного индекса для надзорных задач. Отношение моей части к проекту — методологическое: я не претендую на роль соисполнителя, но проект мне близок своей методической стороной — текстовые индексы являются одним из направлений моей текущей аналитической работы, и я вижу прямую связку с надзорным приложением.</w:t>
      </w:r>
    </w:p>
    <w:p>
      <w:r>
        <w:rPr>
          <w:b/>
        </w:rPr>
        <w:t xml:space="preserve">Три причины, по которым записка может быть полезна вашему проекту. </w:t>
      </w:r>
      <w:r>
        <w:t>Первая: она систематизирует зарубежные и отечественные практики именно в привязке к надзорным задачам — от Daily News Sentiment Index Сан-Франциско ФРС и LLM-классификации коммуникаций центральных банков (МВФ, WP 2025/109) до программ SupTech (FSB, 2020) с кейсами новостного мониторинга в MAS и J-VEILLE в Банке Франции/ACPR — с указанием, что именно в каждой практике применимо при подготовке новостного индекса. Второе: в записке детально разобраны две категории методов (словарные, трансформерные, LLM), с оценками стоимости и применимости на русскоязычные тексты; для вашего проекта с доступом к новостному корпусу это практический выбор технического решения. Третье: часть рекомендаций сформулирована как методологическая рамку (валидация, контроль качества, винтажность, устойчивость) переносима в надзорный контекст без существенных доработок.</w:t>
      </w:r>
    </w:p>
    <w:p>
      <w:r>
        <w:rPr>
          <w:b/>
        </w:rPr>
        <w:t xml:space="preserve">Что ещё важно. </w:t>
      </w:r>
      <w:r>
        <w:t>Я не прошу обратной связи «в целом» — она малоинформативна. Если возможно, прошу вас по одному пункту: что из описанных в разделе 4 (эталонные практики) применений выглядит наиболее релевантным именно к вашим надзорным задачам, и какие два-три конкретных надзорных использования новостного индекса видятся вам первоочередными. Такая сверка позволит мне в следующей итерации сфокусироваться на той части методологии, которая будет реально применима, и подготовить более предметное методологическое приложение к вашему проекту.</w:t>
      </w:r>
    </w:p>
    <w:p>
      <w:r>
        <w:rPr>
          <w:i/>
        </w:rPr>
        <w:t>С уважением,</w:t>
      </w:r>
      <w:r>
        <w:t xml:space="preserve"> Ленар, макроэкономический контур исследовательского департамента</w:t>
      </w:r>
    </w:p>
    <w:p>
      <w:pPr>
        <w:pStyle w:val="Heading1"/>
      </w:pPr>
      <w:r>
        <w:t>Тональная разметка новостей: возможности методов, международная и отечественная практика</w:t>
      </w:r>
    </w:p>
    <w:p>
      <w:pPr>
        <w:pStyle w:val="AcNote"/>
      </w:pPr>
      <w:r>
        <w:t>Аналитическая записка для проекта по использованию новостного индекса в надзорных задачах. Сентябрь 2026 года.</w:t>
      </w:r>
    </w:p>
    <w:p>
      <w:pPr>
        <w:pStyle w:val="Heading1"/>
      </w:pPr>
      <w:r>
        <w:t>Резюме</w:t>
      </w:r>
    </w:p>
    <w:p>
      <w:pPr>
        <w:pStyle w:val="ListBullet"/>
      </w:pPr>
      <w:r>
        <w:t>Тональный анализ новостей (sentiment) — технология измерения настроений в текстах — в последние пять лет перешла из академической лаборатории в производственный инструментарий центральных банков и пруденциальных регуляторов; есть отработанные кейсы его применения в надзорных приложениях (Сан-Франциско ФРС, MAS, Банк Франции/ACPR, ECB).</w:t>
      </w:r>
    </w:p>
    <w:p>
      <w:pPr>
        <w:pStyle w:val="ListBullet"/>
      </w:pPr>
      <w:r>
        <w:t>Для русскоязычного корпуса существует полный набор методов: словарные (Loughran-McDonald, перевод словаря), трансформеры (RuBERT, DeepPavlov), LLM-разметка; каждый класс отличается точностью, стоимостью и контролируемостью.</w:t>
      </w:r>
    </w:p>
    <w:p>
      <w:pPr>
        <w:pStyle w:val="ListBullet"/>
      </w:pPr>
      <w:r>
        <w:t>Для надзорных задач применимы четыре метрики уровня документа: polarity (полярность), polarity asymmetry (асимметрия негативного и позитивного), uncertainty (неопределённость), topic distribution (тематический спектр).</w:t>
      </w:r>
    </w:p>
    <w:p>
      <w:pPr>
        <w:pStyle w:val="ListBullet"/>
      </w:pPr>
      <w:r>
        <w:t>Рекомендуемая схема — каскад «словарный бейзлайн → LLM-разметка контрольной выборки → файнтюн трансформера → локальный инференс», каждый шаг с контролем качества против следующего уровня точности.</w:t>
      </w:r>
    </w:p>
    <w:p>
      <w:pPr>
        <w:pStyle w:val="ListBullet"/>
      </w:pPr>
      <w:r>
        <w:t>Краеугольный вопрос — валидация. Для надзорных применений без внешнего критерия валидации (события, санкции, отзывы лицензий, регуляторные интервенции) индекс тональности останется интерпретационным, а не измерительным инструментом.</w:t>
      </w:r>
    </w:p>
    <w:p>
      <w:pPr>
        <w:pStyle w:val="Heading1"/>
      </w:pPr>
      <w:r>
        <w:t>1. Введение: зачем надзору нужен новостной сентимент</w:t>
      </w:r>
    </w:p>
    <w:p>
      <w:r>
        <w:t>Пруденциальный надзор традиционно опирается на отчётные данные: балансовые показатели, нормативы капитала и ликвидности, данные о кредитных портфелях. Всё это запаздывающие (lagging) показатели: они характеризуют состояние банка на отчетную дату, а не текущее состояние его контрагентов, клиентов и репутационного окружения. Скорость смены режима в кризисных условиях такова, что к моменту попадания тревожного сигнала в отчётность значительная часть ущерба уже нанесена. Именно этот разрыв — между отчётностью и реальным временем — и призван закрыть новостной ивент-слой: публикации в СМИ появляются в течение часов после события и часто опережают официальные отчёты на недели или месяцы.</w:t>
      </w:r>
    </w:p>
    <w:p>
      <w:r>
        <w:t>Логика применения сентимент-анализа в надзоре трёхчастна. Первое: репутационный канал — негативные новости об институции (санкции, иски, уход ключевых сотрудников, отзыв лицензии, кибератаки) — это опережающий индикатор риска дестабилизации клиентов, вкладчиков, контрагентов. Второе: поведенческий канал — резкий сдвиг тональности вокруг отдельной институции может сигнализировать о изменении поведения вкладчиков и контрагентов (заблаговременно к изменению фактической ликвидности). Третье: системный канал — агрегированный сентимент по сектору в целом является опережающим индикатором изменения склонности к риску на уровне финансовой системы.</w:t>
      </w:r>
    </w:p>
    <w:p>
      <w:r>
        <w:t>Международный опыт (см. раздел 3) демонстрирует, что эти три канала активно применяются регуляторами: от простых дашбордов новостей (MAS) до полных NLP-конвейеров с автоматическим разбором судебных решений (Банк Франции/ACPR). Ключевой момент — методы доступны не только крупным центробанкам: значительная часть кейсов реализована на открытых библиотеках (HuggingFace, spaCy, NLTK) на обычных серверах.</w:t>
      </w:r>
    </w:p>
    <w:p>
      <w:pPr>
        <w:pStyle w:val="Heading1"/>
      </w:pPr>
      <w:r>
        <w:t>2. Международная практика: два технологических стандарта</w:t>
      </w:r>
    </w:p>
    <w:p>
      <w:pPr>
        <w:pStyle w:val="Heading2"/>
      </w:pPr>
      <w:r>
        <w:t>2.1. Daily News Sentiment Index (Federal Reserve Bank of San Francisco)</w:t>
      </w:r>
    </w:p>
    <w:p>
      <w:r>
        <w:t>The San Francisco Fed публикует с 2020 года Daily News Sentiment Index (Buckman, Shapiro, Sudhof, Wilson 2020; методология Shapiro, Sudhof, Wilson 2020, Journal of Econometrics) — это основной открытый международный стандарт сентимент-анализа экономических новостей. Схема работы: 24 крупных американских газеты (через Factiva), фильтр по темам economics и стране (United States), статьи от 200 слов, скоринг на уровне статьи, агрегирование в время-ряд с поправкой на изменение состава корпуса (что важно, когда набор источников меняется) и сглаживание взвешенным средним. Словари, код репликации, сами ряды — полностью открыты.</w:t>
      </w:r>
    </w:p>
    <w:p>
      <w:r>
        <w:t>Для надзорных задач эта схема применима напрямую, но требует решения трёх методологических задач, отсутствующих в американском контексте: (а) какие именно статьи считать «экономическими» — критерий Factiva «economics» не применим к российским корпусам, нужен собственный классификатор тем; (б) как обрабатывать репосты и короткие новости без текста; (в) как сопоставить разные источники между собой — в FRBSF-методологии этот вопрос снимается тем, что все газеты англоязычны.</w:t>
      </w:r>
    </w:p>
    <w:p>
      <w:pPr>
        <w:pStyle w:val="Heading2"/>
      </w:pPr>
      <w:r>
        <w:t>2.2. IMF WP 2025/109: LLM-классификация коммуникаций центральных банков</w:t>
      </w:r>
    </w:p>
    <w:p>
      <w:r>
        <w:t>Международный валютный фонд (WP 2025/109, «A Large-Scale LLM Analysis of Central Bank Communication») обработал 74 882 документа ≈ 21 миллион предложений от 169 центральных банков. Ключевое методическое решение: не LLM-генерация, а дообучение (fine-tuning) трансформера на 1 200 размеченных примерах; на редких категориях (hawkish/dovish) трансформер даёт macro-F1 0,731 против 0,612 у ChatGPT-4o. Работа предлагает четыре метрики текста: Net Policy Sentiment — баланс «ястребиных» и «голубиных» формулировок; индекс прямолинейности; индекс объяснительности; Net Confidence — баланс уверенности и обозначения рисков. Для нашего проекта напрямую применимые метрики: hawkish/dovish для новостных публикаций о регуляторе и confidence/risk — для общего тона.</w:t>
      </w:r>
    </w:p>
    <w:p>
      <w:r>
        <w:t>Важный вывод авторов — методологический: LLM-генерация меток на масштабе (млн предложений) дорога и проигрывает в точности файнтюн-трансформеру; целесообразен каскад «LLM разметка выборки → файнтюн трансформера → локальный инференс на полном корпусе».</w:t>
      </w:r>
    </w:p>
    <w:p>
      <w:pPr>
        <w:pStyle w:val="Heading2"/>
      </w:pPr>
      <w:r>
        <w:t>2.3. SupTech-программы: новостной сентимент уже в надзорных приложениях</w:t>
      </w:r>
    </w:p>
    <w:p>
      <w:r>
        <w:t>Обзор Financial Stability Board «The Use of Supervisory and Regulatory Technology» (октябрь 2020, 61 кейс) демонстрирует, что сентимент-разметка новостей и социальных медиа уже является рабочим инструментом надзора: Monetary Authority of Singapore (кейс № 24 FSB) применяет news-мониторинг на основе NLP к нескольким источникам (новости, аналитика, кредитные рейтинги, отчёты брокеров, данные СМИ) в дашборде кредитного риска надзорного блока; Банк Франции / ACPR — проект J-VEILLE (кейс № 22), NLP-разбор 100 000 судебных решений в год против 7 000 публичных жалоб, с выделением фактов нарушений; Австрия и Гонконг (кейсы FSB) — NLP-обработка новостей и соцмедиа с дообучением под язык; ECB — Supervisory Technology Hub с EWS (early warning system) для менее значимых институтов.</w:t>
      </w:r>
    </w:p>
    <w:p>
      <w:r>
        <w:t>Общий урок из кейсов FSB: (а) новостной сентимент — не самостоятельный инструмент, а компонент более широкого дашборда с количественными данными по институции (MAS: combined dashboard); (б) языковая адаптация — главный барьер для не-англоязычных юрисдикций (FSB прямо отмечает, что для не-английских языков требуются дообучение или полная переработка решения); (в) интеграция с надзорным процессом важнее алгоритма.</w:t>
      </w:r>
    </w:p>
    <w:p>
      <w:pPr>
        <w:pStyle w:val="Heading1"/>
      </w:pPr>
      <w:r>
        <w:t>3. Отечественная практика</w:t>
      </w:r>
    </w:p>
    <w:p>
      <w:r>
        <w:t>Три линии развиваются в РФ.</w:t>
      </w:r>
    </w:p>
    <w:p>
      <w:pPr>
        <w:pStyle w:val="Heading2"/>
      </w:pPr>
      <w:r>
        <w:t>3.1. Академическая: восприятие Банка России в Telegram-каналах</w:t>
      </w:r>
    </w:p>
    <w:p>
      <w:r>
        <w:t>Bolshakov, Kartaev et al. (2025, Журнал Новой экономической ассоциации / Вопросы статистики) построили индекс восприятия Банка России в «макротелеграме» (Telegram-каналах о макроэкономике) методами машинного обучения. Индекс демонстрирует свойства опережающего индикатора доверия населения к регулятору. Существенно, что работа выполнена на русскоязычных текстах и живом корпусе — это прямой пример того, что задача технически решаема в российских условиях.</w:t>
      </w:r>
    </w:p>
    <w:p>
      <w:pPr>
        <w:pStyle w:val="Heading2"/>
      </w:pPr>
      <w:r>
        <w:t>3.2. Внутренние проекты ЦБ РФ (публичная информация)</w:t>
      </w:r>
    </w:p>
    <w:p>
      <w:r>
        <w:t>Банк России публично сообщал (Frank Media, 2025) о внутреннем проекте измерения настроений «макротелеграма» — индексируются Telegram-каналы о макроэкономике с оценкой их тональности в отношении ЦБ, инфляции, ключевой ставки. Детали реализации не публиковались; из открытых источников видно, что подход — supervised ML на размеченной вручную выборке.</w:t>
      </w:r>
    </w:p>
    <w:p>
      <w:pPr>
        <w:pStyle w:val="Heading2"/>
      </w:pPr>
      <w:r>
        <w:t>3.3. Лексиконы и трансформеры для русского языка</w:t>
      </w:r>
    </w:p>
    <w:p>
      <w:r>
        <w:t>Инфраструктура для локальной обработки русскоязычных текстов в РФ зрелая: DeepPavlov (открытая, русскоязычная, Apache 2.0), cointegrated (rubert-tiny, ~50 МБ, MIT), seara (rubert-tiny2), RuBERT (118M, Apache 2.0) — все открыты, работоспособны локально, имеют готовые варианты сентимент-головы. Для экономического домена готовых русских моделей мало — есть RuSentiment и SentiRuEval (общий сентимент), but ilyali034/rubert-russian-financial-sentiment — экспериментальная.</w:t>
      </w:r>
    </w:p>
    <w:p>
      <w:r>
        <w:t>Практический вывод: «с нуля» ничего изобретать не нужно; целевые модели и словари либо открыты, либо могут быть адаптированы за разумное время.</w:t>
      </w:r>
    </w:p>
    <w:p>
      <w:pPr>
        <w:pStyle w:val="Heading1"/>
      </w:pPr>
      <w:r>
        <w:t>4. Методы: сравнение и применимость к надзору</w:t>
      </w:r>
    </w:p>
    <w:p>
      <w:r>
        <w:t>Схема разметки зависит от того, что именно нужно надзору. Мы различаем документный и предложения-уровень.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Класс методов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Рус. язык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 на 1 млн статей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Словари (L-M, EL, SSW)</w:t>
            </w:r>
          </w:p>
        </w:tc>
        <w:tc>
          <w:tcPr>
            <w:tcW w:type="dxa" w:w="1728"/>
          </w:tcPr>
          <w:p>
            <w:r>
              <w:t>детерминированности, скорость, открыто</w:t>
            </w:r>
          </w:p>
        </w:tc>
        <w:tc>
          <w:tcPr>
            <w:tcW w:type="dxa" w:w="1728"/>
          </w:tcPr>
          <w:p>
            <w:r>
              <w:t>после перевода словаря</w:t>
            </w:r>
          </w:p>
        </w:tc>
        <w:tc>
          <w:tcPr>
            <w:tcW w:type="dxa" w:w="1728"/>
          </w:tcPr>
          <w:p>
            <w:r>
              <w:t>≈ 0 руб. (время CPU)</w:t>
            </w:r>
          </w:p>
        </w:tc>
        <w:tc>
          <w:tcPr>
            <w:tcW w:type="dxa" w:w="1728"/>
          </w:tcPr>
          <w:p>
            <w:r>
              <w:t>полисемия, синонимия, отрицания — основные источники шума; качество на новостях ниже трансформеров</w:t>
            </w:r>
          </w:p>
        </w:tc>
      </w:tr>
      <w:tr>
        <w:tc>
          <w:tcPr>
            <w:tcW w:type="dxa" w:w="1728"/>
          </w:tcPr>
          <w:p>
            <w:r>
              <w:t>Трансформеры (RuBERT, LaBSE)</w:t>
            </w:r>
          </w:p>
        </w:tc>
        <w:tc>
          <w:tcPr>
            <w:tcW w:type="dxa" w:w="1728"/>
          </w:tcPr>
          <w:p>
            <w:r>
              <w:t>контекстное распознавание, высокое качество</w:t>
            </w:r>
          </w:p>
        </w:tc>
        <w:tc>
          <w:tcPr>
            <w:tcW w:type="dxa" w:w="1728"/>
          </w:tcPr>
          <w:p>
            <w:r>
              <w:t>готовые модели есть</w:t>
            </w:r>
          </w:p>
        </w:tc>
        <w:tc>
          <w:tcPr>
            <w:tcW w:type="dxa" w:w="1728"/>
          </w:tcPr>
          <w:p>
            <w:r>
              <w:t>≈ 0 руб. после файнтюна (локально)</w:t>
            </w:r>
          </w:p>
        </w:tc>
        <w:tc>
          <w:tcPr>
            <w:tcW w:type="dxa" w:w="1728"/>
          </w:tcPr>
          <w:p>
            <w:r>
              <w:t>нужен файнтюн на доменных данных; инференс на CPU ~1–3 ч на 1 млн статей</w:t>
            </w:r>
          </w:p>
        </w:tc>
      </w:tr>
      <w:tr>
        <w:tc>
          <w:tcPr>
            <w:tcW w:type="dxa" w:w="1728"/>
          </w:tcPr>
          <w:p>
            <w:r>
              <w:t>LLM-разметка (deepseek, gpt-oss-120b)</w:t>
            </w:r>
          </w:p>
        </w:tc>
        <w:tc>
          <w:tcPr>
            <w:tcW w:type="dxa" w:w="1728"/>
          </w:tcPr>
          <w:p>
            <w:r>
              <w:t>максимальная точность, нюанс, контекст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$7–15 (nous batch)</w:t>
            </w:r>
          </w:p>
        </w:tc>
        <w:tc>
          <w:tcPr>
            <w:tcW w:type="dxa" w:w="1728"/>
          </w:tcPr>
          <w:p>
            <w:r>
              <w:t>дорогая для полного потока; идеальна для размеченной выборки и валидации</w:t>
            </w:r>
          </w:p>
        </w:tc>
      </w:tr>
      <w:tr>
        <w:tc>
          <w:tcPr>
            <w:tcW w:type="dxa" w:w="1728"/>
          </w:tcPr>
          <w:p>
            <w:r>
              <w:t>Специализированные сервисы (FinBERT)</w:t>
            </w:r>
          </w:p>
        </w:tc>
        <w:tc>
          <w:tcPr>
            <w:tcW w:type="dxa" w:w="1728"/>
          </w:tcPr>
          <w:p>
            <w:r>
              <w:t>встроенные financial-головы</w:t>
            </w:r>
          </w:p>
        </w:tc>
        <w:tc>
          <w:tcPr>
            <w:tcW w:type="dxa" w:w="1728"/>
          </w:tcPr>
          <w:p>
            <w:r>
              <w:t>нет (перевод)</w:t>
            </w:r>
          </w:p>
        </w:tc>
        <w:tc>
          <w:tcPr>
            <w:tcW w:type="dxa" w:w="1728"/>
          </w:tcPr>
          <w:p>
            <w:r>
              <w:t>$300+ API-токены</w:t>
            </w:r>
          </w:p>
        </w:tc>
        <w:tc>
          <w:tcPr>
            <w:tcW w:type="dxa" w:w="1728"/>
          </w:tcPr>
          <w:p>
            <w:r>
              <w:t>не русскоязычны, не подходят без перевода</w:t>
            </w:r>
          </w:p>
        </w:tc>
      </w:tr>
    </w:tbl>
    <w:p>
      <w:r>
        <w:t>Полезность для надзора: метод должен быть (а) воспроизводимым (одинаковый вход — одинаковый выход), (б) с журналируемой точностью, (в) с понятными границами применимости. Словарные методы детерминированы и легко реплицируются; трансформеры после файнтюна — детерминированы на входе, но требуют фиксации версии модели; LLM-разметка в принципе неточно-воспроизводима (вероятностная природа генерации) — что для надзорного регламента может быть неприемлемо.</w:t>
      </w:r>
    </w:p>
    <w:p>
      <w:r>
        <w:t>Ключевая методологическая рекомендация — каскад: словарный базлайн (SSW-style на русском) → LLM-разметка контрольной выборки 5–10 тыс. статей (~10–20 долларов) → файнтюн RuBERT-тiny → валидация словаря против трансформера против ручной разметки на независимой выборке → инференс трансформера на полном потоке локально. Полный каскад по стоимости — порядка 20–30 долларов разметки плюс несколько дней машинного времени; все шаги — локально, без проприетарных API в производственном контуре.</w:t>
      </w:r>
    </w:p>
    <w:p>
      <w:pPr>
        <w:pStyle w:val="Heading1"/>
      </w:pPr>
      <w:r>
        <w:t>5. Что предпринять проекту: порядок действий</w:t>
      </w:r>
    </w:p>
    <w:p>
      <w:pPr>
        <w:pStyle w:val="ListBullet"/>
      </w:pPr>
      <w:r>
        <w:t>Зафиксировать язык и класс разметки: русский, четыре класса (негатив / нейтрально / позитива / неопределённость), на уровне предложения со сводом на уровне документа.</w:t>
      </w:r>
    </w:p>
    <w:p>
      <w:pPr>
        <w:pStyle w:val="ListBullet"/>
      </w:pPr>
      <w:r>
        <w:t>Собрать валидационную выборку 200–500 статей, размеченных вручную двумя-тремя экспертами — это эталон качества (inter-rater κ ≥ 0,7).</w:t>
      </w:r>
    </w:p>
    <w:p>
      <w:pPr>
        <w:pStyle w:val="ListBullet"/>
      </w:pPr>
      <w:r>
        <w:t>LLM-разметка корпуса 5–10 тыс. статей (deepseek или gpt-oss-120b batch, стоимость $5–15) с журналом промптов и версий модели.</w:t>
      </w:r>
    </w:p>
    <w:p>
      <w:pPr>
        <w:pStyle w:val="ListBullet"/>
      </w:pPr>
      <w:r>
        <w:t>Файнтюн tiny-RuBERT (cointegrated/rubert-tiny-sentiment-balanced) на LLM-разметке; валидация против ручной разметки.</w:t>
      </w:r>
    </w:p>
    <w:p>
      <w:pPr>
        <w:pStyle w:val="ListBullet"/>
      </w:pPr>
      <w:r>
        <w:t>Словарный бейзлайн: русифицированный Loughran-McDonald / SSW-словник; оценка точности против ручной разметки и против трансформера.</w:t>
      </w:r>
    </w:p>
    <w:p>
      <w:pPr>
        <w:pStyle w:val="ListBullet"/>
      </w:pPr>
      <w:r>
        <w:t>Построение индексов по документам: агрегирование по банкам, секторам, темам; окна (день, неделя, месяц) и сглаживание.</w:t>
      </w:r>
    </w:p>
    <w:p>
      <w:pPr>
        <w:pStyle w:val="ListBullet"/>
      </w:pPr>
      <w:r>
        <w:t>Внешняя валидация: сопоставление с событиями (санкции, отзыв лицензий, регуляторные меры), с опросами, с рыночными реакциями.</w:t>
      </w:r>
    </w:p>
    <w:p>
      <w:pPr>
        <w:pStyle w:val="ListBullet"/>
      </w:pPr>
      <w:r>
        <w:t>Интеграция: ранняя интеграция с надзорной командой (FRBSF и FSB кейсы показывают, что успех зависит от раннего включения пользователей).</w:t>
      </w:r>
    </w:p>
    <w:p>
      <w:pPr>
        <w:pStyle w:val="Heading1"/>
      </w:pPr>
      <w:r>
        <w:t>6. Ограничения и риски</w:t>
      </w:r>
    </w:p>
    <w:p>
      <w:pPr>
        <w:pStyle w:val="ListBullet"/>
      </w:pPr>
      <w:r>
        <w:t>Словари писались не для русских новостных текстов; полисемия рус. слов («рост», «падение», «риск») систематически искажает словарный скоринг.</w:t>
      </w:r>
    </w:p>
    <w:p>
      <w:pPr>
        <w:pStyle w:val="ListBullet"/>
      </w:pPr>
      <w:r>
        <w:t>Доменный сдвиг: LLM-разметка одной выборки не гарантирует качество на другом домене (новости о банках vs общая экономика).</w:t>
      </w:r>
    </w:p>
    <w:p>
      <w:pPr>
        <w:pStyle w:val="ListBullet"/>
      </w:pPr>
      <w:r>
        <w:t>Смена версий модели меняет выводы; для воспроизводимости нужно фиксировать версии в журнале разметки.</w:t>
      </w:r>
    </w:p>
    <w:p>
      <w:pPr>
        <w:pStyle w:val="ListBullet"/>
      </w:pPr>
      <w:r>
        <w:t>Overreliance: FSB отчёт (9.2) прямо указывает на риск «смещения фокуса на риск, который можно измерить»; новостной индекс не может заменить экспертное суждение супервайзора.</w:t>
      </w:r>
    </w:p>
    <w:p>
      <w:pPr>
        <w:pStyle w:val="ListBullet"/>
      </w:pPr>
      <w:r>
        <w:t>Конфедициальность и данные: если разметка выполняется облачным API, тексты уходят вовне — для надзорных задач это может быть недопустимо; локальный инференс после файнтюна снимает вопрос.</w:t>
      </w:r>
    </w:p>
    <w:p>
      <w:pPr>
        <w:pStyle w:val="Heading1"/>
      </w:pPr>
      <w:r>
        <w:t>7. Приложение: ключевые источники</w:t>
      </w:r>
    </w:p>
    <w:p>
      <w:pPr>
        <w:pStyle w:val="ListBullet"/>
      </w:pPr>
      <w:r>
        <w:t>Buckman, S.R., Shapiro, A.H., Sudhof, M., Wilson, D.J. (2020). News sentiment in the time of COVID-19. FRBSF Economic Letter 2020-08.</w:t>
      </w:r>
    </w:p>
    <w:p>
      <w:pPr>
        <w:pStyle w:val="ListBullet"/>
      </w:pPr>
      <w:r>
        <w:t>Shapiro, A.H., Sudhof, M., Wilson, D.J. (2022). Measuring news sentiment. Journal of Econometrics, 228, 221-243.</w:t>
      </w:r>
    </w:p>
    <w:p>
      <w:pPr>
        <w:pStyle w:val="ListBullet"/>
      </w:pPr>
      <w:r>
        <w:t>IMF (2025). A Large-Scale LLM Analysis of Central Bank Communication. WP/2025/109.</w:t>
      </w:r>
    </w:p>
    <w:p>
      <w:pPr>
        <w:pStyle w:val="ListBullet"/>
      </w:pPr>
      <w:r>
        <w:t>FSB (2020). The Use of Supervisory and Regulatory Technology by Authorities and Regulated Institutions.</w:t>
      </w:r>
    </w:p>
    <w:p>
      <w:pPr>
        <w:pStyle w:val="ListBullet"/>
      </w:pPr>
      <w:r>
        <w:t>Kartaev, P. et al. (2025). Как Банк России воспринимают в Telegram-каналах: построение индекса с использованием методов машинного обучения. Журнал Новой экономической ассоциации / Вопросы статистики.</w:t>
      </w:r>
    </w:p>
    <w:p>
      <w:pPr>
        <w:pStyle w:val="ListBullet"/>
      </w:pPr>
      <w:r>
        <w:t>Loughran, T., McDonald, B. (2011). Textual analysis, dictionaries, and 10-Ks. Journal of Finance, 66(1), 35-65.</w:t>
      </w:r>
    </w:p>
    <w:p>
      <w:pPr>
        <w:pStyle w:val="ListBullet"/>
      </w:pPr>
      <w:r>
        <w:t>Barbaglia, L., Consoli, S., Manzan, S., Pezzoli, L.T., Tosetti, E. (2025). Sentiment analysis of economic text: A lexicon-based approach. Economic Inquiry, 63(1), 125-143.</w:t>
      </w:r>
    </w:p>
    <w:p>
      <w:pPr>
        <w:pStyle w:val="ListBullet"/>
      </w:pPr>
      <w:r>
        <w:t>Baker, S., Bloom, N., Davis, S. (2016). Measuring economic policy uncertainty. QJE, 131(4), 1593-1636.</w:t>
      </w:r>
    </w:p>
    <w:p>
      <w:pPr>
        <w:pStyle w:val="ListBullet"/>
      </w:pPr>
      <w:r>
        <w:t>Thorsrud, L.A. (2020). Words are the new money: News media and sovereign default risk / Journal of Financial Data Science.</w:t>
      </w:r>
    </w:p>
    <w:p>
      <w:pPr>
        <w:pStyle w:val="ListBullet"/>
      </w:pPr>
      <w:r>
        <w:t>Malo, P., Sinha, A., Korhonen, J., Wallenius, J., Takala, P. (2014). Good debt or bad debt: Detecting semantic orientations in economic texts. JASIST 65(3).</w:t>
      </w:r>
    </w:p>
    <w:p>
      <w:pPr>
        <w:pStyle w:val="ListBullet"/>
      </w:pPr>
      <w:r>
        <w:t>Correa, R., Garud, K., Londono, J.M., Mislang, N. (2020). Sentiment in central banks' financial stability reports. IMF WP.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tle">
    <w:name w:val="AcTitle"/>
    <w:basedOn w:val="Title"/>
    <w:rPr>
      <w:rFonts w:ascii="Times New Roman" w:hAnsi="Times New Roman"/>
      <w:b/>
      <w:color w:val="1F3864"/>
      <w:sz w:val="32"/>
    </w:rPr>
  </w:style>
  <w:style w:type="paragraph" w:customStyle="1" w:styleId="AcH1">
    <w:name w:val="AcH1"/>
    <w:basedOn w:val="Heading1"/>
    <w:rPr>
      <w:rFonts w:ascii="Times New Roman" w:hAnsi="Times New Roman"/>
      <w:b/>
      <w:color w:val="1F3864"/>
      <w:sz w:val="28"/>
    </w:rPr>
  </w:style>
  <w:style w:type="paragraph" w:customStyle="1" w:styleId="AcH2">
    <w:name w:val="AcH2"/>
    <w:basedOn w:val="Heading2"/>
    <w:rPr>
      <w:rFonts w:ascii="Times New Roman" w:hAnsi="Times New Roman"/>
      <w:b/>
      <w:color w:val="2E5395"/>
      <w:sz w:val="25"/>
    </w:rPr>
  </w:style>
  <w:style w:type="paragraph" w:customStyle="1" w:styleId="AcNote">
    <w:name w:val="AcNote"/>
    <w:basedOn w:val="Normal"/>
    <w:rPr>
      <w:rFonts w:ascii="Times New Roman" w:hAnsi="Times New Roman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