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Бэктест дизайна на событии 01.07.2024: панельная модель не проходит, эластичность первичного рынка вдвое выше общей</w:t>
      </w:r>
    </w:p>
    <w:bookmarkStart w:id="9" w:name="что-проверялось"/>
    <w:p>
      <w:pPr>
        <w:pStyle w:val="Heading1"/>
      </w:pPr>
      <w:r>
        <w:t xml:space="preserve">Что проверялось</w:t>
      </w:r>
    </w:p>
    <w:p>
      <w:pPr>
        <w:pStyle w:val="FirstParagraph"/>
      </w:pPr>
      <w:r>
        <w:t xml:space="preserve">Дизайн прогноза требует, чтобы его цепочка воспроизводила прошлое событие. Проверка</w:t>
      </w:r>
      <w:r>
        <w:t xml:space="preserve"> </w:t>
      </w:r>
      <w:r>
        <w:t xml:space="preserve">проведена на закрытии массовой программы «Льготная 8%» 01.07.2024: сначала</w:t>
      </w:r>
      <w:r>
        <w:t xml:space="preserve"> </w:t>
      </w:r>
      <w:r>
        <w:t xml:space="preserve">панельная модель (Блок 3 дизайна), затем — после её провала — дизайн разностных</w:t>
      </w:r>
      <w:r>
        <w:t xml:space="preserve"> </w:t>
      </w:r>
      <w:r>
        <w:t xml:space="preserve">разностей с зависимой переменной именно первичного рынка.</w:t>
      </w:r>
    </w:p>
    <w:p>
      <w:pPr>
        <w:pStyle w:val="BodyText"/>
      </w:pPr>
      <w:r>
        <w:t xml:space="preserve">Зависимая переменная — число и объём ипотечных кредитов под залог прав требования</w:t>
      </w:r>
      <w:r>
        <w:t xml:space="preserve"> </w:t>
      </w:r>
      <w:r>
        <w:t xml:space="preserve">по договорам долевого участия (файлы ЦБ</w:t>
      </w:r>
      <w:r>
        <w:t xml:space="preserve"> </w:t>
      </w:r>
      <w:r>
        <w:rPr>
          <w:rStyle w:val="VerbatimChar"/>
        </w:rPr>
        <w:t xml:space="preserve">02_15</w:t>
      </w:r>
      <w:r>
        <w:t xml:space="preserve">–</w:t>
      </w:r>
      <w:r>
        <w:rPr>
          <w:rStyle w:val="VerbatimChar"/>
        </w:rPr>
        <w:t xml:space="preserve">02_17</w:t>
      </w:r>
      <w:r>
        <w:t xml:space="preserve">, 78 регионов, с января</w:t>
      </w:r>
      <w:r>
        <w:t xml:space="preserve"> </w:t>
      </w:r>
      <w:r>
        <w:t xml:space="preserve">2019). Это точная мера кредитования первичного рынка, а не прокси.</w:t>
      </w:r>
    </w:p>
    <w:bookmarkEnd w:id="9"/>
    <w:bookmarkStart w:id="10" w:name="Xc58bb06c550d74b13ce4e4fa28cc90d798d53e0"/>
    <w:p>
      <w:pPr>
        <w:pStyle w:val="Heading1"/>
      </w:pPr>
      <w:r>
        <w:t xml:space="preserve">Результат 1: панельная модель бэктест не проходит</w:t>
      </w:r>
    </w:p>
    <w:p>
      <w:pPr>
        <w:pStyle w:val="FirstParagraph"/>
      </w:pPr>
      <w:r>
        <w:t xml:space="preserve">Спецификация: логарифм числа ИЖК по ДДУ как функция доли массовой программы в</w:t>
      </w:r>
      <w:r>
        <w:t xml:space="preserve"> </w:t>
      </w:r>
      <w:r>
        <w:t xml:space="preserve">общих выдачах (лаг 1 месяц), с фиксированными эффектами региона и месяца.</w:t>
      </w:r>
      <w:r>
        <w:t xml:space="preserve"> </w:t>
      </w:r>
      <w:r>
        <w:t xml:space="preserve">Оценка — только на данных до события (5 068 наблюдений), прогноз — на</w:t>
      </w:r>
      <w:r>
        <w:t xml:space="preserve"> </w:t>
      </w:r>
      <w:r>
        <w:t xml:space="preserve">2024-07…2025-06 (2 028 наблюдений).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Спецификация</w:t>
            </w:r>
          </w:p>
        </w:tc>
        <w:tc>
          <w:tcPr/>
          <w:p>
            <w:pPr>
              <w:pStyle w:val="Compact"/>
            </w:pPr>
            <w:r>
              <w:t xml:space="preserve">β доли программы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R² в выборке</w:t>
            </w:r>
          </w:p>
        </w:tc>
        <w:tc>
          <w:tcPr/>
          <w:p>
            <w:pPr>
              <w:pStyle w:val="Compact"/>
            </w:pPr>
            <w:r>
              <w:t xml:space="preserve">RMSE вне выборки</w:t>
            </w:r>
          </w:p>
        </w:tc>
        <w:tc>
          <w:tcPr/>
          <w:p>
            <w:pPr>
              <w:pStyle w:val="Compact"/>
            </w:pPr>
            <w:r>
              <w:t xml:space="preserve">Наивный прогноз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базовая</w:t>
            </w:r>
          </w:p>
        </w:tc>
        <w:tc>
          <w:tcPr/>
          <w:p>
            <w:pPr>
              <w:pStyle w:val="Compact"/>
            </w:pPr>
            <w:r>
              <w:t xml:space="preserve">+0,141</w:t>
            </w:r>
          </w:p>
        </w:tc>
        <w:tc>
          <w:tcPr/>
          <w:p>
            <w:pPr>
              <w:pStyle w:val="Compact"/>
            </w:pPr>
            <w:r>
              <w:t xml:space="preserve">+0,47</w:t>
            </w:r>
          </w:p>
        </w:tc>
        <w:tc>
          <w:tcPr/>
          <w:p>
            <w:pPr>
              <w:pStyle w:val="Compact"/>
            </w:pPr>
            <w:r>
              <w:t xml:space="preserve">0,950</w:t>
            </w:r>
          </w:p>
        </w:tc>
        <w:tc>
          <w:tcPr/>
          <w:p>
            <w:pPr>
              <w:pStyle w:val="Compact"/>
            </w:pPr>
            <w:r>
              <w:t xml:space="preserve">0,593</w:t>
            </w:r>
          </w:p>
        </w:tc>
        <w:tc>
          <w:tcPr/>
          <w:p>
            <w:pPr>
              <w:pStyle w:val="Compact"/>
            </w:pPr>
            <w:r>
              <w:t xml:space="preserve">0,387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региональные тренды</w:t>
            </w:r>
          </w:p>
        </w:tc>
        <w:tc>
          <w:tcPr/>
          <w:p>
            <w:pPr>
              <w:pStyle w:val="Compact"/>
            </w:pPr>
            <w:r>
              <w:t xml:space="preserve">+0,739</w:t>
            </w:r>
          </w:p>
        </w:tc>
        <w:tc>
          <w:tcPr/>
          <w:p>
            <w:pPr>
              <w:pStyle w:val="Compact"/>
            </w:pPr>
            <w:r>
              <w:t xml:space="preserve">+4,80</w:t>
            </w:r>
          </w:p>
        </w:tc>
        <w:tc>
          <w:tcPr/>
          <w:p>
            <w:pPr>
              <w:pStyle w:val="Compact"/>
            </w:pPr>
            <w:r>
              <w:t xml:space="preserve">0,974</w:t>
            </w:r>
          </w:p>
        </w:tc>
        <w:tc>
          <w:tcPr/>
          <w:p>
            <w:pPr>
              <w:pStyle w:val="Compact"/>
            </w:pPr>
            <w:r>
              <w:t xml:space="preserve">0,507</w:t>
            </w:r>
          </w:p>
        </w:tc>
        <w:tc>
          <w:tcPr/>
          <w:p>
            <w:pPr>
              <w:pStyle w:val="Compact"/>
            </w:pPr>
            <w:r>
              <w:t xml:space="preserve">0,387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Модель хуже наивного прогноза</w:t>
      </w:r>
      <w:r>
        <w:t xml:space="preserve"> </w:t>
      </w:r>
      <w:r>
        <w:t xml:space="preserve">(среднее по региону): RMSE 0,59 и 0,51 против</w:t>
      </w:r>
      <w:r>
        <w:t xml:space="preserve"> </w:t>
      </w:r>
      <w:r>
        <w:t xml:space="preserve">0,39. Импульс эффекта закрытия по модели — от −1,2 % до −6,2 %, тогда как факт</w:t>
      </w:r>
      <w:r>
        <w:t xml:space="preserve"> </w:t>
      </w:r>
      <w:r>
        <w:t xml:space="preserve">радикально иной: в Свердловской области число ИЖК по ДДУ упало с 4 222 в июне</w:t>
      </w:r>
      <w:r>
        <w:t xml:space="preserve"> </w:t>
      </w:r>
      <w:r>
        <w:t xml:space="preserve">2024 до 809 в июле и 1 196 в августе, то есть на 72–81 %; по России — с 95 377 до</w:t>
      </w:r>
      <w:r>
        <w:t xml:space="preserve"> </w:t>
      </w:r>
      <w:r>
        <w:t xml:space="preserve">28 939 (−70 %).</w:t>
      </w:r>
    </w:p>
    <w:p>
      <w:pPr>
        <w:pStyle w:val="BodyText"/>
      </w:pPr>
      <w:r>
        <w:t xml:space="preserve">Причина понятна и поучительна: фиксированные эффекты месяца поглощают общий шок, а</w:t>
      </w:r>
      <w:r>
        <w:t xml:space="preserve"> </w:t>
      </w:r>
      <w:r>
        <w:t xml:space="preserve">идентификация опирается на дифференциальную вариацию доли программы между</w:t>
      </w:r>
      <w:r>
        <w:t xml:space="preserve"> </w:t>
      </w:r>
      <w:r>
        <w:t xml:space="preserve">регионами, которой недостаточно. Регрессор к тому же эндогенен: доля программы</w:t>
      </w:r>
      <w:r>
        <w:t xml:space="preserve"> </w:t>
      </w:r>
      <w:r>
        <w:t xml:space="preserve">сама реагирует на спрос.</w:t>
      </w:r>
      <w:r>
        <w:t xml:space="preserve"> </w:t>
      </w:r>
      <w:r>
        <w:rPr>
          <w:b/>
          <w:bCs/>
        </w:rPr>
        <w:t xml:space="preserve">Вывод: Блок 3 дизайна в такой форме непригоден, его</w:t>
      </w:r>
      <w:r>
        <w:rPr>
          <w:b/>
          <w:bCs/>
        </w:rPr>
        <w:t xml:space="preserve"> </w:t>
      </w:r>
      <w:r>
        <w:rPr>
          <w:b/>
          <w:bCs/>
        </w:rPr>
        <w:t xml:space="preserve">надо переопределить</w:t>
      </w:r>
      <w:r>
        <w:t xml:space="preserve"> </w:t>
      </w:r>
      <w:r>
        <w:t xml:space="preserve">— либо через взаимодействие экспозиции с событием (как в</w:t>
      </w:r>
      <w:r>
        <w:t xml:space="preserve"> </w:t>
      </w:r>
      <w:r>
        <w:t xml:space="preserve">Блоке 2), либо через явную модель агрегированной динамики без дамми месяца.</w:t>
      </w:r>
    </w:p>
    <w:bookmarkEnd w:id="10"/>
    <w:bookmarkStart w:id="11" w:name="Xf1102c2d934a42cdaf68fb37578af42c3fdbf5a"/>
    <w:p>
      <w:pPr>
        <w:pStyle w:val="Heading1"/>
      </w:pPr>
      <w:r>
        <w:t xml:space="preserve">Результат 2: эластичность первичного рынка вдвое выше общей</w:t>
      </w:r>
    </w:p>
    <w:p>
      <w:pPr>
        <w:pStyle w:val="FirstParagraph"/>
      </w:pPr>
      <w:r>
        <w:t xml:space="preserve">Дизайн разностных разностей, тот же, что применялся к общим выдачам, но с</w:t>
      </w:r>
      <w:r>
        <w:t xml:space="preserve"> </w:t>
      </w:r>
      <w:r>
        <w:t xml:space="preserve">зависимой переменной первичного рынка. Экспозиция — доля массовой программы в</w:t>
      </w:r>
      <w:r>
        <w:t xml:space="preserve"> </w:t>
      </w:r>
      <w:r>
        <w:t xml:space="preserve">общих выдачах за 12 месяцев до события (медиана 0,158, максимум 0,490 —</w:t>
      </w:r>
      <w:r>
        <w:t xml:space="preserve"> </w:t>
      </w:r>
      <w:r>
        <w:t xml:space="preserve">Ленинградская область). Окно ±12 месяцев, 78 регионов, кластеризация по региону.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Зависимая переменная</w:t>
            </w:r>
          </w:p>
        </w:tc>
        <w:tc>
          <w:tcPr/>
          <w:p>
            <w:pPr>
              <w:pStyle w:val="Compact"/>
            </w:pPr>
            <w:r>
              <w:t xml:space="preserve">Базовая</w:t>
            </w:r>
          </w:p>
        </w:tc>
        <w:tc>
          <w:tcPr/>
          <w:p>
            <w:pPr>
              <w:pStyle w:val="Compact"/>
            </w:pPr>
            <w:r>
              <w:t xml:space="preserve">+ региональные тренды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ИЖК по ДДУ</w:t>
            </w:r>
          </w:p>
        </w:tc>
        <w:tc>
          <w:tcPr/>
          <w:p>
            <w:pPr>
              <w:pStyle w:val="Compact"/>
            </w:pPr>
            <w:r>
              <w:t xml:space="preserve">−0,661 (t = −3,17)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−1,045 (t = −3,73)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ИЖК по ДДУ</w:t>
            </w:r>
          </w:p>
        </w:tc>
        <w:tc>
          <w:tcPr/>
          <w:p>
            <w:pPr>
              <w:pStyle w:val="Compact"/>
            </w:pPr>
            <w:r>
              <w:t xml:space="preserve">−0,622 (t = −2,83)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−0,994 (t = −3,28)</w:t>
            </w:r>
          </w:p>
        </w:tc>
      </w:tr>
    </w:tbl>
    <w:p>
      <w:pPr>
        <w:pStyle w:val="BodyText"/>
      </w:pPr>
      <w:r>
        <w:t xml:space="preserve">Для сравнения: по</w:t>
      </w:r>
      <w:r>
        <w:t xml:space="preserve"> </w:t>
      </w:r>
      <w:r>
        <w:rPr>
          <w:b/>
          <w:bCs/>
        </w:rPr>
        <w:t xml:space="preserve">общим</w:t>
      </w:r>
      <w:r>
        <w:t xml:space="preserve"> </w:t>
      </w:r>
      <w:r>
        <w:t xml:space="preserve">выдачам та же процедура дала −0,557 (объём, t = −3,84).</w:t>
      </w:r>
      <w:r>
        <w:t xml:space="preserve"> </w:t>
      </w:r>
      <w:r>
        <w:t xml:space="preserve">То есть эффект на первичный рынок примерно</w:t>
      </w:r>
      <w:r>
        <w:t xml:space="preserve"> </w:t>
      </w:r>
      <w:r>
        <w:rPr>
          <w:b/>
          <w:bCs/>
        </w:rPr>
        <w:t xml:space="preserve">вдвое сильнее</w:t>
      </w:r>
      <w:r>
        <w:t xml:space="preserve"> </w:t>
      </w:r>
      <w:r>
        <w:t xml:space="preserve">— что содержательно</w:t>
      </w:r>
      <w:r>
        <w:t xml:space="preserve"> </w:t>
      </w:r>
      <w:r>
        <w:t xml:space="preserve">ожидаемо, поскольку массовая программа была сосредоточена именно на новостройках.</w:t>
      </w:r>
      <w:r>
        <w:t xml:space="preserve"> </w:t>
      </w:r>
      <w:r>
        <w:t xml:space="preserve">Значит, для прогноза реформы 2026 года переносить следует эластичность первичного</w:t>
      </w:r>
      <w:r>
        <w:t xml:space="preserve"> </w:t>
      </w:r>
      <w:r>
        <w:t xml:space="preserve">рынка, а не общую.</w:t>
      </w:r>
    </w:p>
    <w:p>
      <w:pPr>
        <w:pStyle w:val="BodyText"/>
      </w:pPr>
      <w:r>
        <w:rPr>
          <w:b/>
          <w:bCs/>
        </w:rPr>
        <w:t xml:space="preserve">Предтренды чистые</w:t>
      </w:r>
      <w:r>
        <w:t xml:space="preserve"> </w:t>
      </w:r>
      <w:r>
        <w:t xml:space="preserve">(кварталы до события): −0,298 (t = −0,52), −0,064 (t = −0,19),</w:t>
      </w:r>
      <w:r>
        <w:t xml:space="preserve"> </w:t>
      </w:r>
      <w:r>
        <w:t xml:space="preserve">+0,120 (t = +0,64). Постсобытийная динамика: квартал события −0,980 (t = −2,77),</w:t>
      </w:r>
      <w:r>
        <w:t xml:space="preserve"> </w:t>
      </w:r>
      <w:r>
        <w:t xml:space="preserve">далее −0,369, −0,335, −0,255 — то есть удар пришёлся на квартал закрытия и затем</w:t>
      </w:r>
      <w:r>
        <w:t xml:space="preserve"> </w:t>
      </w:r>
      <w:r>
        <w:t xml:space="preserve">ослаб, в отличие от общего кредитования, где эффект нарастал. Это согласуется с</w:t>
      </w:r>
      <w:r>
        <w:t xml:space="preserve"> </w:t>
      </w:r>
      <w:r>
        <w:t xml:space="preserve">перетоком части спроса в оставшиеся программы: первичный рынок быстро получил</w:t>
      </w:r>
      <w:r>
        <w:t xml:space="preserve"> </w:t>
      </w:r>
      <w:r>
        <w:t xml:space="preserve">замещение через «Семейную» и ИТ-ипотеку, тогда как общий объём выдач продолжал</w:t>
      </w:r>
      <w:r>
        <w:t xml:space="preserve"> </w:t>
      </w:r>
      <w:r>
        <w:t xml:space="preserve">снижаться вслед за ставкой.</w:t>
      </w:r>
    </w:p>
    <w:bookmarkEnd w:id="11"/>
    <w:bookmarkStart w:id="12" w:name="Xdc76b43c685c951078f7763346eb20304b528c7"/>
    <w:p>
      <w:pPr>
        <w:pStyle w:val="Heading1"/>
      </w:pPr>
      <w:r>
        <w:t xml:space="preserve">Результат 3: переопределение панельного блока не помогло — эндогенность регрессора</w:t>
      </w:r>
    </w:p>
    <w:p>
      <w:pPr>
        <w:pStyle w:val="FirstParagraph"/>
      </w:pPr>
      <w:r>
        <w:t xml:space="preserve">Попытка исправить панельную модель (этап 4а) состояла в том, чтобы убрать дамми</w:t>
      </w:r>
      <w:r>
        <w:t xml:space="preserve"> </w:t>
      </w:r>
      <w:r>
        <w:t xml:space="preserve">месяца, поглощавшие общий шок, и заменить их сезонностью по календарному месяцу и</w:t>
      </w:r>
      <w:r>
        <w:t xml:space="preserve"> </w:t>
      </w:r>
      <w:r>
        <w:t xml:space="preserve">региональными трендами, оставив долю программы регрессором. Результат —</w:t>
      </w:r>
      <w:r>
        <w:t xml:space="preserve"> </w:t>
      </w:r>
      <w:r>
        <w:rPr>
          <w:b/>
          <w:bCs/>
        </w:rPr>
        <w:t xml:space="preserve">отрицательный, и это содержательно важнее положительного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Спецификация</w:t>
            </w:r>
          </w:p>
        </w:tc>
        <w:tc>
          <w:tcPr/>
          <w:p>
            <w:pPr>
              <w:pStyle w:val="Compact"/>
            </w:pPr>
            <w:r>
              <w:t xml:space="preserve">β доли программы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RMSE вне выборки</w:t>
            </w:r>
          </w:p>
        </w:tc>
        <w:tc>
          <w:tcPr/>
          <w:p>
            <w:pPr>
              <w:pStyle w:val="Compact"/>
            </w:pPr>
            <w:r>
              <w:t xml:space="preserve">Наивный прогноз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сезонность + тренды</w:t>
            </w:r>
          </w:p>
        </w:tc>
        <w:tc>
          <w:tcPr/>
          <w:p>
            <w:pPr>
              <w:pStyle w:val="Compact"/>
            </w:pPr>
            <w:r>
              <w:t xml:space="preserve">+1,038</w:t>
            </w:r>
          </w:p>
        </w:tc>
        <w:tc>
          <w:tcPr/>
          <w:p>
            <w:pPr>
              <w:pStyle w:val="Compact"/>
            </w:pPr>
            <w:r>
              <w:t xml:space="preserve">+9,33</w:t>
            </w:r>
          </w:p>
        </w:tc>
        <w:tc>
          <w:tcPr/>
          <w:p>
            <w:pPr>
              <w:pStyle w:val="Compact"/>
            </w:pPr>
            <w:r>
              <w:t xml:space="preserve">0,606</w:t>
            </w:r>
          </w:p>
        </w:tc>
        <w:tc>
          <w:tcPr/>
          <w:p>
            <w:pPr>
              <w:pStyle w:val="Compact"/>
            </w:pPr>
            <w:r>
              <w:t xml:space="preserve">0,387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сезонность, без трендов</w:t>
            </w:r>
          </w:p>
        </w:tc>
        <w:tc>
          <w:tcPr/>
          <w:p>
            <w:pPr>
              <w:pStyle w:val="Compact"/>
            </w:pPr>
            <w:r>
              <w:t xml:space="preserve">+2,010</w:t>
            </w:r>
          </w:p>
        </w:tc>
        <w:tc>
          <w:tcPr/>
          <w:p>
            <w:pPr>
              <w:pStyle w:val="Compact"/>
            </w:pPr>
            <w:r>
              <w:t xml:space="preserve">+7,57</w:t>
            </w:r>
          </w:p>
        </w:tc>
        <w:tc>
          <w:tcPr/>
          <w:p>
            <w:pPr>
              <w:pStyle w:val="Compact"/>
            </w:pPr>
            <w:r>
              <w:t xml:space="preserve">0,487</w:t>
            </w:r>
          </w:p>
        </w:tc>
        <w:tc>
          <w:tcPr/>
          <w:p>
            <w:pPr>
              <w:pStyle w:val="Compact"/>
            </w:pPr>
            <w:r>
              <w:t xml:space="preserve">0,387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тренды, без сезонности</w:t>
            </w:r>
          </w:p>
        </w:tc>
        <w:tc>
          <w:tcPr/>
          <w:p>
            <w:pPr>
              <w:pStyle w:val="Compact"/>
            </w:pPr>
            <w:r>
              <w:t xml:space="preserve">+0,848</w:t>
            </w:r>
          </w:p>
        </w:tc>
        <w:tc>
          <w:tcPr/>
          <w:p>
            <w:pPr>
              <w:pStyle w:val="Compact"/>
            </w:pPr>
            <w:r>
              <w:t xml:space="preserve">+7,49</w:t>
            </w:r>
          </w:p>
        </w:tc>
        <w:tc>
          <w:tcPr/>
          <w:p>
            <w:pPr>
              <w:pStyle w:val="Compact"/>
            </w:pPr>
            <w:r>
              <w:t xml:space="preserve">0,643</w:t>
            </w:r>
          </w:p>
        </w:tc>
        <w:tc>
          <w:tcPr/>
          <w:p>
            <w:pPr>
              <w:pStyle w:val="Compact"/>
            </w:pPr>
            <w:r>
              <w:t xml:space="preserve">0,387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национальная доля программы</w:t>
            </w:r>
          </w:p>
        </w:tc>
        <w:tc>
          <w:tcPr/>
          <w:p>
            <w:pPr>
              <w:pStyle w:val="Compact"/>
            </w:pPr>
            <w:r>
              <w:t xml:space="preserve">+1,285</w:t>
            </w:r>
          </w:p>
        </w:tc>
        <w:tc>
          <w:tcPr/>
          <w:p>
            <w:pPr>
              <w:pStyle w:val="Compact"/>
            </w:pPr>
            <w:r>
              <w:t xml:space="preserve">+12,06</w:t>
            </w:r>
          </w:p>
        </w:tc>
        <w:tc>
          <w:tcPr/>
          <w:p>
            <w:pPr>
              <w:pStyle w:val="Compact"/>
            </w:pPr>
            <w:r>
              <w:t xml:space="preserve">0,566</w:t>
            </w:r>
          </w:p>
        </w:tc>
        <w:tc>
          <w:tcPr/>
          <w:p>
            <w:pPr>
              <w:pStyle w:val="Compact"/>
            </w:pPr>
            <w:r>
              <w:t xml:space="preserve">0,387</w:t>
            </w:r>
          </w:p>
        </w:tc>
      </w:tr>
    </w:tbl>
    <w:p>
      <w:pPr>
        <w:pStyle w:val="BodyText"/>
      </w:pPr>
      <w:r>
        <w:t xml:space="preserve">Все спецификации хуже наивного прогноза, а знак коэффициента</w:t>
      </w:r>
      <w:r>
        <w:t xml:space="preserve"> </w:t>
      </w:r>
      <w:r>
        <w:rPr>
          <w:b/>
          <w:bCs/>
        </w:rPr>
        <w:t xml:space="preserve">положительный</w:t>
      </w:r>
      <w:r>
        <w:t xml:space="preserve"> </w:t>
      </w:r>
      <w:r>
        <w:t xml:space="preserve">и</w:t>
      </w:r>
      <w:r>
        <w:t xml:space="preserve"> </w:t>
      </w:r>
      <w:r>
        <w:t xml:space="preserve">противоположный оценке разностных разностей. Контрфактический расчёт по такой</w:t>
      </w:r>
      <w:r>
        <w:t xml:space="preserve"> </w:t>
      </w:r>
      <w:r>
        <w:t xml:space="preserve">модели даёт абсурдную величину (+5368 % при замороженной доле программы).</w:t>
      </w:r>
    </w:p>
    <w:p>
      <w:pPr>
        <w:pStyle w:val="BodyText"/>
      </w:pPr>
      <w:r>
        <w:t xml:space="preserve">Причина одна и неустранимая в этой конструкции:</w:t>
      </w:r>
      <w:r>
        <w:t xml:space="preserve"> </w:t>
      </w:r>
      <w:r>
        <w:rPr>
          <w:b/>
          <w:bCs/>
        </w:rPr>
        <w:t xml:space="preserve">доля программы эндогенна</w:t>
      </w:r>
      <w:r>
        <w:t xml:space="preserve">.</w:t>
      </w:r>
      <w:r>
        <w:t xml:space="preserve"> </w:t>
      </w:r>
      <w:r>
        <w:t xml:space="preserve">Она растёт, когда спрос силён, и падает вместе с ним, поэтому коэффициент</w:t>
      </w:r>
      <w:r>
        <w:t xml:space="preserve"> </w:t>
      </w:r>
      <w:r>
        <w:t xml:space="preserve">захватывает совместное движение, а не эффект программы. Фиксированные эффекты</w:t>
      </w:r>
      <w:r>
        <w:t xml:space="preserve"> </w:t>
      </w:r>
      <w:r>
        <w:t xml:space="preserve">месяца в первой версии эту эндогенность случайно маскировали, а их снятие её</w:t>
      </w:r>
      <w:r>
        <w:t xml:space="preserve"> </w:t>
      </w:r>
      <w:r>
        <w:t xml:space="preserve">обнажило.</w:t>
      </w:r>
    </w:p>
    <w:p>
      <w:pPr>
        <w:pStyle w:val="BodyText"/>
      </w:pPr>
      <w:r>
        <w:rPr>
          <w:b/>
          <w:bCs/>
        </w:rPr>
        <w:t xml:space="preserve">Вывод для дизайна: структурная панельная модель с долей программы как</w:t>
      </w:r>
      <w:r>
        <w:rPr>
          <w:b/>
          <w:bCs/>
        </w:rPr>
        <w:t xml:space="preserve"> </w:t>
      </w:r>
      <w:r>
        <w:rPr>
          <w:b/>
          <w:bCs/>
        </w:rPr>
        <w:t xml:space="preserve">регрессором отбрасывается полностью, а не переопределяется.</w:t>
      </w:r>
      <w:r>
        <w:t xml:space="preserve"> </w:t>
      </w:r>
      <w:r>
        <w:t xml:space="preserve">Прогноз строится на</w:t>
      </w:r>
      <w:r>
        <w:t xml:space="preserve"> </w:t>
      </w:r>
      <w:r>
        <w:t xml:space="preserve">конструкции с предопределённой экспозицией (разностные разности), где источник</w:t>
      </w:r>
      <w:r>
        <w:t xml:space="preserve"> </w:t>
      </w:r>
      <w:r>
        <w:t xml:space="preserve">вариации — не наблюдаемая доля программы, а её величина, зафиксированная до</w:t>
      </w:r>
      <w:r>
        <w:t xml:space="preserve"> </w:t>
      </w:r>
      <w:r>
        <w:t xml:space="preserve">события. Это единственная форма, которая прошла проверку предтрендов и дала</w:t>
      </w:r>
      <w:r>
        <w:t xml:space="preserve"> </w:t>
      </w:r>
      <w:r>
        <w:t xml:space="preserve">устойчивую оценку: −1,045 (t = −3,73) по числу и −0,994 (t = −3,28) по объёму ИЖК</w:t>
      </w:r>
      <w:r>
        <w:t xml:space="preserve"> </w:t>
      </w:r>
      <w:r>
        <w:t xml:space="preserve">по ДДУ.</w:t>
      </w:r>
    </w:p>
    <w:p>
      <w:pPr>
        <w:pStyle w:val="BodyText"/>
      </w:pPr>
      <w:r>
        <w:t xml:space="preserve">Практическое следствие: в прогнозе реформы 2026 года нельзя строить уравнение</w:t>
      </w:r>
      <w:r>
        <w:t xml:space="preserve"> </w:t>
      </w:r>
      <w:r>
        <w:t xml:space="preserve">«выдачи = f(доля льготных программ)». Нужна схема переноса «изменение</w:t>
      </w:r>
      <w:r>
        <w:t xml:space="preserve"> </w:t>
      </w:r>
      <w:r>
        <w:t xml:space="preserve">предопределённой экспозиции → изменение спроса», где экспозиция считается по</w:t>
      </w:r>
      <w:r>
        <w:t xml:space="preserve"> </w:t>
      </w:r>
      <w:r>
        <w:t xml:space="preserve">демографии и параметрам программы, а не берётся из фактических выдач.</w:t>
      </w:r>
    </w:p>
    <w:bookmarkEnd w:id="12"/>
    <w:bookmarkStart w:id="13" w:name="X2f20c7a476944e272a95c52edcb03828ffe5aeb"/>
    <w:p>
      <w:pPr>
        <w:pStyle w:val="Heading1"/>
      </w:pPr>
      <w:r>
        <w:t xml:space="preserve">Результат 4: рандомизационный тест подтверждает эластичность</w:t>
      </w:r>
    </w:p>
    <w:p>
      <w:pPr>
        <w:pStyle w:val="FirstParagraph"/>
      </w:pPr>
      <w:r>
        <w:t xml:space="preserve">Проверка вывода при ограниченном числе кластеров: экспозиция случайно</w:t>
      </w:r>
      <w:r>
        <w:t xml:space="preserve"> </w:t>
      </w:r>
      <w:r>
        <w:t xml:space="preserve">перераспределяется между 78 регионами, для каждой из 500 перестановок</w:t>
      </w:r>
      <w:r>
        <w:t xml:space="preserve"> </w:t>
      </w:r>
      <w:r>
        <w:t xml:space="preserve">пересчитывается коэффициент взаимодействия.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Зависимая</w:t>
            </w:r>
          </w:p>
        </w:tc>
        <w:tc>
          <w:tcPr/>
          <w:p>
            <w:pPr>
              <w:pStyle w:val="Compact"/>
            </w:pPr>
            <w:r>
              <w:t xml:space="preserve">Спецификация</w:t>
            </w:r>
          </w:p>
        </w:tc>
        <w:tc>
          <w:tcPr/>
          <w:p>
            <w:pPr>
              <w:pStyle w:val="Compact"/>
            </w:pPr>
            <w:r>
              <w:t xml:space="preserve">Наблюдённый</w:t>
            </w:r>
          </w:p>
        </w:tc>
        <w:tc>
          <w:tcPr/>
          <w:p>
            <w:pPr>
              <w:pStyle w:val="Compact"/>
            </w:pPr>
            <w:r>
              <w:t xml:space="preserve">p (перестановка)</w:t>
            </w:r>
          </w:p>
        </w:tc>
        <w:tc>
          <w:tcPr/>
          <w:p>
            <w:pPr>
              <w:pStyle w:val="Compact"/>
            </w:pPr>
            <w:r>
              <w:t xml:space="preserve">sd перестановок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ИЖК по ДДУ</w:t>
            </w:r>
          </w:p>
        </w:tc>
        <w:tc>
          <w:tcPr/>
          <w:p>
            <w:pPr>
              <w:pStyle w:val="Compact"/>
            </w:pPr>
            <w:r>
              <w:t xml:space="preserve">базовая</w:t>
            </w:r>
          </w:p>
        </w:tc>
        <w:tc>
          <w:tcPr/>
          <w:p>
            <w:pPr>
              <w:pStyle w:val="Compact"/>
            </w:pPr>
            <w:r>
              <w:t xml:space="preserve">−0,661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0,002</w:t>
            </w:r>
          </w:p>
        </w:tc>
        <w:tc>
          <w:tcPr/>
          <w:p>
            <w:pPr>
              <w:pStyle w:val="Compact"/>
            </w:pPr>
            <w:r>
              <w:t xml:space="preserve">0,233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ИЖК по ДДУ</w:t>
            </w:r>
          </w:p>
        </w:tc>
        <w:tc>
          <w:tcPr/>
          <w:p>
            <w:pPr>
              <w:pStyle w:val="Compact"/>
            </w:pPr>
            <w:r>
              <w:t xml:space="preserve">+ тренды</w:t>
            </w:r>
          </w:p>
        </w:tc>
        <w:tc>
          <w:tcPr/>
          <w:p>
            <w:pPr>
              <w:pStyle w:val="Compact"/>
            </w:pPr>
            <w:r>
              <w:t xml:space="preserve">−1,045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0,002</w:t>
            </w:r>
          </w:p>
        </w:tc>
        <w:tc>
          <w:tcPr/>
          <w:p>
            <w:pPr>
              <w:pStyle w:val="Compact"/>
            </w:pPr>
            <w:r>
              <w:t xml:space="preserve">0,303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ИЖК по ДДУ</w:t>
            </w:r>
          </w:p>
        </w:tc>
        <w:tc>
          <w:tcPr/>
          <w:p>
            <w:pPr>
              <w:pStyle w:val="Compact"/>
            </w:pPr>
            <w:r>
              <w:t xml:space="preserve">базовая</w:t>
            </w:r>
          </w:p>
        </w:tc>
        <w:tc>
          <w:tcPr/>
          <w:p>
            <w:pPr>
              <w:pStyle w:val="Compact"/>
            </w:pPr>
            <w:r>
              <w:t xml:space="preserve">−0,622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0,006</w:t>
            </w:r>
          </w:p>
        </w:tc>
        <w:tc>
          <w:tcPr/>
          <w:p>
            <w:pPr>
              <w:pStyle w:val="Compact"/>
            </w:pPr>
            <w:r>
              <w:t xml:space="preserve">0,215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ИЖК по ДДУ</w:t>
            </w:r>
          </w:p>
        </w:tc>
        <w:tc>
          <w:tcPr/>
          <w:p>
            <w:pPr>
              <w:pStyle w:val="Compact"/>
            </w:pPr>
            <w:r>
              <w:t xml:space="preserve">+ тренды</w:t>
            </w:r>
          </w:p>
        </w:tc>
        <w:tc>
          <w:tcPr/>
          <w:p>
            <w:pPr>
              <w:pStyle w:val="Compact"/>
            </w:pPr>
            <w:r>
              <w:t xml:space="preserve">−0,994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0,000</w:t>
            </w:r>
          </w:p>
        </w:tc>
        <w:tc>
          <w:tcPr/>
          <w:p>
            <w:pPr>
              <w:pStyle w:val="Compact"/>
            </w:pPr>
            <w:r>
              <w:t xml:space="preserve">0,309</w:t>
            </w:r>
          </w:p>
        </w:tc>
      </w:tr>
    </w:tbl>
    <w:p>
      <w:pPr>
        <w:pStyle w:val="BodyText"/>
      </w:pPr>
      <w:r>
        <w:t xml:space="preserve">Контраст с общим кредитованием показателен: там та же процедура давала</w:t>
      </w:r>
      <w:r>
        <w:t xml:space="preserve"> </w:t>
      </w:r>
      <w:r>
        <w:t xml:space="preserve">p = 0,47 и 0,34, то есть эффект на общий объём неотличим от случайности, а на</w:t>
      </w:r>
      <w:r>
        <w:t xml:space="preserve"> </w:t>
      </w:r>
      <w:r>
        <w:t xml:space="preserve">первичном рынке он устойчив на уровне ниже одного процента. Это ещё один аргумент</w:t>
      </w:r>
      <w:r>
        <w:t xml:space="preserve"> </w:t>
      </w:r>
      <w:r>
        <w:t xml:space="preserve">в пользу того, что прогноз реформы следует строить на первичном рынке.</w:t>
      </w:r>
    </w:p>
    <w:bookmarkEnd w:id="13"/>
    <w:bookmarkStart w:id="14" w:name="что-это-меняет-в-дизайне"/>
    <w:p>
      <w:pPr>
        <w:pStyle w:val="Heading1"/>
      </w:pPr>
      <w:r>
        <w:t xml:space="preserve">Что это меняет в дизайне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Блок 2 (перенос эластичностей):</w:t>
      </w:r>
      <w:r>
        <w:t xml:space="preserve"> </w:t>
      </w:r>
      <w:r>
        <w:t xml:space="preserve">базой становится −1,0 на единицу экспозиции</w:t>
      </w:r>
      <w:r>
        <w:t xml:space="preserve"> </w:t>
      </w:r>
      <w:r>
        <w:t xml:space="preserve">для числа и объёма ИЖК по ДДУ, с интервалом по кластерной ошибке, а не −0,557.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Блок 3 (панельная модель):</w:t>
      </w:r>
      <w:r>
        <w:t xml:space="preserve"> </w:t>
      </w:r>
      <w:r>
        <w:rPr>
          <w:b/>
          <w:bCs/>
        </w:rPr>
        <w:t xml:space="preserve">отбракована полностью</w:t>
      </w:r>
      <w:r>
        <w:t xml:space="preserve"> </w:t>
      </w:r>
      <w:r>
        <w:t xml:space="preserve">— и в исходной форме, и</w:t>
      </w:r>
      <w:r>
        <w:t xml:space="preserve"> </w:t>
      </w:r>
      <w:r>
        <w:t xml:space="preserve">после переопределения без дамми месяца (см. результат 3). Прогноз переведён на</w:t>
      </w:r>
      <w:r>
        <w:t xml:space="preserve"> </w:t>
      </w:r>
      <w:r>
        <w:t xml:space="preserve">схему переноса с предопределённой экспозицией; уравнение «выдачи = f(доля</w:t>
      </w:r>
      <w:r>
        <w:t xml:space="preserve"> </w:t>
      </w:r>
      <w:r>
        <w:t xml:space="preserve">льготных программ)» использовать нельзя.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Прогноз по первичному рынку</w:t>
      </w:r>
      <w:r>
        <w:t xml:space="preserve"> </w:t>
      </w:r>
      <w:r>
        <w:t xml:space="preserve">строится на эластичности −1,0, и это меняет</w:t>
      </w:r>
      <w:r>
        <w:t xml:space="preserve"> </w:t>
      </w:r>
      <w:r>
        <w:t xml:space="preserve">порядок величин: эффект реформы на первичный рынок будет примерно вдвое больше,</w:t>
      </w:r>
      <w:r>
        <w:t xml:space="preserve"> </w:t>
      </w:r>
      <w:r>
        <w:t xml:space="preserve">чем давала прежняя (общая) эластичность.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Замещение реально и быстро</w:t>
      </w:r>
      <w:r>
        <w:t xml:space="preserve">: постсобытийная динамика первичного рынка</w:t>
      </w:r>
      <w:r>
        <w:t xml:space="preserve"> </w:t>
      </w:r>
      <w:r>
        <w:t xml:space="preserve">показывает ослабление эффекта через один-два квартала, поэтому в прогнозе</w:t>
      </w:r>
      <w:r>
        <w:t xml:space="preserve"> </w:t>
      </w:r>
      <w:r>
        <w:t xml:space="preserve">нельзя закладывать постоянное падение — нужна траектория с восстановлением.</w:t>
      </w:r>
    </w:p>
    <w:bookmarkEnd w:id="14"/>
    <w:bookmarkStart w:id="15" w:name="ограничения"/>
    <w:p>
      <w:pPr>
        <w:pStyle w:val="Heading1"/>
      </w:pPr>
      <w:r>
        <w:t xml:space="preserve">Ограничения</w:t>
      </w:r>
    </w:p>
    <w:p>
      <w:pPr>
        <w:pStyle w:val="Compact"/>
        <w:numPr>
          <w:ilvl w:val="0"/>
          <w:numId w:val="1002"/>
        </w:numPr>
      </w:pPr>
      <w:r>
        <w:t xml:space="preserve">Экспозиция измерена долей массовой программы и не отражает адресные программы,</w:t>
      </w:r>
      <w:r>
        <w:t xml:space="preserve"> </w:t>
      </w:r>
      <w:r>
        <w:t xml:space="preserve">которые как раз и обеспечили замещение.</w:t>
      </w:r>
    </w:p>
    <w:p>
      <w:pPr>
        <w:pStyle w:val="Compact"/>
        <w:numPr>
          <w:ilvl w:val="0"/>
          <w:numId w:val="1002"/>
        </w:numPr>
      </w:pPr>
      <w:r>
        <w:t xml:space="preserve">Ряд ИЖК по ДДУ охватывает кредиты под залог прав требования; часть первичных</w:t>
      </w:r>
      <w:r>
        <w:t xml:space="preserve"> </w:t>
      </w:r>
      <w:r>
        <w:t xml:space="preserve">сделок (полностью оплаченные без кредита) в него не входит.</w:t>
      </w:r>
    </w:p>
    <w:p>
      <w:pPr>
        <w:pStyle w:val="Compact"/>
        <w:numPr>
          <w:ilvl w:val="0"/>
          <w:numId w:val="1002"/>
        </w:numPr>
      </w:pPr>
      <w:r>
        <w:t xml:space="preserve">Кластеров 78 — приемлемо;</w:t>
      </w:r>
      <w:r>
        <w:t xml:space="preserve"> </w:t>
      </w:r>
      <w:r>
        <w:rPr>
          <w:b/>
          <w:bCs/>
        </w:rPr>
        <w:t xml:space="preserve">рандомизационный тест проведён</w:t>
      </w:r>
      <w:r>
        <w:t xml:space="preserve"> </w:t>
      </w:r>
      <w:r>
        <w:t xml:space="preserve">(500 перестановок</w:t>
      </w:r>
      <w:r>
        <w:t xml:space="preserve"> </w:t>
      </w:r>
      <w:r>
        <w:t xml:space="preserve">экспозиции между регионами): p = 0,002 для числа и 0,000 для объёма в</w:t>
      </w:r>
      <w:r>
        <w:t xml:space="preserve"> </w:t>
      </w:r>
      <w:r>
        <w:t xml:space="preserve">спецификациях с трендами, 0,002 и 0,006 — в базовых. Оценка устойчива к способу</w:t>
      </w:r>
      <w:r>
        <w:t xml:space="preserve"> </w:t>
      </w:r>
      <w:r>
        <w:t xml:space="preserve">вывода, в отличие от общего кредитования, где перестановочный тест давал</w:t>
      </w:r>
      <w:r>
        <w:t xml:space="preserve"> </w:t>
      </w:r>
      <w:r>
        <w:t xml:space="preserve">p = 0,47–0,34.</w:t>
      </w:r>
    </w:p>
    <w:p>
      <w:pPr>
        <w:pStyle w:val="Compact"/>
        <w:numPr>
          <w:ilvl w:val="0"/>
          <w:numId w:val="1002"/>
        </w:numPr>
      </w:pPr>
      <w:r>
        <w:t xml:space="preserve">Событие 01.07.2024 совпало с изменением условий «Семейной ипотеки» (закрытие</w:t>
      </w:r>
      <w:r>
        <w:t xml:space="preserve"> </w:t>
      </w:r>
      <w:r>
        <w:t xml:space="preserve">массовой программы сопровождалось продлением адресных), поэтому оценка</w:t>
      </w:r>
      <w:r>
        <w:t xml:space="preserve"> </w:t>
      </w:r>
      <w:r>
        <w:t xml:space="preserve">включает эффект замещения, а не только эффект отмены.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Бэктест дизайна на событии 01.07.2024: панельная модель не проходит, эластичность первичного рынка вдвое выше общей</dc:title>
  <dc:creator/>
  <cp:keywords/>
  <dcterms:created xsi:type="dcterms:W3CDTF">2026-10-02T05:44:37Z</dcterms:created>
  <dcterms:modified xsi:type="dcterms:W3CDTF">2026-10-02T05:44:37Z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2026-10-01</vt:lpwstr>
  </property>
  <property fmtid="{D5CDD505-2E9C-101B-9397-08002B2CF9AE}" pid="3" name="sources">
    <vt:lpwstr/>
  </property>
  <property fmtid="{D5CDD505-2E9C-101B-9397-08002B2CF9AE}" pid="4" name="status">
    <vt:lpwstr>done</vt:lpwstr>
  </property>
  <property fmtid="{D5CDD505-2E9C-101B-9397-08002B2CF9AE}" pid="5" name="tags">
    <vt:lpwstr/>
  </property>
  <property fmtid="{D5CDD505-2E9C-101B-9397-08002B2CF9AE}" pid="6" name="task">
    <vt:lpwstr>этап 4 дизайна (queries/dizayn-prognoz-spros-pervichka-reforma-2026.md)</vt:lpwstr>
  </property>
  <property fmtid="{D5CDD505-2E9C-101B-9397-08002B2CF9AE}" pid="7" name="type">
    <vt:lpwstr>note</vt:lpwstr>
  </property>
</Properties>
</file>