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Дизайн исследования: прогноз спроса на первичное жильё при изменении условий «Семейной ипотеки» с 01.10.2026</w:t>
      </w:r>
    </w:p>
    <w:bookmarkStart w:id="9" w:name="вопрос-и-объект-прогноза"/>
    <w:p>
      <w:pPr>
        <w:pStyle w:val="Heading1"/>
      </w:pPr>
      <w:r>
        <w:t xml:space="preserve">1. Вопрос и объект прогноза</w:t>
      </w:r>
    </w:p>
    <w:p>
      <w:pPr>
        <w:pStyle w:val="FirstParagraph"/>
      </w:pPr>
      <w:r>
        <w:t xml:space="preserve">Вопрос: как изменится величина спроса на жильё на первичном рынке после</w:t>
      </w:r>
      <w:r>
        <w:t xml:space="preserve"> </w:t>
      </w:r>
      <w:r>
        <w:t xml:space="preserve">изменения условий «Семейной ипотеки» с 1 октября 2026 года — по России в целом и</w:t>
      </w:r>
      <w:r>
        <w:t xml:space="preserve"> </w:t>
      </w:r>
      <w:r>
        <w:t xml:space="preserve">по субъектам, с отдельным фокусом на Уральский макрорегион.</w:t>
      </w:r>
    </w:p>
    <w:p>
      <w:pPr>
        <w:pStyle w:val="BodyText"/>
      </w:pPr>
      <w:r>
        <w:t xml:space="preserve">Объект прогноза — не «цена» и не «доступность» сами по себе, а</w:t>
      </w:r>
      <w:r>
        <w:t xml:space="preserve"> </w:t>
      </w:r>
      <w:r>
        <w:rPr>
          <w:b/>
          <w:bCs/>
        </w:rPr>
        <w:t xml:space="preserve">величина спроса</w:t>
      </w:r>
      <w:r>
        <w:t xml:space="preserve">,</w:t>
      </w:r>
      <w:r>
        <w:t xml:space="preserve"> </w:t>
      </w:r>
      <w:r>
        <w:t xml:space="preserve">то есть платёжеспособная потребность в приобретении жилья на первичном рынке. Она</w:t>
      </w:r>
      <w:r>
        <w:t xml:space="preserve"> </w:t>
      </w:r>
      <w:r>
        <w:t xml:space="preserve">раскладывается на три измеримые компоненты: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число сделок</w:t>
      </w:r>
      <w:r>
        <w:t xml:space="preserve"> </w:t>
      </w:r>
      <w:r>
        <w:t xml:space="preserve">на первичном рынке (договоры долевого участия, далее ДДУ);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средний размер кредита</w:t>
      </w:r>
      <w:r>
        <w:t xml:space="preserve"> </w:t>
      </w:r>
      <w:r>
        <w:t xml:space="preserve">и его распределение по категориям семей;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структура по типу жилья</w:t>
      </w:r>
      <w:r>
        <w:t xml:space="preserve"> </w:t>
      </w:r>
      <w:r>
        <w:t xml:space="preserve">— многоквартирные дома против индивидуального</w:t>
      </w:r>
      <w:r>
        <w:t xml:space="preserve"> </w:t>
      </w:r>
      <w:r>
        <w:t xml:space="preserve">жилищного строительства (далее ИЖС), поскольку реформа обращается с ними</w:t>
      </w:r>
      <w:r>
        <w:t xml:space="preserve"> </w:t>
      </w:r>
      <w:r>
        <w:t xml:space="preserve">по-разному.</w:t>
      </w:r>
    </w:p>
    <w:p>
      <w:pPr>
        <w:pStyle w:val="FirstParagraph"/>
      </w:pPr>
      <w:r>
        <w:t xml:space="preserve">Прогноз строится не одной цифрой, а</w:t>
      </w:r>
      <w:r>
        <w:t xml:space="preserve"> </w:t>
      </w:r>
      <w:r>
        <w:rPr>
          <w:b/>
          <w:bCs/>
        </w:rPr>
        <w:t xml:space="preserve">набором сценариев с явной механикой</w:t>
      </w:r>
      <w:r>
        <w:t xml:space="preserve">: при</w:t>
      </w:r>
      <w:r>
        <w:t xml:space="preserve"> </w:t>
      </w:r>
      <w:r>
        <w:t xml:space="preserve">каком поведении заёмщиков получается какой результат. Это принципиально, потому что</w:t>
      </w:r>
      <w:r>
        <w:t xml:space="preserve"> </w:t>
      </w:r>
      <w:r>
        <w:t xml:space="preserve">событие ещё не наблюдаемо и любая точечная оценка без сценарной рамки была бы</w:t>
      </w:r>
      <w:r>
        <w:t xml:space="preserve"> </w:t>
      </w:r>
      <w:r>
        <w:t xml:space="preserve">выдумкой.</w:t>
      </w:r>
    </w:p>
    <w:bookmarkEnd w:id="9"/>
    <w:bookmarkStart w:id="10" w:name="что-именно-меняется-параметры-реформы"/>
    <w:p>
      <w:pPr>
        <w:pStyle w:val="Heading1"/>
      </w:pPr>
      <w:r>
        <w:t xml:space="preserve">2. Что именно меняется: параметры реформы</w:t>
      </w:r>
    </w:p>
    <w:p>
      <w:pPr>
        <w:pStyle w:val="FirstParagraph"/>
      </w:pPr>
      <w:r>
        <w:t xml:space="preserve">Источник — пресс-релиз Минфина от 24.09.2026 (канонический источник, класс A).</w:t>
      </w:r>
      <w:r>
        <w:t xml:space="preserve"> </w:t>
      </w:r>
      <w:r>
        <w:t xml:space="preserve">Изменения применяются к</w:t>
      </w:r>
      <w:r>
        <w:t xml:space="preserve"> </w:t>
      </w:r>
      <w:r>
        <w:rPr>
          <w:b/>
          <w:bCs/>
        </w:rPr>
        <w:t xml:space="preserve">новым договорам с 01.10.2026</w:t>
      </w:r>
      <w:r>
        <w:t xml:space="preserve">.</w:t>
      </w:r>
    </w:p>
    <w:p>
      <w:pPr>
        <w:pStyle w:val="BodyText"/>
      </w:pPr>
      <w:r>
        <w:t xml:space="preserve">Обязательное условие для всех категорий:</w:t>
      </w:r>
      <w:r>
        <w:t xml:space="preserve"> </w:t>
      </w:r>
      <w:r>
        <w:rPr>
          <w:b/>
          <w:bCs/>
        </w:rPr>
        <w:t xml:space="preserve">хотя бы один ребёнок не достиг 7 лет на</w:t>
      </w:r>
      <w:r>
        <w:rPr>
          <w:b/>
          <w:bCs/>
        </w:rPr>
        <w:t xml:space="preserve"> </w:t>
      </w:r>
      <w:r>
        <w:rPr>
          <w:b/>
          <w:bCs/>
        </w:rPr>
        <w:t xml:space="preserve">дату заключения договора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Детей</w:t>
            </w:r>
          </w:p>
        </w:tc>
        <w:tc>
          <w:tcPr/>
          <w:p>
            <w:pPr>
              <w:pStyle w:val="Compact"/>
            </w:pPr>
            <w:r>
              <w:t xml:space="preserve">Вне столичных регионов</w:t>
            </w:r>
          </w:p>
        </w:tc>
        <w:tc>
          <w:tcPr/>
          <w:p>
            <w:pPr>
              <w:pStyle w:val="Compact"/>
            </w:pPr>
            <w:r>
              <w:t xml:space="preserve">Столичные регионы (Москва, МО, СПб, ЛО)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и более</w:t>
            </w:r>
          </w:p>
        </w:tc>
        <w:tc>
          <w:tcPr/>
          <w:p>
            <w:pPr>
              <w:pStyle w:val="Compact"/>
            </w:pPr>
            <w:r>
              <w:t xml:space="preserve">2 %, лимит 10 млн</w:t>
            </w:r>
          </w:p>
        </w:tc>
        <w:tc>
          <w:tcPr/>
          <w:p>
            <w:pPr>
              <w:pStyle w:val="Compact"/>
            </w:pPr>
            <w:r>
              <w:t xml:space="preserve">4 %, лимит 18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4 %, лимит 10 млн</w:t>
            </w:r>
          </w:p>
        </w:tc>
        <w:tc>
          <w:tcPr/>
          <w:p>
            <w:pPr>
              <w:pStyle w:val="Compact"/>
            </w:pPr>
            <w:r>
              <w:t xml:space="preserve">6 %, лимит 18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6 %, лимит 10 млн</w:t>
            </w:r>
          </w:p>
        </w:tc>
        <w:tc>
          <w:tcPr/>
          <w:p>
            <w:pPr>
              <w:pStyle w:val="Compact"/>
            </w:pPr>
            <w:r>
              <w:t xml:space="preserve">8 %, лимит 18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8 %, лимит 8 млн</w:t>
            </w:r>
          </w:p>
        </w:tc>
        <w:tc>
          <w:tcPr/>
          <w:p>
            <w:pPr>
              <w:pStyle w:val="Compact"/>
            </w:pPr>
            <w:r>
              <w:t xml:space="preserve">10 %, лимит 15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10 %, лимит 6 млн</w:t>
            </w:r>
          </w:p>
        </w:tc>
        <w:tc>
          <w:tcPr/>
          <w:p>
            <w:pPr>
              <w:pStyle w:val="Compact"/>
            </w:pPr>
            <w:r>
              <w:t xml:space="preserve">12 %, лимит 12 млн</w:t>
            </w:r>
          </w:p>
        </w:tc>
      </w:tr>
    </w:tbl>
    <w:p>
      <w:pPr>
        <w:pStyle w:val="BodyText"/>
      </w:pPr>
      <w:r>
        <w:t xml:space="preserve">Дополнительно:</w:t>
      </w:r>
      <w:r>
        <w:t xml:space="preserve"> </w:t>
      </w:r>
      <w:r>
        <w:rPr>
          <w:b/>
          <w:bCs/>
        </w:rPr>
        <w:t xml:space="preserve">ИЖС</w:t>
      </w:r>
      <w:r>
        <w:t xml:space="preserve"> </w:t>
      </w:r>
      <w:r>
        <w:t xml:space="preserve">(строительство дома, его завершение, покупка земли с</w:t>
      </w:r>
      <w:r>
        <w:t xml:space="preserve"> </w:t>
      </w:r>
      <w:r>
        <w:t xml:space="preserve">последующим возведением) — ставка</w:t>
      </w:r>
      <w:r>
        <w:t xml:space="preserve"> </w:t>
      </w:r>
      <w:r>
        <w:rPr>
          <w:b/>
          <w:bCs/>
        </w:rPr>
        <w:t xml:space="preserve">6 % независимо от числа детей и региона</w:t>
      </w:r>
      <w:r>
        <w:t xml:space="preserve">;</w:t>
      </w:r>
      <w:r>
        <w:t xml:space="preserve"> </w:t>
      </w:r>
      <w:r>
        <w:rPr>
          <w:b/>
          <w:bCs/>
        </w:rPr>
        <w:t xml:space="preserve">максимальный срок субсидирования — 15 лет</w:t>
      </w:r>
      <w:r>
        <w:t xml:space="preserve">.</w:t>
      </w:r>
    </w:p>
    <w:p>
      <w:pPr>
        <w:pStyle w:val="BodyText"/>
      </w:pPr>
      <w:r>
        <w:t xml:space="preserve">Для сравнения, до реформы: единая ставка 6 % на весь срок, лимит 6 млн вне</w:t>
      </w:r>
      <w:r>
        <w:t xml:space="preserve"> </w:t>
      </w:r>
      <w:r>
        <w:t xml:space="preserve">столичных регионов и 12 млн в столичных, право давали ребёнок до 6 лет</w:t>
      </w:r>
      <w:r>
        <w:t xml:space="preserve"> </w:t>
      </w:r>
      <w:r>
        <w:t xml:space="preserve">включительно, либо двое и более несовершеннолетних детей, либо ребёнок-инвалид.</w:t>
      </w:r>
    </w:p>
    <w:bookmarkEnd w:id="10"/>
    <w:bookmarkStart w:id="11" w:name="X218e143e0e9c405a884286d75b44b7c4f070f5b"/>
    <w:p>
      <w:pPr>
        <w:pStyle w:val="Heading1"/>
      </w:pPr>
      <w:r>
        <w:t xml:space="preserve">3. Три маржи воздействия и два канала замещения</w:t>
      </w:r>
    </w:p>
    <w:p>
      <w:pPr>
        <w:pStyle w:val="FirstParagraph"/>
      </w:pPr>
      <w:r>
        <w:t xml:space="preserve">Реформа не является однородным ужесточением — в ней одновременно работают</w:t>
      </w:r>
      <w:r>
        <w:t xml:space="preserve"> </w:t>
      </w:r>
      <w:r>
        <w:t xml:space="preserve">противоположные силы. Это и делает задачу содержательной.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Маржа</w:t>
            </w:r>
          </w:p>
        </w:tc>
        <w:tc>
          <w:tcPr/>
          <w:p>
            <w:pPr>
              <w:pStyle w:val="Compact"/>
            </w:pPr>
            <w:r>
              <w:t xml:space="preserve">Было</w:t>
            </w:r>
          </w:p>
        </w:tc>
        <w:tc>
          <w:tcPr/>
          <w:p>
            <w:pPr>
              <w:pStyle w:val="Compact"/>
            </w:pPr>
            <w:r>
              <w:t xml:space="preserve">Стало</w:t>
            </w:r>
          </w:p>
        </w:tc>
        <w:tc>
          <w:tcPr/>
          <w:p>
            <w:pPr>
              <w:pStyle w:val="Compact"/>
            </w:pPr>
            <w:r>
              <w:t xml:space="preserve">Направление спроса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Ставка для семей с 1 ребёнком</w:t>
            </w:r>
          </w:p>
        </w:tc>
        <w:tc>
          <w:tcPr/>
          <w:p>
            <w:pPr>
              <w:pStyle w:val="Compact"/>
            </w:pPr>
            <w:r>
              <w:t xml:space="preserve">6 %</w:t>
            </w:r>
          </w:p>
        </w:tc>
        <w:tc>
          <w:tcPr/>
          <w:p>
            <w:pPr>
              <w:pStyle w:val="Compact"/>
            </w:pPr>
            <w:r>
              <w:t xml:space="preserve">10 % (регионы) / 12 % (столицы)</w:t>
            </w:r>
          </w:p>
        </w:tc>
        <w:tc>
          <w:tcPr/>
          <w:p>
            <w:pPr>
              <w:pStyle w:val="Compact"/>
            </w:pPr>
            <w:r>
              <w:t xml:space="preserve">вниз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Ставка для семей с 2 детьми</w:t>
            </w:r>
          </w:p>
        </w:tc>
        <w:tc>
          <w:tcPr/>
          <w:p>
            <w:pPr>
              <w:pStyle w:val="Compact"/>
            </w:pPr>
            <w:r>
              <w:t xml:space="preserve">6 %</w:t>
            </w:r>
          </w:p>
        </w:tc>
        <w:tc>
          <w:tcPr/>
          <w:p>
            <w:pPr>
              <w:pStyle w:val="Compact"/>
            </w:pPr>
            <w:r>
              <w:t xml:space="preserve">8 % (регионы) / 10 % (столицы)</w:t>
            </w:r>
          </w:p>
        </w:tc>
        <w:tc>
          <w:tcPr/>
          <w:p>
            <w:pPr>
              <w:pStyle w:val="Compact"/>
            </w:pPr>
            <w:r>
              <w:t xml:space="preserve">вниз, слабее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Ставка для 3+ детей</w:t>
            </w:r>
          </w:p>
        </w:tc>
        <w:tc>
          <w:tcPr/>
          <w:p>
            <w:pPr>
              <w:pStyle w:val="Compact"/>
            </w:pPr>
            <w:r>
              <w:t xml:space="preserve">6 %</w:t>
            </w:r>
          </w:p>
        </w:tc>
        <w:tc>
          <w:tcPr/>
          <w:p>
            <w:pPr>
              <w:pStyle w:val="Compact"/>
            </w:pPr>
            <w:r>
              <w:t xml:space="preserve">6 % / 8 % / 4 % / 2 %</w:t>
            </w:r>
          </w:p>
        </w:tc>
        <w:tc>
          <w:tcPr/>
          <w:p>
            <w:pPr>
              <w:pStyle w:val="Compact"/>
            </w:pPr>
            <w:r>
              <w:t xml:space="preserve">нейтрально → вверх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Доступность для семей с 2+ несовершеннолетними без ребёнка младше 7 лет</w:t>
            </w:r>
          </w:p>
        </w:tc>
        <w:tc>
          <w:tcPr/>
          <w:p>
            <w:pPr>
              <w:pStyle w:val="Compact"/>
            </w:pPr>
            <w:r>
              <w:t xml:space="preserve">право есть</w:t>
            </w:r>
          </w:p>
        </w:tc>
        <w:tc>
          <w:tcPr/>
          <w:p>
            <w:pPr>
              <w:pStyle w:val="Compact"/>
            </w:pPr>
            <w:r>
              <w:t xml:space="preserve">права нет</w:t>
            </w:r>
          </w:p>
        </w:tc>
        <w:tc>
          <w:tcPr/>
          <w:p>
            <w:pPr>
              <w:pStyle w:val="Compact"/>
            </w:pPr>
            <w:r>
              <w:t xml:space="preserve">вниз, дискретно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Лимит кредита для 2 детей и 3+</w:t>
            </w:r>
          </w:p>
        </w:tc>
        <w:tc>
          <w:tcPr/>
          <w:p>
            <w:pPr>
              <w:pStyle w:val="Compact"/>
            </w:pPr>
            <w:r>
              <w:t xml:space="preserve">6 млн</w:t>
            </w:r>
          </w:p>
        </w:tc>
        <w:tc>
          <w:tcPr/>
          <w:p>
            <w:pPr>
              <w:pStyle w:val="Compact"/>
            </w:pPr>
            <w:r>
              <w:t xml:space="preserve">8 млн и 10 млн</w:t>
            </w:r>
          </w:p>
        </w:tc>
        <w:tc>
          <w:tcPr/>
          <w:p>
            <w:pPr>
              <w:pStyle w:val="Compact"/>
            </w:pPr>
            <w:r>
              <w:t xml:space="preserve">вверх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Срок субсидирования</w:t>
            </w:r>
          </w:p>
        </w:tc>
        <w:tc>
          <w:tcPr/>
          <w:p>
            <w:pPr>
              <w:pStyle w:val="Compact"/>
            </w:pPr>
            <w:r>
              <w:t xml:space="preserve">весь срок кредита</w:t>
            </w:r>
          </w:p>
        </w:tc>
        <w:tc>
          <w:tcPr/>
          <w:p>
            <w:pPr>
              <w:pStyle w:val="Compact"/>
            </w:pPr>
            <w:r>
              <w:t xml:space="preserve">до 15 лет</w:t>
            </w:r>
          </w:p>
        </w:tc>
        <w:tc>
          <w:tcPr/>
          <w:p>
            <w:pPr>
              <w:pStyle w:val="Compact"/>
            </w:pPr>
            <w:r>
              <w:t xml:space="preserve">вниз; два канала — «обрыв» платежа на 16-м году либо сжатие срока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ИЖС</w:t>
            </w:r>
          </w:p>
        </w:tc>
        <w:tc>
          <w:tcPr/>
          <w:p>
            <w:pPr>
              <w:pStyle w:val="Compact"/>
            </w:pPr>
            <w:r>
              <w:t xml:space="preserve">6 %</w:t>
            </w:r>
          </w:p>
        </w:tc>
        <w:tc>
          <w:tcPr/>
          <w:p>
            <w:pPr>
              <w:pStyle w:val="Compact"/>
            </w:pPr>
            <w:r>
              <w:t xml:space="preserve">6 %</w:t>
            </w:r>
          </w:p>
        </w:tc>
        <w:tc>
          <w:tcPr/>
          <w:p>
            <w:pPr>
              <w:pStyle w:val="Compact"/>
            </w:pPr>
            <w:r>
              <w:t xml:space="preserve">вверх (за счёт перетока)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Маржа срока (M6) раскрывается в два канала, и оба снижают спрос.</w:t>
      </w:r>
      <w:r>
        <w:t xml:space="preserve"> </w:t>
      </w:r>
      <w:r>
        <w:t xml:space="preserve">Фактический</w:t>
      </w:r>
      <w:r>
        <w:t xml:space="preserve"> </w:t>
      </w:r>
      <w:r>
        <w:t xml:space="preserve">средний срок ипотеки в России — 286 месяцев, то есть 23,8 года (ЦБ, файл</w:t>
      </w:r>
      <w:r>
        <w:t xml:space="preserve"> </w:t>
      </w:r>
      <w:r>
        <w:rPr>
          <w:rStyle w:val="VerbatimChar"/>
        </w:rPr>
        <w:t xml:space="preserve">02_13</w:t>
      </w:r>
      <w:r>
        <w:t xml:space="preserve">,</w:t>
      </w:r>
      <w:r>
        <w:t xml:space="preserve"> </w:t>
      </w:r>
      <w:r>
        <w:t xml:space="preserve">август 2026), тогда как субсидия ограничена 180 месяцами. Отсюда: либо график</w:t>
      </w:r>
      <w:r>
        <w:t xml:space="preserve"> </w:t>
      </w:r>
      <w:r>
        <w:t xml:space="preserve">рассчитан на полный срок, и на 16-м году платёж подскакивает на 20–65 % в</w:t>
      </w:r>
      <w:r>
        <w:t xml:space="preserve"> </w:t>
      </w:r>
      <w:r>
        <w:t xml:space="preserve">зависимости от будущей рыночной ставки (сценарий «обрыва»); либо банк сокращает</w:t>
      </w:r>
      <w:r>
        <w:t xml:space="preserve"> </w:t>
      </w:r>
      <w:r>
        <w:t xml:space="preserve">срок до 15 лет, сохраняя всю субсидию, и платёж растёт сразу — на 28 % в ИЖС,</w:t>
      </w:r>
      <w:r>
        <w:t xml:space="preserve"> </w:t>
      </w:r>
      <w:r>
        <w:t xml:space="preserve">63 % для семьи с одним ребёнком в регионах и 82 % в столичных. В терминах</w:t>
      </w:r>
      <w:r>
        <w:t xml:space="preserve"> </w:t>
      </w:r>
      <w:r>
        <w:t xml:space="preserve">доступной суммы кредита при неизменном платеже: только ставка отнимает 28 %</w:t>
      </w:r>
      <w:r>
        <w:t xml:space="preserve"> </w:t>
      </w:r>
      <w:r>
        <w:t xml:space="preserve">ёмкости, ставка вместе со сроком — 39 %. Расчёт и таблицы — в</w:t>
      </w:r>
      <w:r>
        <w:t xml:space="preserve"> </w:t>
      </w:r>
      <w:r>
        <w:rPr>
          <w:rStyle w:val="VerbatimChar"/>
        </w:rPr>
        <w:t xml:space="preserve">queries/mikrosimulyatsiya-kogort-reforma-2026.md</w:t>
      </w:r>
      <w:r>
        <w:t xml:space="preserve">, раздел о сроке субсидирования.</w:t>
      </w:r>
    </w:p>
    <w:p>
      <w:pPr>
        <w:pStyle w:val="BodyText"/>
      </w:pPr>
      <w:r>
        <w:t xml:space="preserve">Каналы замещения, которые дизайн обязан различать: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внутри первичного рынка</w:t>
      </w:r>
      <w:r>
        <w:t xml:space="preserve">: между сегментом 1–2 детей и 3+ детей (последний</w:t>
      </w:r>
      <w:r>
        <w:t xml:space="preserve"> </w:t>
      </w:r>
      <w:r>
        <w:t xml:space="preserve">получает и ставку, и лимит);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между первичкой и ИЖС</w:t>
      </w:r>
      <w:r>
        <w:t xml:space="preserve">: неизменные 6 % в ИЖС при подорожавшей ставке в</w:t>
      </w:r>
      <w:r>
        <w:t xml:space="preserve"> </w:t>
      </w:r>
      <w:r>
        <w:t xml:space="preserve">многоквартирном сегменте создают ценовой стимул к перетоку;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во времени</w:t>
      </w:r>
      <w:r>
        <w:t xml:space="preserve">: перенос спроса на сентябрь 2026 (заключение договоров по старым</w:t>
      </w:r>
      <w:r>
        <w:t xml:space="preserve"> </w:t>
      </w:r>
      <w:r>
        <w:t xml:space="preserve">условиям) с последующим провалом — эффект предвосхищения.</w:t>
      </w:r>
    </w:p>
    <w:bookmarkEnd w:id="11"/>
    <w:bookmarkStart w:id="15" w:name="меры-спроса-и-данные"/>
    <w:p>
      <w:pPr>
        <w:pStyle w:val="Heading1"/>
      </w:pPr>
      <w:r>
        <w:t xml:space="preserve">4. Меры спроса и данные</w:t>
      </w:r>
    </w:p>
    <w:bookmarkStart w:id="12" w:name="что-уже-есть-в-базе"/>
    <w:p>
      <w:pPr>
        <w:pStyle w:val="Heading2"/>
      </w:pPr>
      <w:r>
        <w:t xml:space="preserve">4.1. Что уже есть в базе</w:t>
      </w:r>
    </w:p>
    <w:p>
      <w:pPr>
        <w:pStyle w:val="FirstParagraph"/>
      </w:pPr>
      <w:r>
        <w:t xml:space="preserve">Инвентаризация каталога</w:t>
      </w:r>
      <w:r>
        <w:t xml:space="preserve"> </w:t>
      </w:r>
      <w:r>
        <w:rPr>
          <w:rStyle w:val="VerbatimChar"/>
        </w:rPr>
        <w:t xml:space="preserve">core.observation_v2</w:t>
      </w:r>
      <w:r>
        <w:t xml:space="preserve"> </w:t>
      </w:r>
      <w:r>
        <w:t xml:space="preserve">и публичных слоёв (проверено 01.10.2026):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Ряд</w:t>
            </w:r>
          </w:p>
        </w:tc>
        <w:tc>
          <w:tcPr/>
          <w:p>
            <w:pPr>
              <w:pStyle w:val="Compact"/>
            </w:pPr>
            <w:r>
              <w:t xml:space="preserve">Покрытие</w:t>
            </w:r>
          </w:p>
        </w:tc>
        <w:tc>
          <w:tcPr/>
          <w:p>
            <w:pPr>
              <w:pStyle w:val="Compact"/>
            </w:pPr>
            <w:r>
              <w:t xml:space="preserve">Глубина</w:t>
            </w:r>
          </w:p>
        </w:tc>
        <w:tc>
          <w:tcPr/>
          <w:p>
            <w:pPr>
              <w:pStyle w:val="Compact"/>
            </w:pPr>
            <w:r>
              <w:t xml:space="preserve">Роль в дизайне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Действующие ДДУ, количество и суммарная цена (метрики 36, 38, 39, 41)</w:t>
            </w:r>
          </w:p>
        </w:tc>
        <w:tc>
          <w:tcPr/>
          <w:p>
            <w:pPr>
              <w:pStyle w:val="Compact"/>
            </w:pPr>
            <w:r>
              <w:t xml:space="preserve">98 регионов</w:t>
            </w:r>
          </w:p>
        </w:tc>
        <w:tc>
          <w:tcPr/>
          <w:p>
            <w:pPr>
              <w:pStyle w:val="Compact"/>
            </w:pPr>
            <w:r>
              <w:t xml:space="preserve">2021-01…2026-08, 6 732 набл.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основная зависимая переменная первичного рынка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Счета эскроу: количество, остатки (241, 243), раскрытые (240, 242)</w:t>
            </w:r>
          </w:p>
        </w:tc>
        <w:tc>
          <w:tcPr/>
          <w:p>
            <w:pPr>
              <w:pStyle w:val="Compact"/>
            </w:pPr>
            <w:r>
              <w:t xml:space="preserve">85 регионов</w:t>
            </w:r>
          </w:p>
        </w:tc>
        <w:tc>
          <w:tcPr/>
          <w:p>
            <w:pPr>
              <w:pStyle w:val="Compact"/>
            </w:pPr>
            <w:r>
              <w:t xml:space="preserve">2022-01…2026-07 (раскрытые с 2024-11)</w:t>
            </w:r>
          </w:p>
        </w:tc>
        <w:tc>
          <w:tcPr/>
          <w:p>
            <w:pPr>
              <w:pStyle w:val="Compact"/>
            </w:pPr>
            <w:r>
              <w:t xml:space="preserve">поток новых проектов и оборот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ИЖК под залог прав требования по ДДУ: количество, объём, ставка (файлы ЦБ 02_15, 02_16, 02_17)</w:t>
            </w:r>
          </w:p>
        </w:tc>
        <w:tc>
          <w:tcPr/>
          <w:p>
            <w:pPr>
              <w:pStyle w:val="Compact"/>
            </w:pPr>
            <w:r>
              <w:t xml:space="preserve">85 субъектов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2019-01…2026-08, 92 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основной кредитный канал первичного рынка</w:t>
            </w:r>
            <w:r>
              <w:t xml:space="preserve">; загружено 01.10.2026 в</w:t>
            </w:r>
            <w:r>
              <w:t xml:space="preserve"> </w:t>
            </w:r>
            <w:r>
              <w:rPr>
                <w:rStyle w:val="VerbatimChar"/>
              </w:rPr>
              <w:t xml:space="preserve">public.cbr_ihk_ddu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ИЖК на приобретение и создание объектов ИЖС: количество, объём, доля, ставка (02_42…02_45)</w:t>
            </w:r>
          </w:p>
        </w:tc>
        <w:tc>
          <w:tcPr/>
          <w:p>
            <w:pPr>
              <w:pStyle w:val="Compact"/>
            </w:pPr>
            <w:r>
              <w:t xml:space="preserve">85 субъектов</w:t>
            </w:r>
          </w:p>
        </w:tc>
        <w:tc>
          <w:tcPr/>
          <w:p>
            <w:pPr>
              <w:pStyle w:val="Compact"/>
            </w:pPr>
            <w:r>
              <w:t xml:space="preserve">2024-01…2026-08, 32 мес</w:t>
            </w:r>
          </w:p>
        </w:tc>
        <w:tc>
          <w:tcPr/>
          <w:p>
            <w:pPr>
              <w:pStyle w:val="Compact"/>
            </w:pPr>
            <w:r>
              <w:t xml:space="preserve">канал ИЖС и проверка перетока; загружено 01.10.2026 в</w:t>
            </w:r>
            <w:r>
              <w:t xml:space="preserve"> </w:t>
            </w:r>
            <w:r>
              <w:rPr>
                <w:rStyle w:val="VerbatimChar"/>
              </w:rPr>
              <w:t xml:space="preserve">public.cbr_ihk_izhs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ИЖК по ДДУ и на цели ИЖС в каталоге (Т_17…Т_28)</w:t>
            </w:r>
          </w:p>
        </w:tc>
        <w:tc>
          <w:tcPr/>
          <w:p>
            <w:pPr>
              <w:pStyle w:val="Compact"/>
            </w:pPr>
            <w:r>
              <w:t xml:space="preserve">86 регионов</w:t>
            </w:r>
          </w:p>
        </w:tc>
        <w:tc>
          <w:tcPr/>
          <w:p>
            <w:pPr>
              <w:pStyle w:val="Compact"/>
            </w:pPr>
            <w:r>
              <w:t xml:space="preserve">2025-07…2026-07 (13 мес)</w:t>
            </w:r>
          </w:p>
        </w:tc>
        <w:tc>
          <w:tcPr/>
          <w:p>
            <w:pPr>
              <w:pStyle w:val="Compact"/>
            </w:pPr>
            <w:r>
              <w:t xml:space="preserve">прежнее узкое окно;</w:t>
            </w:r>
            <w:r>
              <w:t xml:space="preserve"> </w:t>
            </w:r>
            <w:r>
              <w:rPr>
                <w:b/>
                <w:bCs/>
              </w:rPr>
              <w:t xml:space="preserve">заменено полной историей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cbr_ihk_ddu</w:t>
            </w:r>
            <w:r>
              <w:t xml:space="preserve">/</w:t>
            </w:r>
            <w:r>
              <w:rPr>
                <w:rStyle w:val="VerbatimChar"/>
              </w:rPr>
              <w:t xml:space="preserve">cbr_ihk_izhs</w:t>
            </w:r>
            <w:r>
              <w:t xml:space="preserve"> </w:t>
            </w:r>
            <w:r>
              <w:t xml:space="preserve">(см.</w:t>
            </w:r>
            <w:r>
              <w:t xml:space="preserve"> </w:t>
            </w:r>
            <w:r>
              <w:rPr>
                <w:rStyle w:val="VerbatimChar"/>
              </w:rPr>
              <w:t xml:space="preserve">cbr-primary-market-rows-20261001.md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Выдачи жилищных кредитов всего, число и объём (02_06, 02_07)</w:t>
            </w:r>
          </w:p>
        </w:tc>
        <w:tc>
          <w:tcPr/>
          <w:p>
            <w:pPr>
              <w:pStyle w:val="Compact"/>
            </w:pPr>
            <w:r>
              <w:t xml:space="preserve">84 единицы</w:t>
            </w:r>
          </w:p>
        </w:tc>
        <w:tc>
          <w:tcPr/>
          <w:p>
            <w:pPr>
              <w:pStyle w:val="Compact"/>
            </w:pPr>
            <w:r>
              <w:t xml:space="preserve">2019-01…2026-08</w:t>
            </w:r>
          </w:p>
        </w:tc>
        <w:tc>
          <w:tcPr/>
          <w:p>
            <w:pPr>
              <w:pStyle w:val="Compact"/>
            </w:pPr>
            <w:r>
              <w:t xml:space="preserve">агрегат, калибровка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Программные выдачи ДОМ.РФ по программам (lgot8, family, it, fareast): заявки, отказы, одобрения, заключённые, выдачи — недельные снимки</w:t>
            </w:r>
          </w:p>
        </w:tc>
        <w:tc>
          <w:tcPr/>
          <w:p>
            <w:pPr>
              <w:pStyle w:val="Compact"/>
            </w:pPr>
            <w:r>
              <w:t xml:space="preserve">89 регионов (семейная)</w:t>
            </w:r>
          </w:p>
        </w:tc>
        <w:tc>
          <w:tcPr/>
          <w:p>
            <w:pPr>
              <w:pStyle w:val="Compact"/>
            </w:pPr>
            <w:r>
              <w:t xml:space="preserve">2022-11…2026-09 (семейная), 2020-05…2025-01 (массовая)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программная компонента и воронка; опережающий индикатор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Цены: уровень первички и вторички, индексы</w:t>
            </w:r>
          </w:p>
        </w:tc>
        <w:tc>
          <w:tcPr/>
          <w:p>
            <w:pPr>
              <w:pStyle w:val="Compact"/>
            </w:pPr>
            <w:r>
              <w:t xml:space="preserve">Урал + РФ</w:t>
            </w:r>
          </w:p>
        </w:tc>
        <w:tc>
          <w:tcPr/>
          <w:p>
            <w:pPr>
              <w:pStyle w:val="Compact"/>
            </w:pPr>
            <w:r>
              <w:t xml:space="preserve">2016Q1…2026Q2</w:t>
            </w:r>
          </w:p>
        </w:tc>
        <w:tc>
          <w:tcPr/>
          <w:p>
            <w:pPr>
              <w:pStyle w:val="Compact"/>
            </w:pPr>
            <w:r>
              <w:t xml:space="preserve">ценовой отклик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Демография: домохозяйства по числу детей (ВПН-2020, том 8), дети 0–6</w:t>
            </w:r>
          </w:p>
        </w:tc>
        <w:tc>
          <w:tcPr/>
          <w:p>
            <w:pPr>
              <w:pStyle w:val="Compact"/>
            </w:pPr>
            <w:r>
              <w:t xml:space="preserve">9 регионов + РФ</w:t>
            </w:r>
          </w:p>
        </w:tc>
        <w:tc>
          <w:tcPr/>
          <w:p>
            <w:pPr>
              <w:pStyle w:val="Compact"/>
            </w:pPr>
            <w:r>
              <w:t xml:space="preserve">2020–2022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экспозиция реформы</w:t>
            </w:r>
          </w:p>
        </w:tc>
      </w:tr>
    </w:tbl>
    <w:bookmarkEnd w:id="12"/>
    <w:bookmarkStart w:id="13" w:name="пробелы-и-план-добора"/>
    <w:p>
      <w:pPr>
        <w:pStyle w:val="Heading2"/>
      </w:pPr>
      <w:r>
        <w:t xml:space="preserve">4.2. Пробелы и план добора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Добор кредитных рядов первичного рынка в базу — выполнен 01.10.2026.</w:t>
      </w:r>
      <w:r>
        <w:t xml:space="preserve"> </w:t>
      </w:r>
      <w:r>
        <w:t xml:space="preserve">В каталоге разрез по ДДУ был загружен только за 13 месяцев (2025-07…2026-07),</w:t>
      </w:r>
      <w:r>
        <w:t xml:space="preserve"> </w:t>
      </w:r>
      <w:r>
        <w:t xml:space="preserve">тогда как источник ЦБ даёт историю с января 2019 года. Загружены полные</w:t>
      </w:r>
      <w:r>
        <w:t xml:space="preserve"> </w:t>
      </w:r>
      <w:r>
        <w:t xml:space="preserve">ряды:</w:t>
      </w:r>
      <w:r>
        <w:t xml:space="preserve"> </w:t>
      </w:r>
      <w:r>
        <w:rPr>
          <w:rStyle w:val="VerbatimChar"/>
        </w:rPr>
        <w:t xml:space="preserve">public.cbr_ihk_ddu</w:t>
      </w:r>
      <w:r>
        <w:t xml:space="preserve"> </w:t>
      </w:r>
      <w:r>
        <w:t xml:space="preserve">(количество, объём, ставка; 2019-01…2026-08,</w:t>
      </w:r>
      <w:r>
        <w:t xml:space="preserve"> </w:t>
      </w:r>
      <w:r>
        <w:t xml:space="preserve">92 мес, 85 субъектов) и</w:t>
      </w:r>
      <w:r>
        <w:t xml:space="preserve"> </w:t>
      </w:r>
      <w:r>
        <w:rPr>
          <w:rStyle w:val="VerbatimChar"/>
        </w:rPr>
        <w:t xml:space="preserve">public.cbr_ihk_izhs</w:t>
      </w:r>
      <w:r>
        <w:t xml:space="preserve"> </w:t>
      </w:r>
      <w:r>
        <w:t xml:space="preserve">(количество, объём, доля,</w:t>
      </w:r>
      <w:r>
        <w:t xml:space="preserve"> </w:t>
      </w:r>
      <w:r>
        <w:t xml:space="preserve">ставка; 2024-01…2026-08, 32 мес), зарегистрированы в каталоге v2 и в</w:t>
      </w:r>
      <w:r>
        <w:t xml:space="preserve"> </w:t>
      </w:r>
      <w:r>
        <w:rPr>
          <w:rStyle w:val="VerbatimChar"/>
        </w:rPr>
        <w:t xml:space="preserve">core.metric</w:t>
      </w:r>
      <w:r>
        <w:t xml:space="preserve">. Разбор, приёмка и внешняя сверка — в</w:t>
      </w:r>
      <w:r>
        <w:t xml:space="preserve"> </w:t>
      </w:r>
      <w:r>
        <w:rPr>
          <w:rStyle w:val="VerbatimChar"/>
        </w:rPr>
        <w:t xml:space="preserve">cbr-primary-market-rows-20261001.md</w:t>
      </w:r>
      <w:r>
        <w:t xml:space="preserve"> </w:t>
      </w:r>
      <w:r>
        <w:t xml:space="preserve">(задача</w:t>
      </w:r>
      <w:r>
        <w:t xml:space="preserve"> </w:t>
      </w:r>
      <w:r>
        <w:rPr>
          <w:rStyle w:val="VerbatimChar"/>
        </w:rPr>
        <w:t xml:space="preserve">t_d3dc28ff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Демография по всем субъектам</w:t>
      </w:r>
      <w:r>
        <w:t xml:space="preserve"> </w:t>
      </w:r>
      <w:r>
        <w:t xml:space="preserve">— сейчас только 9 регионов Урала и РФ.</w:t>
      </w:r>
      <w:r>
        <w:t xml:space="preserve"> </w:t>
      </w:r>
      <w:r>
        <w:t xml:space="preserve">Нужны доля домохозяйств по числу детей и возрастная структура детей (для</w:t>
      </w:r>
      <w:r>
        <w:t xml:space="preserve"> </w:t>
      </w:r>
      <w:r>
        <w:t xml:space="preserve">применения правила «ребёнок младше 7 лет») по 85 субъектам. Источник —</w:t>
      </w:r>
      <w:r>
        <w:t xml:space="preserve"> </w:t>
      </w:r>
      <w:r>
        <w:t xml:space="preserve">ВПН-2020 том 8 и файл возрастной структуры; загрузчик уже написан для</w:t>
      </w:r>
      <w:r>
        <w:t xml:space="preserve"> </w:t>
      </w:r>
      <w:r>
        <w:t xml:space="preserve">уральского среза, требуется расширить.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Возраст младшего ребёнка в семье</w:t>
      </w:r>
      <w:r>
        <w:t xml:space="preserve"> </w:t>
      </w:r>
      <w:r>
        <w:t xml:space="preserve">— прямой ряд отсутствует. Придётся</w:t>
      </w:r>
      <w:r>
        <w:t xml:space="preserve"> </w:t>
      </w:r>
      <w:r>
        <w:t xml:space="preserve">восстанавливать распределение по возрастной структуре детей с допущением о</w:t>
      </w:r>
      <w:r>
        <w:t xml:space="preserve"> </w:t>
      </w:r>
      <w:r>
        <w:t xml:space="preserve">независимости возрастов; допущение фиксируется письменно и проверяется на</w:t>
      </w:r>
      <w:r>
        <w:t xml:space="preserve"> </w:t>
      </w:r>
      <w:r>
        <w:t xml:space="preserve">уральском срезе, где есть оба разреза.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Средний размер кредита по категориям семей</w:t>
      </w:r>
      <w:r>
        <w:t xml:space="preserve"> </w:t>
      </w:r>
      <w:r>
        <w:t xml:space="preserve">— в открытых данных не</w:t>
      </w:r>
      <w:r>
        <w:t xml:space="preserve"> </w:t>
      </w:r>
      <w:r>
        <w:t xml:space="preserve">публикуется. Оценивается косвенно: из лимитов, цен и структуры.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Ежемесячные цены первички по всем регионам</w:t>
      </w:r>
      <w:r>
        <w:t xml:space="preserve"> </w:t>
      </w:r>
      <w:r>
        <w:t xml:space="preserve">— Росстат даёт квартальные;</w:t>
      </w:r>
      <w:r>
        <w:t xml:space="preserve"> </w:t>
      </w:r>
      <w:r>
        <w:t xml:space="preserve">месячные придётся интерполировать либо использовать индексы.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Ряд сроков кредитования.</w:t>
      </w:r>
      <w:r>
        <w:t xml:space="preserve"> </w:t>
      </w:r>
      <w:r>
        <w:t xml:space="preserve">Из файла ЦБ</w:t>
      </w:r>
      <w:r>
        <w:t xml:space="preserve"> </w:t>
      </w:r>
      <w:r>
        <w:rPr>
          <w:rStyle w:val="VerbatimChar"/>
        </w:rPr>
        <w:t xml:space="preserve">02_13</w:t>
      </w:r>
      <w:r>
        <w:t xml:space="preserve"> </w:t>
      </w:r>
      <w:r>
        <w:t xml:space="preserve">в базу загружена только ставка;</w:t>
      </w:r>
      <w:r>
        <w:t xml:space="preserve"> </w:t>
      </w:r>
      <w:r>
        <w:t xml:space="preserve">лист «срок в руб» (средневзвешенный срок, месяцы, по субъектам с января 2019)</w:t>
      </w:r>
      <w:r>
        <w:t xml:space="preserve"> </w:t>
      </w:r>
      <w:r>
        <w:t xml:space="preserve">не загружен. Без него нельзя отследить, сокращают ли банки срок после реформы, —</w:t>
      </w:r>
      <w:r>
        <w:t xml:space="preserve"> </w:t>
      </w:r>
      <w:r>
        <w:t xml:space="preserve">а это ключевой наблюдаемый признак выбора между «обрывом» и сжатием срока.</w:t>
      </w:r>
    </w:p>
    <w:bookmarkEnd w:id="13"/>
    <w:bookmarkStart w:id="14" w:name="роль-слоя-дом.рф-в-прогнозе"/>
    <w:p>
      <w:pPr>
        <w:pStyle w:val="Heading2"/>
      </w:pPr>
      <w:r>
        <w:t xml:space="preserve">4.3. Роль слоя ДОМ.РФ в прогнозе</w:t>
      </w:r>
    </w:p>
    <w:p>
      <w:pPr>
        <w:pStyle w:val="FirstParagraph"/>
      </w:pPr>
      <w:r>
        <w:t xml:space="preserve">Загруженные недельные отчёты ДОМ.РФ по программам дают то, чего нет ни в одном</w:t>
      </w:r>
      <w:r>
        <w:t xml:space="preserve"> </w:t>
      </w:r>
      <w:r>
        <w:t xml:space="preserve">другом источнике:</w:t>
      </w:r>
      <w:r>
        <w:t xml:space="preserve"> </w:t>
      </w:r>
      <w:r>
        <w:rPr>
          <w:b/>
          <w:bCs/>
        </w:rPr>
        <w:t xml:space="preserve">воронку заявок</w:t>
      </w:r>
      <w:r>
        <w:t xml:space="preserve"> </w:t>
      </w:r>
      <w:r>
        <w:t xml:space="preserve">— заявки, отказы, одобрения, заключённые</w:t>
      </w:r>
      <w:r>
        <w:t xml:space="preserve"> </w:t>
      </w:r>
      <w:r>
        <w:t xml:space="preserve">договоры и выдачи, с недельной частотой и в разрезе региона. Для прогноза это</w:t>
      </w:r>
      <w:r>
        <w:t xml:space="preserve"> </w:t>
      </w:r>
      <w:r>
        <w:t xml:space="preserve">означает три возможности: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Измерение программной компоненты спроса</w:t>
      </w:r>
      <w:r>
        <w:t xml:space="preserve">: доля семейной программы в</w:t>
      </w:r>
      <w:r>
        <w:t xml:space="preserve"> </w:t>
      </w:r>
      <w:r>
        <w:t xml:space="preserve">выдачах региона — вход для сценарного расчёта, а не допущение.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Опережающий индикатор</w:t>
      </w:r>
      <w:r>
        <w:t xml:space="preserve">: реакция на новые условия проявляется сначала в</w:t>
      </w:r>
      <w:r>
        <w:t xml:space="preserve"> </w:t>
      </w:r>
      <w:r>
        <w:t xml:space="preserve">заявках и отказах, и лишь затем в выдачах. По недельным данным видно</w:t>
      </w:r>
      <w:r>
        <w:t xml:space="preserve"> </w:t>
      </w:r>
      <w:r>
        <w:t xml:space="preserve">переключение потока заявок между программами и по категориям заёмщиков.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Эффект предвосхищения</w:t>
      </w:r>
      <w:r>
        <w:t xml:space="preserve">: внутримесячный профиль сентября 2026 года</w:t>
      </w:r>
      <w:r>
        <w:t xml:space="preserve"> </w:t>
      </w:r>
      <w:r>
        <w:t xml:space="preserve">восстанавливается по недельным снимкам, что позволяет отделить перенос спроса</w:t>
      </w:r>
      <w:r>
        <w:t xml:space="preserve"> </w:t>
      </w:r>
      <w:r>
        <w:t xml:space="preserve">от его сокращения.</w:t>
      </w:r>
    </w:p>
    <w:bookmarkEnd w:id="14"/>
    <w:bookmarkEnd w:id="15"/>
    <w:bookmarkStart w:id="16" w:name="экспозиция-к-реформе-определение"/>
    <w:p>
      <w:pPr>
        <w:pStyle w:val="Heading1"/>
      </w:pPr>
      <w:r>
        <w:t xml:space="preserve">5. Экспозиция к реформе: определение</w:t>
      </w:r>
    </w:p>
    <w:p>
      <w:pPr>
        <w:pStyle w:val="FirstParagraph"/>
      </w:pPr>
      <w:r>
        <w:t xml:space="preserve">Экспозиция региона — доля домохозяйств, чьё положение реформой ухудшается</w:t>
      </w:r>
      <w:r>
        <w:t xml:space="preserve"> </w:t>
      </w:r>
      <w:r>
        <w:t xml:space="preserve">(маржи M1, M2, M4), взвешенная по ожидаемому эффекту на спрос. Базовая версия:</w:t>
      </w:r>
    </w:p>
    <w:p>
      <w:pPr>
        <w:pStyle w:val="SourceCode"/>
      </w:pPr>
      <w:r>
        <w:rPr>
          <w:rStyle w:val="VerbatimChar"/>
        </w:rPr>
        <w:t xml:space="preserve">E_r = w1 · s1_r + w2 · s2_r + w4 · s4_r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s1</w:t>
      </w:r>
      <w:r>
        <w:t xml:space="preserve">,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— доли семей с одним и двумя детьми при наличии ребёнка младше 7 лет,</w:t>
      </w:r>
      <w:r>
        <w:t xml:space="preserve"> </w:t>
      </w:r>
      <w:r>
        <w:rPr>
          <w:rStyle w:val="VerbatimChar"/>
        </w:rPr>
        <w:t xml:space="preserve">s4</w:t>
      </w:r>
      <w:r>
        <w:t xml:space="preserve"> </w:t>
      </w:r>
      <w:r>
        <w:t xml:space="preserve">— доля семей с двумя и более несовершеннолетними детьми без ребёнка младше 7 лет,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— веса, отражающие изменение ставки (для M1: +4 п.п. в регионах, +6 в столичных;</w:t>
      </w:r>
      <w:r>
        <w:t xml:space="preserve"> </w:t>
      </w:r>
      <w:r>
        <w:t xml:space="preserve">для M2: +2 и +4; для M4: полная потеря субсидии).</w:t>
      </w:r>
    </w:p>
    <w:p>
      <w:pPr>
        <w:pStyle w:val="BodyText"/>
      </w:pPr>
      <w:r>
        <w:t xml:space="preserve">Текущее состояние (обновлено 01.10.2026, задача</w:t>
      </w:r>
      <w:r>
        <w:t xml:space="preserve"> </w:t>
      </w:r>
      <w:r>
        <w:rPr>
          <w:rStyle w:val="VerbatimChar"/>
        </w:rPr>
        <w:t xml:space="preserve">t_7ce30b91</w:t>
      </w:r>
      <w:r>
        <w:t xml:space="preserve">): витрина</w:t>
      </w:r>
      <w:r>
        <w:t xml:space="preserve"> </w:t>
      </w:r>
      <w:r>
        <w:rPr>
          <w:rStyle w:val="VerbatimChar"/>
        </w:rPr>
        <w:t xml:space="preserve">did_exposure_reform2026</w:t>
      </w:r>
      <w:r>
        <w:t xml:space="preserve"> </w:t>
      </w:r>
      <w:r>
        <w:rPr>
          <w:b/>
          <w:bCs/>
        </w:rPr>
        <w:t xml:space="preserve">пересобрана на 85 субъектов</w:t>
      </w:r>
      <w:r>
        <w:t xml:space="preserve"> </w:t>
      </w:r>
      <w:r>
        <w:t xml:space="preserve">и три маржи (M1, M2,</w:t>
      </w:r>
      <w:r>
        <w:t xml:space="preserve"> </w:t>
      </w:r>
      <w:r>
        <w:t xml:space="preserve">M4) с допущением независимости возрастов детей. Прежние значения</w:t>
      </w:r>
      <w:r>
        <w:t xml:space="preserve"> </w:t>
      </w:r>
      <w:r>
        <w:t xml:space="preserve">0,530 (ЯНАО) … 0,576 (Челябинская) при РФ 0,551 относились к прежней мере</w:t>
      </w:r>
      <w:r>
        <w:t xml:space="preserve"> </w:t>
      </w:r>
      <w:r>
        <w:rPr>
          <w:rStyle w:val="VerbatimChar"/>
        </w:rPr>
        <w:t xml:space="preserve">share_12 · (1 − share_kids06)</w:t>
      </w:r>
      <w:r>
        <w:t xml:space="preserve"> </w:t>
      </w:r>
      <w:r>
        <w:t xml:space="preserve">и на новых данных воспроизводятся точно —</w:t>
      </w:r>
      <w:r>
        <w:t xml:space="preserve"> </w:t>
      </w:r>
      <w:r>
        <w:t xml:space="preserve">это сверка разбора, а не результат. Новые значения: невзвешенная доля</w:t>
      </w:r>
      <w:r>
        <w:t xml:space="preserve"> </w:t>
      </w:r>
      <w:r>
        <w:rPr>
          <w:rStyle w:val="VerbatimChar"/>
        </w:rPr>
        <w:t xml:space="preserve">exposure_share</w:t>
      </w:r>
      <w:r>
        <w:t xml:space="preserve"> </w:t>
      </w:r>
      <w:r>
        <w:t xml:space="preserve">0,569 (ЯНАО) … 0,587 (Тюменская без АО) при РФ 0,567;</w:t>
      </w:r>
      <w:r>
        <w:t xml:space="preserve"> </w:t>
      </w:r>
      <w:r>
        <w:t xml:space="preserve">взвешенный индекс</w:t>
      </w:r>
      <w:r>
        <w:t xml:space="preserve"> </w:t>
      </w:r>
      <w:r>
        <w:rPr>
          <w:rStyle w:val="VerbatimChar"/>
        </w:rPr>
        <w:t xml:space="preserve">exposure_gross</w:t>
      </w:r>
      <w:r>
        <w:t xml:space="preserve"> </w:t>
      </w:r>
      <w:r>
        <w:t xml:space="preserve">0,363 (Свердловская) … 0,377</w:t>
      </w:r>
      <w:r>
        <w:t xml:space="preserve"> </w:t>
      </w:r>
      <w:r>
        <w:t xml:space="preserve">(Башкортостан) при РФ 0,363. Разбор, определение, веса и оговорки —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queries/ekspozitsiya-reformy-2026-peresborka.md</w:t>
      </w:r>
      <w:r>
        <w:t xml:space="preserve">.</w:t>
      </w:r>
    </w:p>
    <w:bookmarkEnd w:id="16"/>
    <w:bookmarkStart w:id="22" w:name="прогнозный-дизайн"/>
    <w:p>
      <w:pPr>
        <w:pStyle w:val="Heading1"/>
      </w:pPr>
      <w:r>
        <w:t xml:space="preserve">6. Прогнозный дизайн</w:t>
      </w:r>
    </w:p>
    <w:p>
      <w:pPr>
        <w:pStyle w:val="FirstParagraph"/>
      </w:pPr>
      <w:r>
        <w:t xml:space="preserve">Четыре блока, которые считаются независимо и затем сопоставляются. Совпадение</w:t>
      </w:r>
      <w:r>
        <w:t xml:space="preserve"> </w:t>
      </w:r>
      <w:r>
        <w:t xml:space="preserve">порядка величин — аргумент в пользу результата; расхождение — предмет разбора, а не</w:t>
      </w:r>
      <w:r>
        <w:t xml:space="preserve"> </w:t>
      </w:r>
      <w:r>
        <w:t xml:space="preserve">усреднения.</w:t>
      </w:r>
    </w:p>
    <w:bookmarkStart w:id="17" w:name="блок-1.-микросимуляция-когорт"/>
    <w:p>
      <w:pPr>
        <w:pStyle w:val="Heading2"/>
      </w:pPr>
      <w:r>
        <w:t xml:space="preserve">Блок 1. Микросимуляция когорт</w:t>
      </w:r>
    </w:p>
    <w:p>
      <w:pPr>
        <w:pStyle w:val="FirstParagraph"/>
      </w:pPr>
      <w:r>
        <w:t xml:space="preserve">Цель — получить, как меняется распределение доступных ставок и лимитов.</w:t>
      </w:r>
      <w:r>
        <w:t xml:space="preserve"> </w:t>
      </w:r>
      <w:r>
        <w:t xml:space="preserve">Шаги: (1) по каждому региону разложить домохозяйства на когорты по числу детей и</w:t>
      </w:r>
      <w:r>
        <w:t xml:space="preserve"> </w:t>
      </w:r>
      <w:r>
        <w:t xml:space="preserve">возрасту младшего; (2) применить старую и новую шкалу; (3) получить изменение</w:t>
      </w:r>
      <w:r>
        <w:t xml:space="preserve"> </w:t>
      </w:r>
      <w:r>
        <w:t xml:space="preserve">субсидируемой ставки и лимита по когортам; (4) агрегировать в изменение</w:t>
      </w:r>
      <w:r>
        <w:t xml:space="preserve"> </w:t>
      </w:r>
      <w:r>
        <w:t xml:space="preserve">«субсидируемой ёмкости» региона — максимальной суммы кредита, доступной по</w:t>
      </w:r>
      <w:r>
        <w:t xml:space="preserve"> </w:t>
      </w:r>
      <w:r>
        <w:t xml:space="preserve">программе. Выход:</w:t>
      </w:r>
      <w:r>
        <w:t xml:space="preserve"> </w:t>
      </w:r>
      <w:r>
        <w:rPr>
          <w:rStyle w:val="VerbatimChar"/>
        </w:rPr>
        <w:t xml:space="preserve">Δ capacity_r</w:t>
      </w:r>
      <w:r>
        <w:t xml:space="preserve"> </w:t>
      </w:r>
      <w:r>
        <w:t xml:space="preserve">— ключевой промежуточный показатель.</w:t>
      </w:r>
    </w:p>
    <w:p>
      <w:pPr>
        <w:pStyle w:val="BodyText"/>
      </w:pPr>
      <w:r>
        <w:t xml:space="preserve">Допущения фиксируются письменно: независимость возрастов детей, неизменность</w:t>
      </w:r>
      <w:r>
        <w:t xml:space="preserve"> </w:t>
      </w:r>
      <w:r>
        <w:t xml:space="preserve">структуры семей на горизонте прогноза, отсутствие поведенческого сдвига</w:t>
      </w:r>
      <w:r>
        <w:t xml:space="preserve"> </w:t>
      </w:r>
      <w:r>
        <w:t xml:space="preserve">(рождение детей ради программы не моделируется).</w:t>
      </w:r>
    </w:p>
    <w:bookmarkEnd w:id="17"/>
    <w:bookmarkStart w:id="18" w:name="Xcc2db4273933db586047cd4af776cfd28cca213"/>
    <w:p>
      <w:pPr>
        <w:pStyle w:val="Heading2"/>
      </w:pPr>
      <w:r>
        <w:t xml:space="preserve">Блок 2. Перенос эластичностей с события 01.07.2024</w:t>
      </w:r>
    </w:p>
    <w:p>
      <w:pPr>
        <w:pStyle w:val="FirstParagraph"/>
      </w:pPr>
      <w:r>
        <w:t xml:space="preserve">Закрытие массовой программы «Льготная 8%» — ближайший по механике аналог: там</w:t>
      </w:r>
      <w:r>
        <w:t xml:space="preserve"> </w:t>
      </w:r>
      <w:r>
        <w:t xml:space="preserve">субсидируемая ёмкость исчезала, здесь — сокращается для части когорт. Наши оценки</w:t>
      </w:r>
      <w:r>
        <w:t xml:space="preserve"> </w:t>
      </w:r>
      <w:r>
        <w:t xml:space="preserve">по 84 субъектам: эффект на</w:t>
      </w:r>
      <w:r>
        <w:t xml:space="preserve"> </w:t>
      </w:r>
      <w:r>
        <w:rPr>
          <w:b/>
          <w:bCs/>
        </w:rPr>
        <w:t xml:space="preserve">объём</w:t>
      </w:r>
      <w:r>
        <w:t xml:space="preserve"> </w:t>
      </w:r>
      <w:r>
        <w:t xml:space="preserve">выдач −0,557 (t = −3,84) на единицу</w:t>
      </w:r>
      <w:r>
        <w:t xml:space="preserve"> </w:t>
      </w:r>
      <w:r>
        <w:t xml:space="preserve">экспозиции, с нарастанием во времени (квартал события −0,518, третий квартал</w:t>
      </w:r>
      <w:r>
        <w:t xml:space="preserve"> </w:t>
      </w:r>
      <w:r>
        <w:t xml:space="preserve">−1,593); рандомизационный тест p = 0,003; предтренды незначимы.</w:t>
      </w:r>
    </w:p>
    <w:p>
      <w:pPr>
        <w:pStyle w:val="BodyText"/>
      </w:pPr>
      <w:r>
        <w:t xml:space="preserve">Перенос:</w:t>
      </w:r>
      <w:r>
        <w:t xml:space="preserve"> </w:t>
      </w:r>
      <w:r>
        <w:rPr>
          <w:rStyle w:val="VerbatimChar"/>
        </w:rPr>
        <w:t xml:space="preserve">Δ ln Q_r = β̂ · Δ E_r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Δ E_r</w:t>
      </w:r>
      <w:r>
        <w:t xml:space="preserve"> </w:t>
      </w:r>
      <w:r>
        <w:t xml:space="preserve">— изменение экспозиции в единицах,</w:t>
      </w:r>
      <w:r>
        <w:t xml:space="preserve"> </w:t>
      </w:r>
      <w:r>
        <w:t xml:space="preserve">сопоставимых с прежней мерой (доля выдач по программе в общих). Требуется явная</w:t>
      </w:r>
      <w:r>
        <w:t xml:space="preserve"> </w:t>
      </w:r>
      <w:r>
        <w:t xml:space="preserve">процедура пересчёта «доля выдач по программе» ↔ «доля когорт, потерявших</w:t>
      </w:r>
      <w:r>
        <w:t xml:space="preserve"> </w:t>
      </w:r>
      <w:r>
        <w:t xml:space="preserve">субсидию». Оценка переносится как</w:t>
      </w:r>
      <w:r>
        <w:t xml:space="preserve"> </w:t>
      </w:r>
      <w:r>
        <w:rPr>
          <w:b/>
          <w:bCs/>
        </w:rPr>
        <w:t xml:space="preserve">интервал</w:t>
      </w:r>
      <w:r>
        <w:t xml:space="preserve">, а не точка: базовый β̂ и границы</w:t>
      </w:r>
      <w:r>
        <w:t xml:space="preserve"> </w:t>
      </w:r>
      <w:r>
        <w:t xml:space="preserve">±1,96 кластерной ошибки.</w:t>
      </w:r>
    </w:p>
    <w:p>
      <w:pPr>
        <w:pStyle w:val="BodyText"/>
      </w:pPr>
      <w:r>
        <w:rPr>
          <w:b/>
          <w:bCs/>
        </w:rPr>
        <w:t xml:space="preserve">База переноса уточнена бэктестом (01.10.2026).</w:t>
      </w:r>
      <w:r>
        <w:t xml:space="preserve"> </w:t>
      </w:r>
      <w:r>
        <w:t xml:space="preserve">Для первичного рынка</w:t>
      </w:r>
      <w:r>
        <w:t xml:space="preserve"> </w:t>
      </w:r>
      <w:r>
        <w:t xml:space="preserve">эластичность вдвое выше общей: на числе ИЖК по ДДУ −1,045 (t = −3,73), на объёме</w:t>
      </w:r>
      <w:r>
        <w:t xml:space="preserve"> </w:t>
      </w:r>
      <w:r>
        <w:t xml:space="preserve">−0,994 (t = −3,28), при чистых предтрендах. Общая эластичность (−0,557) для</w:t>
      </w:r>
      <w:r>
        <w:t xml:space="preserve"> </w:t>
      </w:r>
      <w:r>
        <w:t xml:space="preserve">прогноза первичного рынка непригодна. Детали —</w:t>
      </w:r>
      <w:r>
        <w:t xml:space="preserve"> </w:t>
      </w:r>
      <w:r>
        <w:rPr>
          <w:rStyle w:val="VerbatimChar"/>
        </w:rPr>
        <w:t xml:space="preserve">queries/bektest-dizayna-2024-i-elastichnost-pervichki.md</w:t>
      </w:r>
      <w:r>
        <w:t xml:space="preserve">.</w:t>
      </w:r>
    </w:p>
    <w:p>
      <w:pPr>
        <w:pStyle w:val="BodyText"/>
      </w:pPr>
      <w:r>
        <w:t xml:space="preserve">Ключевое ограничение переноса: там программа исчезала целиком, здесь — частично и</w:t>
      </w:r>
      <w:r>
        <w:t xml:space="preserve"> </w:t>
      </w:r>
      <w:r>
        <w:t xml:space="preserve">с частичной компенсацией через лимиты для многодетных. Поэтому перенос даёт</w:t>
      </w:r>
      <w:r>
        <w:t xml:space="preserve"> </w:t>
      </w:r>
      <w:r>
        <w:rPr>
          <w:b/>
          <w:bCs/>
        </w:rPr>
        <w:t xml:space="preserve">верхнюю границу</w:t>
      </w:r>
      <w:r>
        <w:t xml:space="preserve"> </w:t>
      </w:r>
      <w:r>
        <w:t xml:space="preserve">падения, а не центральную оценку.</w:t>
      </w:r>
    </w:p>
    <w:bookmarkEnd w:id="18"/>
    <w:bookmarkStart w:id="19" w:name="X380d0d48f25eadb6e569a1cac93f3834ec64b7c"/>
    <w:p>
      <w:pPr>
        <w:pStyle w:val="Heading2"/>
      </w:pPr>
      <w:r>
        <w:t xml:space="preserve">Блок 3. Схема переноса (вместо панельной модели)</w:t>
      </w:r>
    </w:p>
    <w:p>
      <w:pPr>
        <w:pStyle w:val="FirstParagraph"/>
      </w:pPr>
      <w:r>
        <w:rPr>
          <w:b/>
          <w:bCs/>
        </w:rPr>
        <w:t xml:space="preserve">Панельная модель с долей программы как регрессором отбракована бэктестом и</w:t>
      </w:r>
      <w:r>
        <w:rPr>
          <w:b/>
          <w:bCs/>
        </w:rPr>
        <w:t xml:space="preserve"> </w:t>
      </w:r>
      <w:r>
        <w:rPr>
          <w:b/>
          <w:bCs/>
        </w:rPr>
        <w:t xml:space="preserve">переопределением (01.10.2026).</w:t>
      </w:r>
      <w:r>
        <w:t xml:space="preserve"> </w:t>
      </w:r>
      <w:r>
        <w:t xml:space="preserve">Обе версии — с дамми месяца и без них — вне</w:t>
      </w:r>
      <w:r>
        <w:t xml:space="preserve"> </w:t>
      </w:r>
      <w:r>
        <w:t xml:space="preserve">выборки хуже наивного прогноза (RMSE 0,51–0,64 против 0,39), а знак коэффициента</w:t>
      </w:r>
      <w:r>
        <w:t xml:space="preserve"> </w:t>
      </w:r>
      <w:r>
        <w:t xml:space="preserve">положительный, противоположный оценке разностных разностей. Причина неустранима в</w:t>
      </w:r>
      <w:r>
        <w:t xml:space="preserve"> </w:t>
      </w:r>
      <w:r>
        <w:t xml:space="preserve">этой конструкции: доля программы эндогенна, она растёт вместе со спросом. Детали —</w:t>
      </w:r>
      <w:r>
        <w:t xml:space="preserve"> </w:t>
      </w:r>
      <w:r>
        <w:rPr>
          <w:rStyle w:val="VerbatimChar"/>
        </w:rPr>
        <w:t xml:space="preserve">queries/bektest-dizayna-2024-i-elastichnost-pervichki.md</w:t>
      </w:r>
      <w:r>
        <w:t xml:space="preserve">.</w:t>
      </w:r>
    </w:p>
    <w:p>
      <w:pPr>
        <w:pStyle w:val="BodyText"/>
      </w:pPr>
      <w:r>
        <w:t xml:space="preserve">Вместо неё прогноз строится на</w:t>
      </w:r>
      <w:r>
        <w:t xml:space="preserve"> </w:t>
      </w:r>
      <w:r>
        <w:rPr>
          <w:b/>
          <w:bCs/>
        </w:rPr>
        <w:t xml:space="preserve">схеме переноса</w:t>
      </w:r>
      <w:r>
        <w:t xml:space="preserve">: изменение предопределённой</w:t>
      </w:r>
      <w:r>
        <w:t xml:space="preserve"> </w:t>
      </w:r>
      <w:r>
        <w:t xml:space="preserve">экспозиции (считается по демографии и параметрам программы, а не по фактическим</w:t>
      </w:r>
      <w:r>
        <w:t xml:space="preserve"> </w:t>
      </w:r>
      <w:r>
        <w:t xml:space="preserve">выдачам) умножается на эластичность, полученную в дизайне с предопределённой</w:t>
      </w:r>
      <w:r>
        <w:t xml:space="preserve"> </w:t>
      </w:r>
      <w:r>
        <w:t xml:space="preserve">экспозицией. Эластичность первичного рынка: −1,045 по числу и −0,994 по объёму ИЖК</w:t>
      </w:r>
      <w:r>
        <w:t xml:space="preserve"> </w:t>
      </w:r>
      <w:r>
        <w:t xml:space="preserve">по ДДУ на единицу экспозиции, при чистых предтрендах.</w:t>
      </w:r>
    </w:p>
    <w:p>
      <w:pPr>
        <w:pStyle w:val="BodyText"/>
      </w:pPr>
      <w:r>
        <w:t xml:space="preserve">Ниже — исходное описание панельной модели, сохранённое для истории.</w:t>
      </w:r>
    </w:p>
    <w:p>
      <w:pPr>
        <w:pStyle w:val="BodyText"/>
      </w:pPr>
      <w:r>
        <w:t xml:space="preserve">Спецификация: логарифм ДДУ в регионе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в месяц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как функция</w:t>
      </w:r>
      <w:r>
        <w:t xml:space="preserve"> </w:t>
      </w:r>
      <w:r>
        <w:rPr>
          <w:rStyle w:val="VerbatimChar"/>
        </w:rPr>
        <w:t xml:space="preserve">ln(выдачи ИЖК по ДДУ)</w:t>
      </w:r>
      <w:r>
        <w:t xml:space="preserve">, ставки (рыночной и субсидируемой), цен, доходов, лагов,</w:t>
      </w:r>
      <w:r>
        <w:t xml:space="preserve"> </w:t>
      </w:r>
      <w:r>
        <w:t xml:space="preserve">региональных и месячных фиксированных эффектов. Оценка на 2021-01…2026-09,</w:t>
      </w:r>
      <w:r>
        <w:t xml:space="preserve"> </w:t>
      </w:r>
      <w:r>
        <w:t xml:space="preserve">прогноз — 2026-10…2027-12. Субсидируемая ставка и лимиты входят как сценарные</w:t>
      </w:r>
      <w:r>
        <w:t xml:space="preserve"> </w:t>
      </w:r>
      <w:r>
        <w:t xml:space="preserve">входы, а не как свободные параметры, — это то, что делает модель прогнозной, а не</w:t>
      </w:r>
      <w:r>
        <w:t xml:space="preserve"> </w:t>
      </w:r>
      <w:r>
        <w:t xml:space="preserve">описательной.</w:t>
      </w:r>
    </w:p>
    <w:p>
      <w:pPr>
        <w:pStyle w:val="BodyText"/>
      </w:pPr>
      <w:r>
        <w:t xml:space="preserve">Ограничение: ряд ИЖК под залог прав требования по ДДУ доступен с января 2019 года</w:t>
      </w:r>
      <w:r>
        <w:t xml:space="preserve"> </w:t>
      </w:r>
      <w:r>
        <w:t xml:space="preserve">(92 месяца по 85 регионам), поэтому после добора данных модель строится</w:t>
      </w:r>
      <w:r>
        <w:t xml:space="preserve"> </w:t>
      </w:r>
      <w:r>
        <w:t xml:space="preserve">непосредственно на нём, а агрегат выдач используется как контрольная</w:t>
      </w:r>
      <w:r>
        <w:t xml:space="preserve"> </w:t>
      </w:r>
      <w:r>
        <w:t xml:space="preserve">спецификация. Короткий ряд из каталога (13 месяцев) для этого непригоден.</w:t>
      </w:r>
    </w:p>
    <w:p>
      <w:pPr>
        <w:pStyle w:val="BodyText"/>
      </w:pPr>
      <w:r>
        <w:rPr>
          <w:b/>
          <w:bCs/>
        </w:rPr>
        <w:t xml:space="preserve">Форма отбракована бэктестом (01.10.2026).</w:t>
      </w:r>
      <w:r>
        <w:t xml:space="preserve"> </w:t>
      </w:r>
      <w:r>
        <w:t xml:space="preserve">Спецификация с долей программы как</w:t>
      </w:r>
      <w:r>
        <w:t xml:space="preserve"> </w:t>
      </w:r>
      <w:r>
        <w:t xml:space="preserve">регрессором и дамми месяца даёт RMSE вне выборки 0,59 и 0,51 против 0,39 у</w:t>
      </w:r>
      <w:r>
        <w:t xml:space="preserve"> </w:t>
      </w:r>
      <w:r>
        <w:t xml:space="preserve">наивного прогноза (среднее по региону) и импульс эффекта −1,2…−6,2 % против</w:t>
      </w:r>
      <w:r>
        <w:t xml:space="preserve"> </w:t>
      </w:r>
      <w:r>
        <w:t xml:space="preserve">фактического падения на 70–81 %. Причина: дамми месяца поглощают общий шок,</w:t>
      </w:r>
      <w:r>
        <w:t xml:space="preserve"> </w:t>
      </w:r>
      <w:r>
        <w:t xml:space="preserve">регрессор эндогенен. Требуется переопределение — взаимодействие экспозиции с</w:t>
      </w:r>
      <w:r>
        <w:t xml:space="preserve"> </w:t>
      </w:r>
      <w:r>
        <w:t xml:space="preserve">событием либо модель агрегированной динамики без дамми месяца.</w:t>
      </w:r>
    </w:p>
    <w:bookmarkEnd w:id="19"/>
    <w:bookmarkStart w:id="20" w:name="блок-4.-эффект-предвосхищения"/>
    <w:p>
      <w:pPr>
        <w:pStyle w:val="Heading2"/>
      </w:pPr>
      <w:r>
        <w:t xml:space="preserve">Блок 4. Эффект предвосхищения</w:t>
      </w:r>
    </w:p>
    <w:p>
      <w:pPr>
        <w:pStyle w:val="FirstParagraph"/>
      </w:pPr>
      <w:r>
        <w:t xml:space="preserve">Сентябрь 2026 — окно заключения договоров по старым условиям. Недельные снимки</w:t>
      </w:r>
      <w:r>
        <w:t xml:space="preserve"> </w:t>
      </w:r>
      <w:r>
        <w:t xml:space="preserve">ДОМ.РФ позволяют восстановить внутримесячный профиль и оценить величину переноса.</w:t>
      </w:r>
      <w:r>
        <w:t xml:space="preserve"> </w:t>
      </w:r>
      <w:r>
        <w:t xml:space="preserve">Метрика: отклонение сентябрьского потока от сезонной нормы, разложенное на</w:t>
      </w:r>
      <w:r>
        <w:t xml:space="preserve"> </w:t>
      </w:r>
      <w:r>
        <w:t xml:space="preserve">перенос (то, что «украдено» у октября–декабря) и на новый спрос. Прогноз обязан</w:t>
      </w:r>
      <w:r>
        <w:t xml:space="preserve"> </w:t>
      </w:r>
      <w:r>
        <w:t xml:space="preserve">представлять октябрь–декабрь как</w:t>
      </w:r>
      <w:r>
        <w:t xml:space="preserve"> </w:t>
      </w:r>
      <w:r>
        <w:rPr>
          <w:b/>
          <w:bCs/>
        </w:rPr>
        <w:t xml:space="preserve">частично компенсированный</w:t>
      </w:r>
      <w:r>
        <w:t xml:space="preserve"> </w:t>
      </w:r>
      <w:r>
        <w:t xml:space="preserve">спад, а не как</w:t>
      </w:r>
      <w:r>
        <w:t xml:space="preserve"> </w:t>
      </w:r>
      <w:r>
        <w:t xml:space="preserve">чистое падение.</w:t>
      </w:r>
    </w:p>
    <w:bookmarkEnd w:id="20"/>
    <w:bookmarkStart w:id="21" w:name="сценарии"/>
    <w:p>
      <w:pPr>
        <w:pStyle w:val="Heading2"/>
      </w:pPr>
      <w:r>
        <w:t xml:space="preserve">Сценарии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S0. Инерционный</w:t>
            </w:r>
          </w:p>
        </w:tc>
        <w:tc>
          <w:tcPr/>
          <w:p>
            <w:pPr>
              <w:pStyle w:val="Compact"/>
            </w:pPr>
            <w:r>
              <w:t xml:space="preserve">реформа не проводится; прогноз по инерции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S1. Реформа как объявлена</w:t>
            </w:r>
          </w:p>
        </w:tc>
        <w:tc>
          <w:tcPr/>
          <w:p>
            <w:pPr>
              <w:pStyle w:val="Compact"/>
            </w:pPr>
            <w:r>
              <w:t xml:space="preserve">все маржи, перенос эластичности с 01.07.2024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S2. Реформа плюс ставка</w:t>
            </w:r>
          </w:p>
        </w:tc>
        <w:tc>
          <w:tcPr/>
          <w:p>
            <w:pPr>
              <w:pStyle w:val="Compact"/>
            </w:pPr>
            <w:r>
              <w:t xml:space="preserve">S1 с альтернативными траекториями ключевой ставки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S3. Реформа плюс макропруденциальные лимиты</w:t>
            </w:r>
          </w:p>
        </w:tc>
        <w:tc>
          <w:tcPr/>
          <w:p>
            <w:pPr>
              <w:pStyle w:val="Compact"/>
            </w:pPr>
            <w:r>
              <w:t xml:space="preserve">S1 с ограничениями по долговой нагрузке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S4. Реформа плюс переток в ИЖС</w:t>
            </w:r>
          </w:p>
        </w:tc>
        <w:tc>
          <w:tcPr/>
          <w:p>
            <w:pPr>
              <w:pStyle w:val="Compact"/>
            </w:pPr>
            <w:r>
              <w:t xml:space="preserve">S1 с явным каналом замещения (M7)</w:t>
            </w:r>
          </w:p>
        </w:tc>
      </w:tr>
    </w:tbl>
    <w:p>
      <w:pPr>
        <w:pStyle w:val="BodyText"/>
      </w:pPr>
      <w:r>
        <w:t xml:space="preserve">Разница S0 и S1 — оценка эффекта реформы; разброс между S1 и S4 — вклад канала</w:t>
      </w:r>
      <w:r>
        <w:t xml:space="preserve"> </w:t>
      </w:r>
      <w:r>
        <w:t xml:space="preserve">замещения, который и представляет основной интерес для политики.</w:t>
      </w:r>
    </w:p>
    <w:bookmarkEnd w:id="21"/>
    <w:bookmarkEnd w:id="22"/>
    <w:bookmarkStart w:id="23" w:name="X8036e7a92880aaa2b76f1813bc1a2676aa649d5"/>
    <w:p>
      <w:pPr>
        <w:pStyle w:val="Heading1"/>
      </w:pPr>
      <w:r>
        <w:t xml:space="preserve">7. Априорные ожидания (подлежат проверке, не являются результатом)</w:t>
      </w:r>
    </w:p>
    <w:p>
      <w:pPr>
        <w:pStyle w:val="Compact"/>
        <w:numPr>
          <w:ilvl w:val="0"/>
          <w:numId w:val="1005"/>
        </w:numPr>
      </w:pPr>
      <w:r>
        <w:t xml:space="preserve">Спрос в сегменте семей с одним ребёнком на первичном рынке снижается: ставка</w:t>
      </w:r>
      <w:r>
        <w:t xml:space="preserve"> </w:t>
      </w:r>
      <w:r>
        <w:t xml:space="preserve">растёт на 4 п.п. (в столичных регионах на 6 п.п.) при неизменном лимите.</w:t>
      </w:r>
    </w:p>
    <w:p>
      <w:pPr>
        <w:pStyle w:val="Compact"/>
        <w:numPr>
          <w:ilvl w:val="0"/>
          <w:numId w:val="1005"/>
        </w:numPr>
      </w:pPr>
      <w:r>
        <w:t xml:space="preserve">Спрос в сегменте 3+ детей растёт: ставка не выше прежней, лимит повышается</w:t>
      </w:r>
      <w:r>
        <w:t xml:space="preserve"> </w:t>
      </w:r>
      <w:r>
        <w:t xml:space="preserve">с 6 до 10 млн.</w:t>
      </w:r>
    </w:p>
    <w:p>
      <w:pPr>
        <w:pStyle w:val="Compact"/>
        <w:numPr>
          <w:ilvl w:val="0"/>
          <w:numId w:val="1005"/>
        </w:numPr>
      </w:pPr>
      <w:r>
        <w:t xml:space="preserve">Дискретный провал в когорте семей с двумя и более несовершеннолетними детьми</w:t>
      </w:r>
      <w:r>
        <w:t xml:space="preserve"> </w:t>
      </w:r>
      <w:r>
        <w:t xml:space="preserve">без ребёнка младше 7 лет — потеря права целиком.</w:t>
      </w:r>
    </w:p>
    <w:p>
      <w:pPr>
        <w:pStyle w:val="Compact"/>
        <w:numPr>
          <w:ilvl w:val="0"/>
          <w:numId w:val="1005"/>
        </w:numPr>
      </w:pPr>
      <w:r>
        <w:t xml:space="preserve">Переток в ИЖС: неизменные 6 % при подорожавшей ставке в многоквартирном</w:t>
      </w:r>
      <w:r>
        <w:t xml:space="preserve"> </w:t>
      </w:r>
      <w:r>
        <w:t xml:space="preserve">сегменте повышают долю ИЖС в первичном спросе.</w:t>
      </w:r>
    </w:p>
    <w:p>
      <w:pPr>
        <w:pStyle w:val="Compact"/>
        <w:numPr>
          <w:ilvl w:val="0"/>
          <w:numId w:val="1005"/>
        </w:numPr>
      </w:pPr>
      <w:r>
        <w:t xml:space="preserve">Сокращение срока субсидирования до 15 лет при фактическом среднем сроке</w:t>
      </w:r>
      <w:r>
        <w:t xml:space="preserve"> </w:t>
      </w:r>
      <w:r>
        <w:t xml:space="preserve">23,8 года даёт второй ценовой канал: либо «обрыв» платежа на 16-м году, либо</w:t>
      </w:r>
      <w:r>
        <w:t xml:space="preserve"> </w:t>
      </w:r>
      <w:r>
        <w:t xml:space="preserve">сжатие срока банком с ростом платежа на 28–82 %. Доступная сумма кредита при</w:t>
      </w:r>
      <w:r>
        <w:t xml:space="preserve"> </w:t>
      </w:r>
      <w:r>
        <w:t xml:space="preserve">неизменном платеже падает на 39 % против 28 % от одного роста ставки.</w:t>
      </w:r>
    </w:p>
    <w:p>
      <w:pPr>
        <w:pStyle w:val="Compact"/>
        <w:numPr>
          <w:ilvl w:val="0"/>
          <w:numId w:val="1005"/>
        </w:numPr>
      </w:pPr>
      <w:r>
        <w:t xml:space="preserve">Итоговый знак по первичному рынку</w:t>
      </w:r>
      <w:r>
        <w:t xml:space="preserve"> </w:t>
      </w:r>
      <w:r>
        <w:rPr>
          <w:b/>
          <w:bCs/>
        </w:rPr>
        <w:t xml:space="preserve">не определён априори</w:t>
      </w:r>
      <w:r>
        <w:t xml:space="preserve">: сокращение в</w:t>
      </w:r>
      <w:r>
        <w:t xml:space="preserve"> </w:t>
      </w:r>
      <w:r>
        <w:t xml:space="preserve">массовых когортах (1–2 ребёнка) может быть частично компенсировано ростом в</w:t>
      </w:r>
      <w:r>
        <w:t xml:space="preserve"> </w:t>
      </w:r>
      <w:r>
        <w:t xml:space="preserve">многодетных и перетоком. Это и есть содержательный вопрос исследования.</w:t>
      </w:r>
    </w:p>
    <w:bookmarkEnd w:id="23"/>
    <w:bookmarkStart w:id="24" w:name="валидация-дизайна"/>
    <w:p>
      <w:pPr>
        <w:pStyle w:val="Heading1"/>
      </w:pPr>
      <w:r>
        <w:t xml:space="preserve">8. Валидация дизайна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Бэктест на 01.07.2024</w:t>
      </w:r>
      <w:r>
        <w:t xml:space="preserve">: применить ту же цепочку (экспозиция → перенос</w:t>
      </w:r>
      <w:r>
        <w:t xml:space="preserve"> </w:t>
      </w:r>
      <w:r>
        <w:t xml:space="preserve">эластичности → прогноз) к закрытию массовой программы, используя только данные</w:t>
      </w:r>
      <w:r>
        <w:t xml:space="preserve"> </w:t>
      </w:r>
      <w:r>
        <w:t xml:space="preserve">до события, и сверить прогноз с фактом. Дизайн, который не воспроизводит</w:t>
      </w:r>
      <w:r>
        <w:t xml:space="preserve"> </w:t>
      </w:r>
      <w:r>
        <w:t xml:space="preserve">прошлое событие, не годится для будущего.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Плацебо</w:t>
      </w:r>
      <w:r>
        <w:t xml:space="preserve">: фиктивная реформа на дату без изменений условий (например,</w:t>
      </w:r>
      <w:r>
        <w:t xml:space="preserve"> </w:t>
      </w:r>
      <w:r>
        <w:t xml:space="preserve">01.07.2023); ожидание — нулевой эффект.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Проверка на уральском срезе</w:t>
      </w:r>
      <w:r>
        <w:t xml:space="preserve">: там есть оба демографических разреза, поэтому</w:t>
      </w:r>
      <w:r>
        <w:t xml:space="preserve"> </w:t>
      </w:r>
      <w:r>
        <w:t xml:space="preserve">допущение о независимости возрастов детей проверяется сравнением с фактом.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Вневыборочная проверка</w:t>
      </w:r>
      <w:r>
        <w:t xml:space="preserve"> </w:t>
      </w:r>
      <w:r>
        <w:t xml:space="preserve">после появления данных: прогноз фиксируется до</w:t>
      </w:r>
      <w:r>
        <w:t xml:space="preserve"> </w:t>
      </w:r>
      <w:r>
        <w:t xml:space="preserve">публикации, затем сверяется; расхождение разбирается по компонентам.</w:t>
      </w:r>
    </w:p>
    <w:bookmarkEnd w:id="24"/>
    <w:bookmarkStart w:id="25" w:name="план-работ-и-сроки"/>
    <w:p>
      <w:pPr>
        <w:pStyle w:val="Heading1"/>
      </w:pPr>
      <w:r>
        <w:t xml:space="preserve">9. План работ и сроки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Зависимость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Добор рядов первичного рынка: ИЖК под залог прав требования по ДДУ (файлы ЦБ 02_15–02_17) с 2019-01, ИЖС (02_42–02_45) с 2024-01; регистрация в каталоге</w:t>
            </w:r>
          </w:p>
        </w:tc>
        <w:tc>
          <w:tcPr/>
          <w:p>
            <w:pPr>
              <w:pStyle w:val="Compact"/>
            </w:pPr>
            <w:r>
              <w:t xml:space="preserve">до 10.10.2026 —</w:t>
            </w:r>
            <w:r>
              <w:t xml:space="preserve"> </w:t>
            </w:r>
            <w:r>
              <w:rPr>
                <w:b/>
                <w:bCs/>
              </w:rPr>
              <w:t xml:space="preserve">выполнено 01.10.2026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t_d3dc28ff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cbr-primary-market-rows-20261001.md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доступ к cbr.ru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Расширение демографии на 85 субъектов; пересборка экспозиции с маржой M4</w:t>
            </w:r>
          </w:p>
        </w:tc>
        <w:tc>
          <w:tcPr/>
          <w:p>
            <w:pPr>
              <w:pStyle w:val="Compact"/>
            </w:pPr>
            <w:r>
              <w:t xml:space="preserve">до 15.10.2026 —</w:t>
            </w:r>
            <w:r>
              <w:t xml:space="preserve"> </w:t>
            </w:r>
            <w:r>
              <w:rPr>
                <w:b/>
                <w:bCs/>
              </w:rPr>
              <w:t xml:space="preserve">выполнено 01.10.2026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t_7ce30b91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ekspozitsiya-reformy-2026-peresborka.md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загрузчик ВПН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Микросимуляция когорт (Блок 1)</w:t>
            </w:r>
          </w:p>
        </w:tc>
        <w:tc>
          <w:tcPr/>
          <w:p>
            <w:pPr>
              <w:pStyle w:val="Compact"/>
            </w:pPr>
            <w:r>
              <w:t xml:space="preserve">до 25.10.2026 —</w:t>
            </w:r>
            <w:r>
              <w:t xml:space="preserve"> </w:t>
            </w:r>
            <w:r>
              <w:rPr>
                <w:b/>
                <w:bCs/>
              </w:rPr>
              <w:t xml:space="preserve">выполнено 01.10.2026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did_reform_cohorts_2026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mikrosimulyatsiya-kogort-reforma-2026.md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этап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Эффект предвосхищения по недельным снимкам</w:t>
            </w:r>
          </w:p>
        </w:tc>
        <w:tc>
          <w:tcPr/>
          <w:p>
            <w:pPr>
              <w:pStyle w:val="Compact"/>
            </w:pPr>
            <w:r>
              <w:t xml:space="preserve">до 30.10.2026 —</w:t>
            </w:r>
            <w:r>
              <w:t xml:space="preserve"> </w:t>
            </w:r>
            <w:r>
              <w:rPr>
                <w:b/>
                <w:bCs/>
              </w:rPr>
              <w:t xml:space="preserve">выполнено 01.10.2026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effekt-predvoskhishcheniya-reforma-2026.md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данные ДОМ.РФ за сентябрь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Перенос эластичностей и панельная модель (Блоки 2–3)</w:t>
            </w:r>
          </w:p>
        </w:tc>
        <w:tc>
          <w:tcPr/>
          <w:p>
            <w:pPr>
              <w:pStyle w:val="Compact"/>
            </w:pPr>
            <w:r>
              <w:t xml:space="preserve">до 10.11.2026 —</w:t>
            </w:r>
            <w:r>
              <w:t xml:space="preserve"> </w:t>
            </w:r>
            <w:r>
              <w:rPr>
                <w:b/>
                <w:bCs/>
              </w:rPr>
              <w:t xml:space="preserve">частично выполнено 01.10.2026</w:t>
            </w:r>
            <w:r>
              <w:t xml:space="preserve">: эластичность первичного рынка получена (−1,0), панельная модель отбракована бэктестом (</w:t>
            </w:r>
            <w:r>
              <w:rPr>
                <w:rStyle w:val="VerbatimChar"/>
              </w:rPr>
              <w:t xml:space="preserve">bektest-dizayna-2024-i-elastichnost-pervichki.md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этапы 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4а</w:t>
            </w:r>
          </w:p>
        </w:tc>
        <w:tc>
          <w:tcPr/>
          <w:p>
            <w:pPr>
              <w:pStyle w:val="Compact"/>
            </w:pPr>
            <w:r>
              <w:t xml:space="preserve">Переопределение панельного блока</w:t>
            </w:r>
          </w:p>
        </w:tc>
        <w:tc>
          <w:tcPr/>
          <w:p>
            <w:pPr>
              <w:pStyle w:val="Compact"/>
            </w:pPr>
            <w:r>
              <w:t xml:space="preserve">до 25.10.2026 —</w:t>
            </w:r>
            <w:r>
              <w:t xml:space="preserve"> </w:t>
            </w:r>
            <w:r>
              <w:rPr>
                <w:b/>
                <w:bCs/>
              </w:rPr>
              <w:t xml:space="preserve">выполнено 01.10.2026</w:t>
            </w:r>
            <w:r>
              <w:t xml:space="preserve">: панельная модель отбракована (эндогенность), прогноз переведён на схему переноса</w:t>
            </w:r>
          </w:p>
        </w:tc>
        <w:tc>
          <w:tcPr/>
          <w:p>
            <w:pPr>
              <w:pStyle w:val="Compact"/>
            </w:pPr>
            <w:r>
              <w:t xml:space="preserve">этап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Сценарии и прогноз</w:t>
            </w:r>
          </w:p>
        </w:tc>
        <w:tc>
          <w:tcPr/>
          <w:p>
            <w:pPr>
              <w:pStyle w:val="Compact"/>
            </w:pPr>
            <w:r>
              <w:t xml:space="preserve">до 20.11.2026 —</w:t>
            </w:r>
            <w:r>
              <w:t xml:space="preserve"> </w:t>
            </w:r>
            <w:r>
              <w:rPr>
                <w:b/>
                <w:bCs/>
              </w:rPr>
              <w:t xml:space="preserve">выполнено 01.10.2026</w:t>
            </w:r>
            <w:r>
              <w:t xml:space="preserve">: прогноз зафиксирован до данных за октябрь (</w:t>
            </w:r>
            <w:r>
              <w:rPr>
                <w:rStyle w:val="VerbatimChar"/>
              </w:rPr>
              <w:t xml:space="preserve">prognoz-pervichka-reforma-2026-scenarii.md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этапы 2–4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Первая сверка с фактом (октябрь 2026)</w:t>
            </w:r>
          </w:p>
        </w:tc>
        <w:tc>
          <w:tcPr/>
          <w:p>
            <w:pPr>
              <w:pStyle w:val="Compact"/>
            </w:pPr>
            <w:r>
              <w:t xml:space="preserve">после публикации данных, ориентировочно декабрь 2026</w:t>
            </w:r>
          </w:p>
        </w:tc>
        <w:tc>
          <w:tcPr/>
          <w:p>
            <w:pPr>
              <w:pStyle w:val="Compact"/>
            </w:pPr>
            <w:r>
              <w:t xml:space="preserve">публикация ЦБ и ДОМ.РФ</w:t>
            </w:r>
          </w:p>
        </w:tc>
      </w:tr>
    </w:tbl>
    <w:p>
      <w:pPr>
        <w:pStyle w:val="BodyText"/>
      </w:pPr>
      <w:r>
        <w:t xml:space="preserve">Точка невозврата для фиксации прогноза — до публикации первых данных за октябрь</w:t>
      </w:r>
      <w:r>
        <w:t xml:space="preserve"> </w:t>
      </w:r>
      <w:r>
        <w:t xml:space="preserve">2026; иначе прогноз превращается в подгонку.</w:t>
      </w:r>
    </w:p>
    <w:bookmarkEnd w:id="25"/>
    <w:bookmarkStart w:id="26" w:name="риски-и-ограничения"/>
    <w:p>
      <w:pPr>
        <w:pStyle w:val="Heading1"/>
      </w:pPr>
      <w:r>
        <w:t xml:space="preserve">10. Риски и ограничения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Одновременность с другими мерами</w:t>
      </w:r>
      <w:r>
        <w:t xml:space="preserve">: макропруденциальные лимиты, траектория</w:t>
      </w:r>
      <w:r>
        <w:t xml:space="preserve"> </w:t>
      </w:r>
      <w:r>
        <w:t xml:space="preserve">ключевой ставки, региональные программы. Дизайн различает их только сценарно.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Сдвиг состава заёмщиков</w:t>
      </w:r>
      <w:r>
        <w:t xml:space="preserve">: семьи могут менять категорию (рождение ребёнка,</w:t>
      </w:r>
      <w:r>
        <w:t xml:space="preserve"> </w:t>
      </w:r>
      <w:r>
        <w:t xml:space="preserve">достижение ребёнком 7 лет) — эндогенно к программе. Не моделируется.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Данные</w:t>
      </w:r>
      <w:r>
        <w:t xml:space="preserve">: ряд ИЖС (файлы 02_41…02_45) начинается с января 2024 года, то есть</w:t>
      </w:r>
      <w:r>
        <w:t xml:space="preserve"> </w:t>
      </w:r>
      <w:r>
        <w:t xml:space="preserve">охватывает лишь два с половиной года; месячных цен первички по регионам нет;</w:t>
      </w:r>
      <w:r>
        <w:t xml:space="preserve"> </w:t>
      </w:r>
      <w:r>
        <w:t xml:space="preserve">возраст младшего ребёнка восстанавливается допущением.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Дефекты источников</w:t>
      </w:r>
      <w:r>
        <w:t xml:space="preserve">: занижение выдач по автономным округам в отчётах</w:t>
      </w:r>
      <w:r>
        <w:t xml:space="preserve"> </w:t>
      </w:r>
      <w:r>
        <w:t xml:space="preserve">ДОМ.РФ (ХМАО, ЯНАО); двойной счёт во вложенных строках; пересмотры.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Горизонт</w:t>
      </w:r>
      <w:r>
        <w:t xml:space="preserve">: эффект реформы нарастает, как показало событие 2024 года,</w:t>
      </w:r>
      <w:r>
        <w:t xml:space="preserve"> </w:t>
      </w:r>
      <w:r>
        <w:t xml:space="preserve">поэтому прогноз на первые месяцы систематически занижает итоговый эффект.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Экспозиция по «столичным регионам»</w:t>
      </w:r>
      <w:r>
        <w:t xml:space="preserve">: Москва, МО, СПб, ЛО имеют отдельную</w:t>
      </w:r>
      <w:r>
        <w:t xml:space="preserve"> </w:t>
      </w:r>
      <w:r>
        <w:t xml:space="preserve">шкалу — их нельзя смешивать с остальными в одной мере без отдельного</w:t>
      </w:r>
      <w:r>
        <w:t xml:space="preserve"> </w:t>
      </w:r>
      <w:r>
        <w:t xml:space="preserve">коэффициента.</w:t>
      </w:r>
    </w:p>
    <w:bookmarkEnd w:id="26"/>
    <w:bookmarkStart w:id="27" w:name="артефакты-и-критерии-приёмки"/>
    <w:p>
      <w:pPr>
        <w:pStyle w:val="Heading1"/>
      </w:pPr>
      <w:r>
        <w:t xml:space="preserve">11. Артефакты и критерии приёмки</w:t>
      </w:r>
    </w:p>
    <w:p>
      <w:pPr>
        <w:pStyle w:val="FirstParagraph"/>
      </w:pPr>
      <w:r>
        <w:t xml:space="preserve">Артефакты: пересобранная витрина экспозиции по 85 субъектам; таблица изменения</w:t>
      </w:r>
      <w:r>
        <w:t xml:space="preserve"> </w:t>
      </w:r>
      <w:r>
        <w:t xml:space="preserve">ставок и лимитов по когортам; прогноз по сценариям с интервалами (РФ, Урал,</w:t>
      </w:r>
      <w:r>
        <w:t xml:space="preserve"> </w:t>
      </w:r>
      <w:r>
        <w:t xml:space="preserve">регионы); записка с механикой и допущениями; скрипты, воспроизводящие расчёт.</w:t>
      </w:r>
    </w:p>
    <w:p>
      <w:pPr>
        <w:pStyle w:val="BodyText"/>
      </w:pPr>
      <w:r>
        <w:t xml:space="preserve">Критерии приёмки: (1) бэктест на 01.07.2024 воспроизводит знак и порядок величины</w:t>
      </w:r>
      <w:r>
        <w:t xml:space="preserve"> </w:t>
      </w:r>
      <w:r>
        <w:t xml:space="preserve">наблюдённого эффекта; (2) плацебо даёт ноль; (3) прогноз зафиксирован до появления</w:t>
      </w:r>
      <w:r>
        <w:t xml:space="preserve"> </w:t>
      </w:r>
      <w:r>
        <w:t xml:space="preserve">данных за октябрь 2026; (4) каждое число снабжено источником или ссылкой на</w:t>
      </w:r>
      <w:r>
        <w:t xml:space="preserve"> </w:t>
      </w:r>
      <w:r>
        <w:t xml:space="preserve">воспроизводимый расчёт; (5) все допущения перечислены явно.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Дизайн исследования: прогноз спроса на первичное жильё при изменении условий «Семейной ипотеки» с 01.10.2026</dc:title>
  <dc:creator/>
  <cp:keywords/>
  <dcterms:created xsi:type="dcterms:W3CDTF">2026-10-02T05:44:37Z</dcterms:created>
  <dcterms:modified xsi:type="dcterms:W3CDTF">2026-10-02T05:44:37Z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2026-10-01</vt:lpwstr>
  </property>
  <property fmtid="{D5CDD505-2E9C-101B-9397-08002B2CF9AE}" pid="3" name="sources">
    <vt:lpwstr/>
  </property>
  <property fmtid="{D5CDD505-2E9C-101B-9397-08002B2CF9AE}" pid="4" name="status">
    <vt:lpwstr>draft</vt:lpwstr>
  </property>
  <property fmtid="{D5CDD505-2E9C-101B-9397-08002B2CF9AE}" pid="5" name="tags">
    <vt:lpwstr/>
  </property>
  <property fmtid="{D5CDD505-2E9C-101B-9397-08002B2CF9AE}" pid="6" name="type">
    <vt:lpwstr>design</vt:lpwstr>
  </property>
</Properties>
</file>