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Микросимуляция когорт реформы «Семейной ипотеки» 01.10.2026 (этап 2 дизайна)</w:t>
      </w:r>
    </w:p>
    <w:bookmarkStart w:id="9" w:name="что-считалось"/>
    <w:p>
      <w:pPr>
        <w:pStyle w:val="Heading1"/>
      </w:pPr>
      <w:r>
        <w:t xml:space="preserve">Что считалось</w:t>
      </w:r>
    </w:p>
    <w:p>
      <w:pPr>
        <w:pStyle w:val="FirstParagraph"/>
      </w:pPr>
      <w:r>
        <w:t xml:space="preserve">Второй этап дизайна: превратить пересобранную экспозицию в</w:t>
      </w:r>
      <w:r>
        <w:t xml:space="preserve"> </w:t>
      </w:r>
      <w:r>
        <w:rPr>
          <w:b/>
          <w:bCs/>
        </w:rPr>
        <w:t xml:space="preserve">изменение условий по</w:t>
      </w:r>
      <w:r>
        <w:rPr>
          <w:b/>
          <w:bCs/>
        </w:rPr>
        <w:t xml:space="preserve"> </w:t>
      </w:r>
      <w:r>
        <w:rPr>
          <w:b/>
          <w:bCs/>
        </w:rPr>
        <w:t xml:space="preserve">когортам</w:t>
      </w:r>
      <w:r>
        <w:t xml:space="preserve"> </w:t>
      </w:r>
      <w:r>
        <w:t xml:space="preserve">— доступность программы, ставку и лимит, — и агрегировать это в</w:t>
      </w:r>
      <w:r>
        <w:t xml:space="preserve"> </w:t>
      </w:r>
      <w:r>
        <w:t xml:space="preserve">промежуточный показатель, на котором дальше строится прогноз спроса.</w:t>
      </w:r>
    </w:p>
    <w:p>
      <w:pPr>
        <w:pStyle w:val="BodyText"/>
      </w:pPr>
      <w:r>
        <w:t xml:space="preserve">Три канала считаются раздельно, потому что они действуют в разные стороны: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потеря доступа</w:t>
      </w:r>
      <w:r>
        <w:t xml:space="preserve"> </w:t>
      </w:r>
      <w:r>
        <w:t xml:space="preserve">— доля семей, у которых право на программу исчезает;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ставка</w:t>
      </w:r>
      <w:r>
        <w:t xml:space="preserve"> </w:t>
      </w:r>
      <w:r>
        <w:t xml:space="preserve">— для тех, кто право сохраняет;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лимит</w:t>
      </w:r>
      <w:r>
        <w:t xml:space="preserve"> </w:t>
      </w:r>
      <w:r>
        <w:t xml:space="preserve">— для тех, кто право сохраняет.</w:t>
      </w:r>
    </w:p>
    <w:p>
      <w:pPr>
        <w:pStyle w:val="FirstParagraph"/>
      </w:pPr>
      <w:r>
        <w:t xml:space="preserve">Смешивать их в один индекс нельзя: утрата права и рост лимита — разнонаправленные</w:t>
      </w:r>
      <w:r>
        <w:t xml:space="preserve"> </w:t>
      </w:r>
      <w:r>
        <w:t xml:space="preserve">эффекты, и именно их соотношение определяет знак итогового влияния на спрос.</w:t>
      </w:r>
    </w:p>
    <w:bookmarkEnd w:id="9"/>
    <w:bookmarkStart w:id="10" w:name="метод"/>
    <w:p>
      <w:pPr>
        <w:pStyle w:val="Heading1"/>
      </w:pPr>
      <w:r>
        <w:t xml:space="preserve">Метод</w:t>
      </w:r>
    </w:p>
    <w:p>
      <w:pPr>
        <w:pStyle w:val="FirstParagraph"/>
      </w:pPr>
      <w:r>
        <w:t xml:space="preserve">Когорты: домохозяйства с детьми моложе 18 лет, разложенные по числу детей</w:t>
      </w:r>
      <w:r>
        <w:t xml:space="preserve"> </w:t>
      </w:r>
      <w:r>
        <w:t xml:space="preserve">(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,</w:t>
      </w:r>
      <w:r>
        <w:t xml:space="preserve"> </w:t>
      </w:r>
      <w:r>
        <w:rPr>
          <w:rStyle w:val="VerbatimChar"/>
        </w:rPr>
        <w:t xml:space="preserve">h3</w:t>
      </w:r>
      <w:r>
        <w:t xml:space="preserve">) и по наличию ребёнка младше 7 лет. Вероятность наличия такого</w:t>
      </w:r>
      <w:r>
        <w:t xml:space="preserve"> </w:t>
      </w:r>
      <w:r>
        <w:t xml:space="preserve">ребёнка при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детях:</w:t>
      </w:r>
      <w:r>
        <w:t xml:space="preserve"> </w:t>
      </w:r>
      <w:r>
        <w:rPr>
          <w:rStyle w:val="VerbatimChar"/>
        </w:rPr>
        <w:t xml:space="preserve">1 − (1 − p)^n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доля детей 0–6 среди детей 0–17</w:t>
      </w:r>
      <w:r>
        <w:t xml:space="preserve"> </w:t>
      </w:r>
      <w:r>
        <w:t xml:space="preserve">в регионе.</w:t>
      </w:r>
    </w:p>
    <w:p>
      <w:pPr>
        <w:pStyle w:val="BodyText"/>
      </w:pPr>
      <w:r>
        <w:t xml:space="preserve">Право на программу: до реформы — ребёнок до 6 лет включительно,</w:t>
      </w:r>
      <w:r>
        <w:t xml:space="preserve"> </w:t>
      </w:r>
      <w:r>
        <w:rPr>
          <w:b/>
          <w:bCs/>
        </w:rPr>
        <w:t xml:space="preserve">либо двое и</w:t>
      </w:r>
      <w:r>
        <w:rPr>
          <w:b/>
          <w:bCs/>
        </w:rPr>
        <w:t xml:space="preserve"> </w:t>
      </w:r>
      <w:r>
        <w:rPr>
          <w:b/>
          <w:bCs/>
        </w:rPr>
        <w:t xml:space="preserve">более несовершеннолетних детей</w:t>
      </w:r>
      <w:r>
        <w:t xml:space="preserve">, либо ребёнок-инвалид; после — обязательное</w:t>
      </w:r>
      <w:r>
        <w:t xml:space="preserve"> </w:t>
      </w:r>
      <w:r>
        <w:t xml:space="preserve">условие «хотя бы один ребёнок младше 7 лет» для всех категорий.</w:t>
      </w:r>
    </w:p>
    <w:p>
      <w:pPr>
        <w:pStyle w:val="BodyText"/>
      </w:pPr>
      <w:r>
        <w:t xml:space="preserve">Ставка после реформы (вне столичных регионов / в столичных): 1 ребёнок — 10 / 12 %;</w:t>
      </w:r>
      <w:r>
        <w:t xml:space="preserve"> </w:t>
      </w:r>
      <w:r>
        <w:t xml:space="preserve">2 — 8 / 10 %; 3 — 6 / 8 %; 4 — 4 / 6 %; 5+ — 2 / 4 %. Лимит: 1 ребёнок — 6 / 12 млн;</w:t>
      </w:r>
      <w:r>
        <w:t xml:space="preserve"> </w:t>
      </w:r>
      <w:r>
        <w:t xml:space="preserve">2 — 8 / 15; 3+ — 10 / 18. До реформы — единая ставка 6 % и лимит 6 / 12 млн.</w:t>
      </w:r>
    </w:p>
    <w:p>
      <w:pPr>
        <w:pStyle w:val="BodyText"/>
      </w:pPr>
      <w:r>
        <w:t xml:space="preserve">Допущения (зафиксированы письменно): возрасты детей в домохозяйстве независимы;</w:t>
      </w:r>
      <w:r>
        <w:t xml:space="preserve"> </w:t>
      </w:r>
      <w:r>
        <w:t xml:space="preserve">когорта «3 и более» считается как семьи с тремя детьми (источник не даёт дробного</w:t>
      </w:r>
      <w:r>
        <w:t xml:space="preserve"> </w:t>
      </w:r>
      <w:r>
        <w:t xml:space="preserve">разреза); доля семей с ребёнком-инвалидом не учитывается (в источнике её нет);</w:t>
      </w:r>
      <w:r>
        <w:t xml:space="preserve"> </w:t>
      </w:r>
      <w:r>
        <w:t xml:space="preserve">структура семей неизменна, поведенческих реакций нет.</w:t>
      </w:r>
    </w:p>
    <w:bookmarkEnd w:id="10"/>
    <w:bookmarkStart w:id="11" w:name="результаты-россия-в-целом"/>
    <w:p>
      <w:pPr>
        <w:pStyle w:val="Heading1"/>
      </w:pPr>
      <w:r>
        <w:t xml:space="preserve">Результаты: Россия в целом</w:t>
      </w:r>
    </w:p>
    <w:p>
      <w:pPr>
        <w:pStyle w:val="FirstParagraph"/>
      </w:pPr>
      <w:r>
        <w:t xml:space="preserve">Домохозяйств с детьми моложе 18 лет — 15 231 213 (сумма по 85 субъектам).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семей с одним ребёнком (</w:t>
            </w:r>
            <w:r>
              <w:rPr>
                <w:rStyle w:val="VerbatimChar"/>
              </w:rPr>
              <w:t xml:space="preserve">h1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двумя (</w:t>
            </w:r>
            <w:r>
              <w:rPr>
                <w:rStyle w:val="VerbatimChar"/>
              </w:rPr>
              <w:t xml:space="preserve">h2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тремя и более (</w:t>
            </w:r>
            <w:r>
              <w:rPr>
                <w:rStyle w:val="VerbatimChar"/>
              </w:rPr>
              <w:t xml:space="preserve">h3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Имели право до реформы</w:t>
            </w:r>
          </w:p>
        </w:tc>
        <w:tc>
          <w:tcPr/>
          <w:p>
            <w:pPr>
              <w:pStyle w:val="Compact"/>
            </w:pPr>
            <w:r>
              <w:t xml:space="preserve">0,656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Сохраняют право после</w:t>
            </w:r>
          </w:p>
        </w:tc>
        <w:tc>
          <w:tcPr/>
          <w:p>
            <w:pPr>
              <w:pStyle w:val="Compact"/>
            </w:pPr>
            <w:r>
              <w:t xml:space="preserve">0,497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Теряют право полностью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ставки для сохранивших право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+2,81 п.п.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лимита для сохранивших право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+1,61 млн руб.</w:t>
            </w:r>
          </w:p>
        </w:tc>
      </w:tr>
    </w:tbl>
    <w:p>
      <w:pPr>
        <w:pStyle w:val="BodyText"/>
      </w:pPr>
      <w:r>
        <w:t xml:space="preserve">Расшифровка каналов: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Потеря доступа</w:t>
      </w:r>
      <w:r>
        <w:t xml:space="preserve"> </w:t>
      </w:r>
      <w:r>
        <w:t xml:space="preserve">касается семей с двумя и более детьми, ни один из которых не</w:t>
      </w:r>
      <w:r>
        <w:t xml:space="preserve"> </w:t>
      </w:r>
      <w:r>
        <w:t xml:space="preserve">младше 7 лет, — до реформы они имели право по критерию «двое и более</w:t>
      </w:r>
      <w:r>
        <w:t xml:space="preserve"> </w:t>
      </w:r>
      <w:r>
        <w:t xml:space="preserve">несовершеннолетних», после реформы не имеют. Это 15,8 % семей с детьми, то есть</w:t>
      </w:r>
      <w:r>
        <w:t xml:space="preserve"> </w:t>
      </w:r>
      <w:r>
        <w:t xml:space="preserve">примерно каждая шестая.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Рост ставки</w:t>
      </w:r>
      <w:r>
        <w:t xml:space="preserve"> </w:t>
      </w:r>
      <w:r>
        <w:t xml:space="preserve">для сохранивших право складывается из +4 п.п. для семей с одним</w:t>
      </w:r>
      <w:r>
        <w:t xml:space="preserve"> </w:t>
      </w:r>
      <w:r>
        <w:t xml:space="preserve">ребёнком (10 % против 6 %) и +2 п.п. для семей с двумя детьми (8 % против 6 %);</w:t>
      </w:r>
      <w:r>
        <w:t xml:space="preserve"> </w:t>
      </w:r>
      <w:r>
        <w:t xml:space="preserve">для семей с тремя детьми ставка не меняется, для четырёх и более — снижается.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Рост лимита</w:t>
      </w:r>
      <w:r>
        <w:t xml:space="preserve"> </w:t>
      </w:r>
      <w:r>
        <w:t xml:space="preserve">касается семей с двумя (8 млн против 6) и тремя и более детьми</w:t>
      </w:r>
      <w:r>
        <w:t xml:space="preserve"> </w:t>
      </w:r>
      <w:r>
        <w:t xml:space="preserve">(10 млн против 6) — то есть тех же, кто сохраняет право и не платит больше.</w:t>
      </w:r>
    </w:p>
    <w:bookmarkEnd w:id="11"/>
    <w:bookmarkStart w:id="12" w:name="платёж-что-это-значит-для-заёмщика"/>
    <w:p>
      <w:pPr>
        <w:pStyle w:val="Heading1"/>
      </w:pPr>
      <w:r>
        <w:t xml:space="preserve">Платёж: что это значит для заёмщика</w:t>
      </w:r>
    </w:p>
    <w:p>
      <w:pPr>
        <w:pStyle w:val="FirstParagraph"/>
      </w:pPr>
      <w:r>
        <w:t xml:space="preserve">Аннуитет на 20 лет по кредиту 6 млн руб.: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Когорта</w:t>
            </w:r>
          </w:p>
        </w:tc>
        <w:tc>
          <w:tcPr/>
          <w:p>
            <w:pPr>
              <w:pStyle w:val="Compact"/>
            </w:pPr>
            <w:r>
              <w:t xml:space="preserve">Платёж был</w:t>
            </w:r>
          </w:p>
        </w:tc>
        <w:tc>
          <w:tcPr/>
          <w:p>
            <w:pPr>
              <w:pStyle w:val="Compact"/>
            </w:pPr>
            <w:r>
              <w:t xml:space="preserve">Платёж стал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ребёнок, регионы</w:t>
            </w:r>
          </w:p>
        </w:tc>
        <w:tc>
          <w:tcPr/>
          <w:p>
            <w:pPr>
              <w:pStyle w:val="Compact"/>
            </w:pPr>
            <w:r>
              <w:t xml:space="preserve">42 986</w:t>
            </w:r>
          </w:p>
        </w:tc>
        <w:tc>
          <w:tcPr/>
          <w:p>
            <w:pPr>
              <w:pStyle w:val="Compact"/>
            </w:pPr>
            <w:r>
              <w:t xml:space="preserve">57 901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+34,7 %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ребёнок, столичные</w:t>
            </w:r>
          </w:p>
        </w:tc>
        <w:tc>
          <w:tcPr/>
          <w:p>
            <w:pPr>
              <w:pStyle w:val="Compact"/>
            </w:pPr>
            <w:r>
              <w:t xml:space="preserve">42 986</w:t>
            </w:r>
          </w:p>
        </w:tc>
        <w:tc>
          <w:tcPr/>
          <w:p>
            <w:pPr>
              <w:pStyle w:val="Compact"/>
            </w:pPr>
            <w:r>
              <w:t xml:space="preserve">66 065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детей, регионы</w:t>
            </w:r>
          </w:p>
        </w:tc>
        <w:tc>
          <w:tcPr/>
          <w:p>
            <w:pPr>
              <w:pStyle w:val="Compact"/>
            </w:pPr>
            <w:r>
              <w:t xml:space="preserve">42 986</w:t>
            </w:r>
          </w:p>
        </w:tc>
        <w:tc>
          <w:tcPr/>
          <w:p>
            <w:pPr>
              <w:pStyle w:val="Compact"/>
            </w:pPr>
            <w:r>
              <w:t xml:space="preserve">50 186</w:t>
            </w:r>
          </w:p>
        </w:tc>
        <w:tc>
          <w:tcPr/>
          <w:p>
            <w:pPr>
              <w:pStyle w:val="Compact"/>
            </w:pPr>
            <w:r>
              <w:t xml:space="preserve">+16,8 %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детей, столичные</w:t>
            </w:r>
          </w:p>
        </w:tc>
        <w:tc>
          <w:tcPr/>
          <w:p>
            <w:pPr>
              <w:pStyle w:val="Compact"/>
            </w:pPr>
            <w:r>
              <w:t xml:space="preserve">42 986</w:t>
            </w:r>
          </w:p>
        </w:tc>
        <w:tc>
          <w:tcPr/>
          <w:p>
            <w:pPr>
              <w:pStyle w:val="Compact"/>
            </w:pPr>
            <w:r>
              <w:t xml:space="preserve">57 901</w:t>
            </w:r>
          </w:p>
        </w:tc>
        <w:tc>
          <w:tcPr/>
          <w:p>
            <w:pPr>
              <w:pStyle w:val="Compact"/>
            </w:pPr>
            <w:r>
              <w:t xml:space="preserve">+34,7 %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детей, регионы</w:t>
            </w:r>
          </w:p>
        </w:tc>
        <w:tc>
          <w:tcPr/>
          <w:p>
            <w:pPr>
              <w:pStyle w:val="Compact"/>
            </w:pPr>
            <w:r>
              <w:t xml:space="preserve">42 986</w:t>
            </w:r>
          </w:p>
        </w:tc>
        <w:tc>
          <w:tcPr/>
          <w:p>
            <w:pPr>
              <w:pStyle w:val="Compact"/>
            </w:pPr>
            <w:r>
              <w:t xml:space="preserve">42 986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детей, столичные</w:t>
            </w:r>
          </w:p>
        </w:tc>
        <w:tc>
          <w:tcPr/>
          <w:p>
            <w:pPr>
              <w:pStyle w:val="Compact"/>
            </w:pPr>
            <w:r>
              <w:t xml:space="preserve">42 986</w:t>
            </w:r>
          </w:p>
        </w:tc>
        <w:tc>
          <w:tcPr/>
          <w:p>
            <w:pPr>
              <w:pStyle w:val="Compact"/>
            </w:pPr>
            <w:r>
              <w:t xml:space="preserve">50 186</w:t>
            </w:r>
          </w:p>
        </w:tc>
        <w:tc>
          <w:tcPr/>
          <w:p>
            <w:pPr>
              <w:pStyle w:val="Compact"/>
            </w:pPr>
            <w:r>
              <w:t xml:space="preserve">+16,8 %</w:t>
            </w:r>
          </w:p>
        </w:tc>
      </w:tr>
    </w:tbl>
    <w:p>
      <w:pPr>
        <w:pStyle w:val="BodyText"/>
      </w:pPr>
      <w:r>
        <w:t xml:space="preserve">За двадцать лет разница между ставками 6 % и 10 % на кредите 6 млн руб. составляет</w:t>
      </w:r>
      <w:r>
        <w:t xml:space="preserve"> </w:t>
      </w:r>
      <w:r>
        <w:t xml:space="preserve">около 3,58 млн руб. платежей — это и есть мера субсидии, которую когорта с одним</w:t>
      </w:r>
      <w:r>
        <w:t xml:space="preserve"> </w:t>
      </w:r>
      <w:r>
        <w:t xml:space="preserve">ребёнком теряет.</w:t>
      </w:r>
    </w:p>
    <w:p>
      <w:pPr>
        <w:pStyle w:val="BodyText"/>
      </w:pPr>
      <w:r>
        <w:t xml:space="preserve">Отдельно: в сегменте</w:t>
      </w:r>
      <w:r>
        <w:t xml:space="preserve"> </w:t>
      </w:r>
      <w:r>
        <w:rPr>
          <w:b/>
          <w:bCs/>
        </w:rPr>
        <w:t xml:space="preserve">ИЖС ставка остаётся 6 %</w:t>
      </w:r>
      <w:r>
        <w:t xml:space="preserve"> </w:t>
      </w:r>
      <w:r>
        <w:t xml:space="preserve">при любом числе детей и в любом</w:t>
      </w:r>
      <w:r>
        <w:t xml:space="preserve"> </w:t>
      </w:r>
      <w:r>
        <w:t xml:space="preserve">регионе, то есть для когорты с одним ребёнком разрыв между многоквартирным и</w:t>
      </w:r>
      <w:r>
        <w:t xml:space="preserve"> </w:t>
      </w:r>
      <w:r>
        <w:t xml:space="preserve">индивидуальным сегментами вырастает на 4 п.п. (регионы) и 6 п.п. (столичные) —</w:t>
      </w:r>
      <w:r>
        <w:t xml:space="preserve"> </w:t>
      </w:r>
      <w:r>
        <w:t xml:space="preserve">это чистый ценовой стимул к перетоку, и он не требует никаких допущений.</w:t>
      </w:r>
    </w:p>
    <w:bookmarkEnd w:id="12"/>
    <w:bookmarkStart w:id="13" w:name="региональный-разрез"/>
    <w:p>
      <w:pPr>
        <w:pStyle w:val="Heading1"/>
      </w:pPr>
      <w:r>
        <w:t xml:space="preserve">Региональный разрез</w:t>
      </w:r>
    </w:p>
    <w:p>
      <w:pPr>
        <w:pStyle w:val="FirstParagraph"/>
      </w:pPr>
      <w:r>
        <w:t xml:space="preserve">Уральский макрорегион (в порядке убывания роста ставки для сохранивших право):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</w:pPr>
            <w:r>
              <w:t xml:space="preserve">Имели право</w:t>
            </w:r>
          </w:p>
        </w:tc>
        <w:tc>
          <w:tcPr/>
          <w:p>
            <w:pPr>
              <w:pStyle w:val="Compact"/>
            </w:pPr>
            <w:r>
              <w:t xml:space="preserve">Теряют право</w:t>
            </w:r>
          </w:p>
        </w:tc>
        <w:tc>
          <w:tcPr/>
          <w:p>
            <w:pPr>
              <w:pStyle w:val="Compact"/>
            </w:pPr>
            <w:r>
              <w:t xml:space="preserve">Ставка, п.п.</w:t>
            </w:r>
          </w:p>
        </w:tc>
        <w:tc>
          <w:tcPr/>
          <w:p>
            <w:pPr>
              <w:pStyle w:val="Compact"/>
            </w:pPr>
            <w:r>
              <w:t xml:space="preserve">Лимит,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Свердловская область</w:t>
            </w:r>
          </w:p>
        </w:tc>
        <w:tc>
          <w:tcPr/>
          <w:p>
            <w:pPr>
              <w:pStyle w:val="Compact"/>
            </w:pPr>
            <w:r>
              <w:t xml:space="preserve">0,643</w:t>
            </w:r>
          </w:p>
        </w:tc>
        <w:tc>
          <w:tcPr/>
          <w:p>
            <w:pPr>
              <w:pStyle w:val="Compact"/>
            </w:pPr>
            <w:r>
              <w:t xml:space="preserve">0,147</w:t>
            </w:r>
          </w:p>
        </w:tc>
        <w:tc>
          <w:tcPr/>
          <w:p>
            <w:pPr>
              <w:pStyle w:val="Compact"/>
            </w:pPr>
            <w:r>
              <w:t xml:space="preserve">+2,62</w:t>
            </w:r>
          </w:p>
        </w:tc>
        <w:tc>
          <w:tcPr/>
          <w:p>
            <w:pPr>
              <w:pStyle w:val="Compact"/>
            </w:pPr>
            <w:r>
              <w:t xml:space="preserve">+1,38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Челябинская область</w:t>
            </w:r>
          </w:p>
        </w:tc>
        <w:tc>
          <w:tcPr/>
          <w:p>
            <w:pPr>
              <w:pStyle w:val="Compact"/>
            </w:pPr>
            <w:r>
              <w:t xml:space="preserve">0,651</w:t>
            </w:r>
          </w:p>
        </w:tc>
        <w:tc>
          <w:tcPr/>
          <w:p>
            <w:pPr>
              <w:pStyle w:val="Compact"/>
            </w:pPr>
            <w:r>
              <w:t xml:space="preserve">0,167</w:t>
            </w:r>
          </w:p>
        </w:tc>
        <w:tc>
          <w:tcPr/>
          <w:p>
            <w:pPr>
              <w:pStyle w:val="Compact"/>
            </w:pPr>
            <w:r>
              <w:t xml:space="preserve">+2,55</w:t>
            </w:r>
          </w:p>
        </w:tc>
        <w:tc>
          <w:tcPr/>
          <w:p>
            <w:pPr>
              <w:pStyle w:val="Compact"/>
            </w:pPr>
            <w:r>
              <w:t xml:space="preserve">+1,45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Пермский край</w:t>
            </w:r>
          </w:p>
        </w:tc>
        <w:tc>
          <w:tcPr/>
          <w:p>
            <w:pPr>
              <w:pStyle w:val="Compact"/>
            </w:pPr>
            <w:r>
              <w:t xml:space="preserve">0,656</w:t>
            </w:r>
          </w:p>
        </w:tc>
        <w:tc>
          <w:tcPr/>
          <w:p>
            <w:pPr>
              <w:pStyle w:val="Compact"/>
            </w:pPr>
            <w:r>
              <w:t xml:space="preserve">0,166</w:t>
            </w:r>
          </w:p>
        </w:tc>
        <w:tc>
          <w:tcPr/>
          <w:p>
            <w:pPr>
              <w:pStyle w:val="Compact"/>
            </w:pPr>
            <w:r>
              <w:t xml:space="preserve">+2,48</w:t>
            </w:r>
          </w:p>
        </w:tc>
        <w:tc>
          <w:tcPr/>
          <w:p>
            <w:pPr>
              <w:pStyle w:val="Compact"/>
            </w:pPr>
            <w:r>
              <w:t xml:space="preserve">+1,52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Оренбургская область</w:t>
            </w:r>
          </w:p>
        </w:tc>
        <w:tc>
          <w:tcPr/>
          <w:p>
            <w:pPr>
              <w:pStyle w:val="Compact"/>
            </w:pPr>
            <w:r>
              <w:t xml:space="preserve">0,668</w:t>
            </w:r>
          </w:p>
        </w:tc>
        <w:tc>
          <w:tcPr/>
          <w:p>
            <w:pPr>
              <w:pStyle w:val="Compact"/>
            </w:pPr>
            <w:r>
              <w:t xml:space="preserve">0,181</w:t>
            </w:r>
          </w:p>
        </w:tc>
        <w:tc>
          <w:tcPr/>
          <w:p>
            <w:pPr>
              <w:pStyle w:val="Compact"/>
            </w:pPr>
            <w:r>
              <w:t xml:space="preserve">+2,40</w:t>
            </w:r>
          </w:p>
        </w:tc>
        <w:tc>
          <w:tcPr/>
          <w:p>
            <w:pPr>
              <w:pStyle w:val="Compact"/>
            </w:pPr>
            <w:r>
              <w:t xml:space="preserve">+1,60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Курганская область</w:t>
            </w:r>
          </w:p>
        </w:tc>
        <w:tc>
          <w:tcPr/>
          <w:p>
            <w:pPr>
              <w:pStyle w:val="Compact"/>
            </w:pPr>
            <w:r>
              <w:t xml:space="preserve">0,667</w:t>
            </w:r>
          </w:p>
        </w:tc>
        <w:tc>
          <w:tcPr/>
          <w:p>
            <w:pPr>
              <w:pStyle w:val="Compact"/>
            </w:pPr>
            <w:r>
              <w:t xml:space="preserve">0,179</w:t>
            </w:r>
          </w:p>
        </w:tc>
        <w:tc>
          <w:tcPr/>
          <w:p>
            <w:pPr>
              <w:pStyle w:val="Compact"/>
            </w:pPr>
            <w:r>
              <w:t xml:space="preserve">+2,38</w:t>
            </w:r>
          </w:p>
        </w:tc>
        <w:tc>
          <w:tcPr/>
          <w:p>
            <w:pPr>
              <w:pStyle w:val="Compact"/>
            </w:pPr>
            <w:r>
              <w:t xml:space="preserve">+1,62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Республика Башкортостан</w:t>
            </w:r>
          </w:p>
        </w:tc>
        <w:tc>
          <w:tcPr/>
          <w:p>
            <w:pPr>
              <w:pStyle w:val="Compact"/>
            </w:pPr>
            <w:r>
              <w:t xml:space="preserve">0,679</w:t>
            </w:r>
          </w:p>
        </w:tc>
        <w:tc>
          <w:tcPr/>
          <w:p>
            <w:pPr>
              <w:pStyle w:val="Compact"/>
            </w:pPr>
            <w:r>
              <w:t xml:space="preserve">0,181</w:t>
            </w:r>
          </w:p>
        </w:tc>
        <w:tc>
          <w:tcPr/>
          <w:p>
            <w:pPr>
              <w:pStyle w:val="Compact"/>
            </w:pPr>
            <w:r>
              <w:t xml:space="preserve">+2,37</w:t>
            </w:r>
          </w:p>
        </w:tc>
        <w:tc>
          <w:tcPr/>
          <w:p>
            <w:pPr>
              <w:pStyle w:val="Compact"/>
            </w:pPr>
            <w:r>
              <w:t xml:space="preserve">+1,63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Тюменская область (без ХМАО и ЯНАО)</w:t>
            </w:r>
          </w:p>
        </w:tc>
        <w:tc>
          <w:tcPr/>
          <w:p>
            <w:pPr>
              <w:pStyle w:val="Compact"/>
            </w:pPr>
            <w:r>
              <w:t xml:space="preserve">0,690</w:t>
            </w:r>
          </w:p>
        </w:tc>
        <w:tc>
          <w:tcPr/>
          <w:p>
            <w:pPr>
              <w:pStyle w:val="Compact"/>
            </w:pPr>
            <w:r>
              <w:t xml:space="preserve">0,164</w:t>
            </w:r>
          </w:p>
        </w:tc>
        <w:tc>
          <w:tcPr/>
          <w:p>
            <w:pPr>
              <w:pStyle w:val="Compact"/>
            </w:pPr>
            <w:r>
              <w:t xml:space="preserve">+2,36</w:t>
            </w:r>
          </w:p>
        </w:tc>
        <w:tc>
          <w:tcPr/>
          <w:p>
            <w:pPr>
              <w:pStyle w:val="Compact"/>
            </w:pPr>
            <w:r>
              <w:t xml:space="preserve">+1,64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ХМАО — Югра</w:t>
            </w:r>
          </w:p>
        </w:tc>
        <w:tc>
          <w:tcPr/>
          <w:p>
            <w:pPr>
              <w:pStyle w:val="Compact"/>
            </w:pPr>
            <w:r>
              <w:t xml:space="preserve">0,682</w:t>
            </w:r>
          </w:p>
        </w:tc>
        <w:tc>
          <w:tcPr/>
          <w:p>
            <w:pPr>
              <w:pStyle w:val="Compact"/>
            </w:pPr>
            <w:r>
              <w:t xml:space="preserve">0,174</w:t>
            </w:r>
          </w:p>
        </w:tc>
        <w:tc>
          <w:tcPr/>
          <w:p>
            <w:pPr>
              <w:pStyle w:val="Compact"/>
            </w:pPr>
            <w:r>
              <w:t xml:space="preserve">+2,34</w:t>
            </w:r>
          </w:p>
        </w:tc>
        <w:tc>
          <w:tcPr/>
          <w:p>
            <w:pPr>
              <w:pStyle w:val="Compact"/>
            </w:pPr>
            <w:r>
              <w:t xml:space="preserve">+1,66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ЯНАО</w:t>
            </w:r>
          </w:p>
        </w:tc>
        <w:tc>
          <w:tcPr/>
          <w:p>
            <w:pPr>
              <w:pStyle w:val="Compact"/>
            </w:pPr>
            <w:r>
              <w:t xml:space="preserve">0,682</w:t>
            </w:r>
          </w:p>
        </w:tc>
        <w:tc>
          <w:tcPr/>
          <w:p>
            <w:pPr>
              <w:pStyle w:val="Compact"/>
            </w:pPr>
            <w:r>
              <w:t xml:space="preserve">0,169</w:t>
            </w:r>
          </w:p>
        </w:tc>
        <w:tc>
          <w:tcPr/>
          <w:p>
            <w:pPr>
              <w:pStyle w:val="Compact"/>
            </w:pPr>
            <w:r>
              <w:t xml:space="preserve">+2,31</w:t>
            </w:r>
          </w:p>
        </w:tc>
        <w:tc>
          <w:tcPr/>
          <w:p>
            <w:pPr>
              <w:pStyle w:val="Compact"/>
            </w:pPr>
            <w:r>
              <w:t xml:space="preserve">+1,69</w:t>
            </w:r>
          </w:p>
        </w:tc>
      </w:tr>
    </w:tbl>
    <w:p>
      <w:pPr>
        <w:pStyle w:val="BodyText"/>
      </w:pPr>
      <w:r>
        <w:t xml:space="preserve">Все числа взяты из</w:t>
      </w:r>
      <w:r>
        <w:t xml:space="preserve"> </w:t>
      </w:r>
      <w:r>
        <w:rPr>
          <w:rStyle w:val="VerbatimChar"/>
        </w:rPr>
        <w:t xml:space="preserve">did_reform_cohorts_2026</w:t>
      </w:r>
      <w:r>
        <w:t xml:space="preserve"> </w:t>
      </w:r>
      <w:r>
        <w:t xml:space="preserve">запросом, а не перенесены из</w:t>
      </w:r>
      <w:r>
        <w:t xml:space="preserve"> </w:t>
      </w:r>
      <w:r>
        <w:t xml:space="preserve">промежуточного вывода.</w:t>
      </w:r>
    </w:p>
    <w:p>
      <w:pPr>
        <w:pStyle w:val="BodyText"/>
      </w:pPr>
      <w:r>
        <w:t xml:space="preserve">По 85 субъектам крайние значения: максимальный рост ставки — столичные регионы</w:t>
      </w:r>
      <w:r>
        <w:t xml:space="preserve"> </w:t>
      </w:r>
      <w:r>
        <w:t xml:space="preserve">(Санкт-Петербург +4,77; Ленинградская область +4,71; Москва +4,71; Московская</w:t>
      </w:r>
      <w:r>
        <w:t xml:space="preserve"> </w:t>
      </w:r>
      <w:r>
        <w:t xml:space="preserve">область +4,69 п.п.), минимальный — республики с высокой многодетностью</w:t>
      </w:r>
      <w:r>
        <w:t xml:space="preserve"> </w:t>
      </w:r>
      <w:r>
        <w:t xml:space="preserve">(Чеченская Республика, Республика Ингушетия), где растёт доля семей с 3+ детьми,</w:t>
      </w:r>
      <w:r>
        <w:t xml:space="preserve"> </w:t>
      </w:r>
      <w:r>
        <w:t xml:space="preserve">которые от реформы скорее выигрывают.</w:t>
      </w:r>
    </w:p>
    <w:bookmarkEnd w:id="13"/>
    <w:bookmarkStart w:id="14" w:name="Xf6d85e1095eac0804d50a7355213f06669aeab5"/>
    <w:p>
      <w:pPr>
        <w:pStyle w:val="Heading1"/>
      </w:pPr>
      <w:r>
        <w:t xml:space="preserve">Срок субсидирования 15 лет: второй ценовой канал</w:t>
      </w:r>
    </w:p>
    <w:p>
      <w:pPr>
        <w:pStyle w:val="FirstParagraph"/>
      </w:pPr>
      <w:r>
        <w:t xml:space="preserve">Реформа ограничивает срок субсидирования пятнадцатью годами. Это не косметическая</w:t>
      </w:r>
      <w:r>
        <w:t xml:space="preserve"> </w:t>
      </w:r>
      <w:r>
        <w:t xml:space="preserve">деталь:</w:t>
      </w:r>
      <w:r>
        <w:t xml:space="preserve"> </w:t>
      </w:r>
      <w:r>
        <w:rPr>
          <w:b/>
          <w:bCs/>
        </w:rPr>
        <w:t xml:space="preserve">фактический средний срок ипотечного кредита в России в 2026 году — около</w:t>
      </w:r>
      <w:r>
        <w:rPr>
          <w:b/>
          <w:bCs/>
        </w:rPr>
        <w:t xml:space="preserve"> </w:t>
      </w:r>
      <w:r>
        <w:rPr>
          <w:b/>
          <w:bCs/>
        </w:rPr>
        <w:t xml:space="preserve">286 месяцев, то есть 23,8 года</w:t>
      </w:r>
      <w:r>
        <w:t xml:space="preserve"> </w:t>
      </w:r>
      <w:r>
        <w:t xml:space="preserve">(ЦБ, файл</w:t>
      </w:r>
      <w:r>
        <w:t xml:space="preserve"> </w:t>
      </w:r>
      <w:r>
        <w:rPr>
          <w:rStyle w:val="VerbatimChar"/>
        </w:rPr>
        <w:t xml:space="preserve">02_13</w:t>
      </w:r>
      <w:r>
        <w:t xml:space="preserve">, лист «срок в руб», август 2026:</w:t>
      </w:r>
      <w:r>
        <w:t xml:space="preserve"> </w:t>
      </w:r>
      <w:r>
        <w:t xml:space="preserve">285,7 месяца; в январе 2019 года было 206,9). То есть субсидия покрывает примерно</w:t>
      </w:r>
      <w:r>
        <w:t xml:space="preserve"> </w:t>
      </w:r>
      <w:r>
        <w:t xml:space="preserve">две трети срока типичного кредита, а последнюю треть заёмщик платит по рыночной</w:t>
      </w:r>
      <w:r>
        <w:t xml:space="preserve"> </w:t>
      </w:r>
      <w:r>
        <w:t xml:space="preserve">ставке. Отсюда два разных поведения, и оба ведут к росту платежа — но по-разному.</w:t>
      </w:r>
    </w:p>
    <w:p>
      <w:pPr>
        <w:pStyle w:val="BodyText"/>
      </w:pPr>
      <w:r>
        <w:rPr>
          <w:b/>
          <w:bCs/>
        </w:rPr>
        <w:t xml:space="preserve">Механика сценария A (срок сохраняется).</w:t>
      </w:r>
      <w:r>
        <w:t xml:space="preserve"> </w:t>
      </w:r>
      <w:r>
        <w:t xml:space="preserve">График рассчитан на полный срок, ставка</w:t>
      </w:r>
      <w:r>
        <w:t xml:space="preserve"> </w:t>
      </w:r>
      <w:r>
        <w:t xml:space="preserve">субсидии действует первые 15 лет, затем заменяется рыночной. Платёж на 16-м году</w:t>
      </w:r>
      <w:r>
        <w:t xml:space="preserve"> </w:t>
      </w:r>
      <w:r>
        <w:t xml:space="preserve">пересчитывается на остаток долга и подскакивает: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Субсидируемая ставка</w:t>
            </w:r>
          </w:p>
        </w:tc>
        <w:tc>
          <w:tcPr/>
          <w:p>
            <w:pPr>
              <w:pStyle w:val="Compact"/>
            </w:pPr>
            <w:r>
              <w:t xml:space="preserve">Платёж, годы 1–15</w:t>
            </w:r>
          </w:p>
        </w:tc>
        <w:tc>
          <w:tcPr/>
          <w:p>
            <w:pPr>
              <w:pStyle w:val="Compact"/>
            </w:pPr>
            <w:r>
              <w:t xml:space="preserve">Рыночная 15 %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8 % (2 детей)</w:t>
            </w:r>
          </w:p>
        </w:tc>
        <w:tc>
          <w:tcPr/>
          <w:p>
            <w:pPr>
              <w:pStyle w:val="Compact"/>
            </w:pPr>
            <w:r>
              <w:t xml:space="preserve">7 839</w:t>
            </w:r>
          </w:p>
        </w:tc>
        <w:tc>
          <w:tcPr/>
          <w:p>
            <w:pPr>
              <w:pStyle w:val="Compact"/>
            </w:pPr>
            <w:r>
              <w:t xml:space="preserve">10 151 (+29 %)</w:t>
            </w:r>
          </w:p>
        </w:tc>
        <w:tc>
          <w:tcPr/>
          <w:p>
            <w:pPr>
              <w:pStyle w:val="Compact"/>
            </w:pPr>
            <w:r>
              <w:t xml:space="preserve">11 986 (+53 %)</w:t>
            </w:r>
          </w:p>
        </w:tc>
        <w:tc>
          <w:tcPr/>
          <w:p>
            <w:pPr>
              <w:pStyle w:val="Compact"/>
            </w:pPr>
            <w:r>
              <w:t xml:space="preserve">13 952 (+78 %)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10 % (1 ребёнок)</w:t>
            </w:r>
          </w:p>
        </w:tc>
        <w:tc>
          <w:tcPr/>
          <w:p>
            <w:pPr>
              <w:pStyle w:val="Compact"/>
            </w:pPr>
            <w:r>
              <w:t xml:space="preserve">9 189</w:t>
            </w:r>
          </w:p>
        </w:tc>
        <w:tc>
          <w:tcPr/>
          <w:p>
            <w:pPr>
              <w:pStyle w:val="Compact"/>
            </w:pPr>
            <w:r>
              <w:t xml:space="preserve">11 017 (+20 %)</w:t>
            </w:r>
          </w:p>
        </w:tc>
        <w:tc>
          <w:tcPr/>
          <w:p>
            <w:pPr>
              <w:pStyle w:val="Compact"/>
            </w:pPr>
            <w:r>
              <w:t xml:space="preserve">13 009 (+42 %)</w:t>
            </w:r>
          </w:p>
        </w:tc>
        <w:tc>
          <w:tcPr/>
          <w:p>
            <w:pPr>
              <w:pStyle w:val="Compact"/>
            </w:pPr>
            <w:r>
              <w:t xml:space="preserve">15 144 (+65 %)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12 % (столицы)</w:t>
            </w:r>
          </w:p>
        </w:tc>
        <w:tc>
          <w:tcPr/>
          <w:p>
            <w:pPr>
              <w:pStyle w:val="Compact"/>
            </w:pPr>
            <w:r>
              <w:t xml:space="preserve">10 617</w:t>
            </w:r>
          </w:p>
        </w:tc>
        <w:tc>
          <w:tcPr/>
          <w:p>
            <w:pPr>
              <w:pStyle w:val="Compact"/>
            </w:pPr>
            <w:r>
              <w:t xml:space="preserve">11 815 (+11 %)</w:t>
            </w:r>
          </w:p>
        </w:tc>
        <w:tc>
          <w:tcPr/>
          <w:p>
            <w:pPr>
              <w:pStyle w:val="Compact"/>
            </w:pPr>
            <w:r>
              <w:t xml:space="preserve">13 951 (+31 %)</w:t>
            </w:r>
          </w:p>
        </w:tc>
        <w:tc>
          <w:tcPr/>
          <w:p>
            <w:pPr>
              <w:pStyle w:val="Compact"/>
            </w:pPr>
            <w:r>
              <w:t xml:space="preserve">16 240 (+53 %)</w:t>
            </w:r>
          </w:p>
        </w:tc>
      </w:tr>
    </w:tbl>
    <w:p>
      <w:pPr>
        <w:pStyle w:val="BodyText"/>
      </w:pPr>
      <w:r>
        <w:t xml:space="preserve">На один миллион рублей кредита; база сравнения — прежние 6 % на 286 месяцев</w:t>
      </w:r>
      <w:r>
        <w:t xml:space="preserve"> </w:t>
      </w:r>
      <w:r>
        <w:t xml:space="preserve">(6 580 руб/мес). Будущая рыночная ставка неизвестна, поэтому она задана</w:t>
      </w:r>
      <w:r>
        <w:t xml:space="preserve"> </w:t>
      </w:r>
      <w:r>
        <w:t xml:space="preserve">сценариями, а не точкой.</w:t>
      </w:r>
    </w:p>
    <w:p>
      <w:pPr>
        <w:pStyle w:val="BodyText"/>
      </w:pPr>
      <w:r>
        <w:rPr>
          <w:b/>
          <w:bCs/>
        </w:rPr>
        <w:t xml:space="preserve">Механика сценария B (банк сокращает срок).</w:t>
      </w:r>
      <w:r>
        <w:t xml:space="preserve"> </w:t>
      </w:r>
      <w:r>
        <w:t xml:space="preserve">Если кредит выдать сразу на 15 лет,</w:t>
      </w:r>
      <w:r>
        <w:t xml:space="preserve"> </w:t>
      </w:r>
      <w:r>
        <w:t xml:space="preserve">вся субсидия сохраняется, но платёж растёт из-за сжатия амортизации: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</w:pPr>
            <w:r>
              <w:t xml:space="preserve">Платёж на 1 млн</w:t>
            </w:r>
          </w:p>
        </w:tc>
        <w:tc>
          <w:tcPr/>
          <w:p>
            <w:pPr>
              <w:pStyle w:val="Compact"/>
            </w:pPr>
            <w:r>
              <w:t xml:space="preserve">К прежней базе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ИЖС, 6 %, 15 лет</w:t>
            </w:r>
          </w:p>
        </w:tc>
        <w:tc>
          <w:tcPr/>
          <w:p>
            <w:pPr>
              <w:pStyle w:val="Compact"/>
            </w:pPr>
            <w:r>
              <w:t xml:space="preserve">8 439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детей, 8 %, 15 лет</w:t>
            </w:r>
          </w:p>
        </w:tc>
        <w:tc>
          <w:tcPr/>
          <w:p>
            <w:pPr>
              <w:pStyle w:val="Compact"/>
            </w:pPr>
            <w:r>
              <w:t xml:space="preserve">9 557</w:t>
            </w:r>
          </w:p>
        </w:tc>
        <w:tc>
          <w:tcPr/>
          <w:p>
            <w:pPr>
              <w:pStyle w:val="Compact"/>
            </w:pPr>
            <w:r>
              <w:t xml:space="preserve">+45 %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ребёнок, 10 %, 15 лет</w:t>
            </w:r>
          </w:p>
        </w:tc>
        <w:tc>
          <w:tcPr/>
          <w:p>
            <w:pPr>
              <w:pStyle w:val="Compact"/>
            </w:pPr>
            <w:r>
              <w:t xml:space="preserve">10 746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столицы, 12 %, 15 лет</w:t>
            </w:r>
          </w:p>
        </w:tc>
        <w:tc>
          <w:tcPr/>
          <w:p>
            <w:pPr>
              <w:pStyle w:val="Compact"/>
            </w:pPr>
            <w:r>
              <w:t xml:space="preserve">12 002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Сценарий C — оба эффекта вместе</w:t>
      </w:r>
      <w:r>
        <w:t xml:space="preserve"> </w:t>
      </w:r>
      <w:r>
        <w:t xml:space="preserve">(ставка 10 % и срок 15 лет) даёт тот же</w:t>
      </w:r>
      <w:r>
        <w:t xml:space="preserve"> </w:t>
      </w:r>
      <w:r>
        <w:t xml:space="preserve">+63 % к платежу: рост ставки и сжатие срока действуют в одну сторону и не</w:t>
      </w:r>
      <w:r>
        <w:t xml:space="preserve"> </w:t>
      </w:r>
      <w:r>
        <w:t xml:space="preserve">дублируют друг друга, а складываются.</w:t>
      </w:r>
    </w:p>
    <w:p>
      <w:pPr>
        <w:pStyle w:val="BodyText"/>
      </w:pPr>
      <w:r>
        <w:rPr>
          <w:b/>
          <w:bCs/>
        </w:rPr>
        <w:t xml:space="preserve">Ёмкость: сколько кредита доступно при том же платеже.</w:t>
      </w:r>
      <w:r>
        <w:t xml:space="preserve"> </w:t>
      </w:r>
      <w:r>
        <w:t xml:space="preserve">Это ключевая величина</w:t>
      </w:r>
      <w:r>
        <w:t xml:space="preserve"> </w:t>
      </w:r>
      <w:r>
        <w:t xml:space="preserve">для спроса, потому что она прямо переводится в размер приобретаемого жилья: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</w:pPr>
            <w:r>
              <w:t xml:space="preserve">Доступный кредит при платеже 6 580 руб/мес на 1 млн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было: 6 % / 286 мес</w:t>
            </w:r>
          </w:p>
        </w:tc>
        <w:tc>
          <w:tcPr/>
          <w:p>
            <w:pPr>
              <w:pStyle w:val="Compact"/>
            </w:pPr>
            <w:r>
              <w:t xml:space="preserve">1,000 млн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10 % / 286 мес (только ставка)</w:t>
            </w:r>
          </w:p>
        </w:tc>
        <w:tc>
          <w:tcPr/>
          <w:p>
            <w:pPr>
              <w:pStyle w:val="Compact"/>
            </w:pPr>
            <w:r>
              <w:t xml:space="preserve">0,716 млн</w:t>
            </w:r>
          </w:p>
        </w:tc>
        <w:tc>
          <w:tcPr/>
          <w:p>
            <w:pPr>
              <w:pStyle w:val="Compact"/>
            </w:pPr>
            <w:r>
              <w:t xml:space="preserve">−28,4 %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 / 180 мес (ставка и срок)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0,612 млн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−38,8 %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6 % / 180 мес (ИЖС: ставка та же, срок короче)</w:t>
            </w:r>
          </w:p>
        </w:tc>
        <w:tc>
          <w:tcPr/>
          <w:p>
            <w:pPr>
              <w:pStyle w:val="Compact"/>
            </w:pPr>
            <w:r>
              <w:t xml:space="preserve">0,780 млн</w:t>
            </w:r>
          </w:p>
        </w:tc>
        <w:tc>
          <w:tcPr/>
          <w:p>
            <w:pPr>
              <w:pStyle w:val="Compact"/>
            </w:pPr>
            <w:r>
              <w:t xml:space="preserve">−22,0 %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12 % / 180 мес (столицы)</w:t>
            </w:r>
          </w:p>
        </w:tc>
        <w:tc>
          <w:tcPr/>
          <w:p>
            <w:pPr>
              <w:pStyle w:val="Compact"/>
            </w:pPr>
            <w:r>
              <w:t xml:space="preserve">0,548 млн</w:t>
            </w:r>
          </w:p>
        </w:tc>
        <w:tc>
          <w:tcPr/>
          <w:p>
            <w:pPr>
              <w:pStyle w:val="Compact"/>
            </w:pPr>
            <w:r>
              <w:t xml:space="preserve">−45,2 %</w:t>
            </w:r>
          </w:p>
        </w:tc>
      </w:tr>
    </w:tbl>
    <w:p>
      <w:pPr>
        <w:pStyle w:val="BodyText"/>
      </w:pPr>
      <w:r>
        <w:t xml:space="preserve">Отсюда главный вывод раздела:</w:t>
      </w:r>
      <w:r>
        <w:t xml:space="preserve"> </w:t>
      </w:r>
      <w:r>
        <w:rPr>
          <w:b/>
          <w:bCs/>
        </w:rPr>
        <w:t xml:space="preserve">канал срока добавляет около 10 процентных пунктов</w:t>
      </w:r>
      <w:r>
        <w:rPr>
          <w:b/>
          <w:bCs/>
        </w:rPr>
        <w:t xml:space="preserve"> </w:t>
      </w:r>
      <w:r>
        <w:rPr>
          <w:b/>
          <w:bCs/>
        </w:rPr>
        <w:t xml:space="preserve">к сжатию ёмкости</w:t>
      </w:r>
      <w:r>
        <w:t xml:space="preserve"> </w:t>
      </w:r>
      <w:r>
        <w:t xml:space="preserve">(с −28,4 % до −38,8 % для семьи с одним ребёнком). И даже</w:t>
      </w:r>
      <w:r>
        <w:t xml:space="preserve"> </w:t>
      </w:r>
      <w:r>
        <w:t xml:space="preserve">сегмент ИЖС, который реформа не тронула по ставке, теряет 22 % ёмкости из-за</w:t>
      </w:r>
      <w:r>
        <w:t xml:space="preserve"> </w:t>
      </w:r>
      <w:r>
        <w:t xml:space="preserve">срока — то есть «защищённость» ИЖС неполная: ставка 6 % сохраняется, но</w:t>
      </w:r>
      <w:r>
        <w:t xml:space="preserve"> </w:t>
      </w:r>
      <w:r>
        <w:t xml:space="preserve">субсидируется она только 15 лет. Если кредит на ИЖС всё же выдать на длинный срок,</w:t>
      </w:r>
      <w:r>
        <w:t xml:space="preserve"> </w:t>
      </w:r>
      <w:r>
        <w:t xml:space="preserve">«обрыв» на 16-м году составит +40 % к платежу при рыночной ставке 15 % и +66 %</w:t>
      </w:r>
      <w:r>
        <w:t xml:space="preserve"> </w:t>
      </w:r>
      <w:r>
        <w:t xml:space="preserve">при 20 % — тот же механизм, что и в многоквартирном сегменте.</w:t>
      </w:r>
    </w:p>
    <w:p>
      <w:pPr>
        <w:pStyle w:val="BodyText"/>
      </w:pPr>
      <w:r>
        <w:t xml:space="preserve">Все числа этого раздела воспроизводятся скриптом</w:t>
      </w:r>
      <w:r>
        <w:t xml:space="preserve"> </w:t>
      </w:r>
      <w:r>
        <w:rPr>
          <w:rStyle w:val="VerbatimChar"/>
        </w:rPr>
        <w:t xml:space="preserve">reform2026_term_effect.py</w:t>
      </w:r>
      <w:r>
        <w:t xml:space="preserve"> </w:t>
      </w:r>
      <w:r>
        <w:t xml:space="preserve">(выгрузка —</w:t>
      </w:r>
      <w:r>
        <w:t xml:space="preserve"> </w:t>
      </w:r>
      <w:r>
        <w:rPr>
          <w:rStyle w:val="VerbatimChar"/>
        </w:rPr>
        <w:t xml:space="preserve">data/reform2026_term_effect.json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Дополнительный механизм, который не измерен.</w:t>
      </w:r>
      <w:r>
        <w:t xml:space="preserve"> </w:t>
      </w:r>
      <w:r>
        <w:t xml:space="preserve">Рост платежа при сжатии срока</w:t>
      </w:r>
      <w:r>
        <w:t xml:space="preserve"> </w:t>
      </w:r>
      <w:r>
        <w:t xml:space="preserve">повышает показатель долговой нагрузки заёмщика, а по нему действуют</w:t>
      </w:r>
      <w:r>
        <w:t xml:space="preserve"> </w:t>
      </w:r>
      <w:r>
        <w:t xml:space="preserve">макропруденциальные ограничения (пороговые значения 50 % и 80 %). Значит,</w:t>
      </w:r>
      <w:r>
        <w:t xml:space="preserve"> </w:t>
      </w:r>
      <w:r>
        <w:t xml:space="preserve">сокращение срока не только уменьшает доступную сумму, но и повышает вероятность</w:t>
      </w:r>
      <w:r>
        <w:t xml:space="preserve"> </w:t>
      </w:r>
      <w:r>
        <w:t xml:space="preserve">отказа по заявке. Микроданных по заявкам у нас нет, поэтому это фиксируется как</w:t>
      </w:r>
      <w:r>
        <w:t xml:space="preserve"> </w:t>
      </w:r>
      <w:r>
        <w:t xml:space="preserve">механизм, а не как оценка; в прогнозе он учитывается через воротниковый</w:t>
      </w:r>
      <w:r>
        <w:t xml:space="preserve"> </w:t>
      </w:r>
      <w:r>
        <w:t xml:space="preserve">коэффициент одобрения, который предстоит калибровать по воронке ДОМ.РФ.</w:t>
      </w:r>
    </w:p>
    <w:p>
      <w:pPr>
        <w:pStyle w:val="BodyText"/>
      </w:pPr>
      <w:r>
        <w:rPr>
          <w:b/>
          <w:bCs/>
        </w:rPr>
        <w:t xml:space="preserve">Что здесь факт, а что допущение.</w:t>
      </w:r>
      <w:r>
        <w:t xml:space="preserve"> </w:t>
      </w:r>
      <w:r>
        <w:t xml:space="preserve">Факт — фактический средний срок 286 месяцев</w:t>
      </w:r>
      <w:r>
        <w:t xml:space="preserve"> </w:t>
      </w:r>
      <w:r>
        <w:t xml:space="preserve">(ЦБ) и арифметика платежей. Допущение —</w:t>
      </w:r>
      <w:r>
        <w:t xml:space="preserve"> </w:t>
      </w:r>
      <w:r>
        <w:rPr>
          <w:b/>
          <w:bCs/>
        </w:rPr>
        <w:t xml:space="preserve">поведение банков</w:t>
      </w:r>
      <w:r>
        <w:t xml:space="preserve">: сократят они срок до</w:t>
      </w:r>
      <w:r>
        <w:t xml:space="preserve"> </w:t>
      </w:r>
      <w:r>
        <w:t xml:space="preserve">15 лет или оставят длинным с рыночной ставкой после 15-го года. Минимум по</w:t>
      </w:r>
      <w:r>
        <w:t xml:space="preserve"> </w:t>
      </w:r>
      <w:r>
        <w:t xml:space="preserve">платежу даёт сценарий A, максимум — сценарий B; оба хуже прежней конструкции, и</w:t>
      </w:r>
      <w:r>
        <w:t xml:space="preserve"> </w:t>
      </w:r>
      <w:r>
        <w:t xml:space="preserve">это единственный вывод, не зависящий от выбора сценария.</w:t>
      </w:r>
    </w:p>
    <w:bookmarkEnd w:id="14"/>
    <w:bookmarkStart w:id="15" w:name="как-это-входит-в-прогноз"/>
    <w:p>
      <w:pPr>
        <w:pStyle w:val="Heading1"/>
      </w:pPr>
      <w:r>
        <w:t xml:space="preserve">Как это входит в прогноз</w:t>
      </w:r>
    </w:p>
    <w:p>
      <w:pPr>
        <w:pStyle w:val="FirstParagraph"/>
      </w:pPr>
      <w:r>
        <w:t xml:space="preserve">Полученные величины — вход для переноса эластичностей (Блок 2 дизайна) и для</w:t>
      </w:r>
      <w:r>
        <w:t xml:space="preserve"> </w:t>
      </w:r>
      <w:r>
        <w:t xml:space="preserve">панельной модели (Блок 3). Схема: изменение доступной ставки и лимита по когортам</w:t>
      </w:r>
      <w:r>
        <w:t xml:space="preserve"> </w:t>
      </w:r>
      <w:r>
        <w:t xml:space="preserve">→ изменение субсидируемой ёмкости региона → изменение спроса через эластичность.</w:t>
      </w:r>
      <w:r>
        <w:t xml:space="preserve"> </w:t>
      </w:r>
      <w:r>
        <w:t xml:space="preserve">Отдельно учитывается третья компонента — доля семей, потерявших право целиком:</w:t>
      </w:r>
      <w:r>
        <w:t xml:space="preserve"> </w:t>
      </w:r>
      <w:r>
        <w:t xml:space="preserve">для них эффект не пропорционален ставке, а дискретен.</w:t>
      </w:r>
    </w:p>
    <w:bookmarkEnd w:id="15"/>
    <w:bookmarkStart w:id="16" w:name="приёмочные-проверки"/>
    <w:p>
      <w:pPr>
        <w:pStyle w:val="Heading1"/>
      </w:pPr>
      <w:r>
        <w:t xml:space="preserve">Приёмочные проверки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Охват разбиения.</w:t>
      </w:r>
      <w:r>
        <w:t xml:space="preserve"> </w:t>
      </w:r>
      <w:r>
        <w:rPr>
          <w:rStyle w:val="VerbatimChar"/>
        </w:rPr>
        <w:t xml:space="preserve">s1 + s2 + s3 + s4 = 0,659</w:t>
      </w:r>
      <w:r>
        <w:t xml:space="preserve">; остаток 0,341 — семьи с одним</w:t>
      </w:r>
      <w:r>
        <w:t xml:space="preserve"> </w:t>
      </w:r>
      <w:r>
        <w:t xml:space="preserve">ребёнком старше 6 лет, у которых доступа не было и нет. Это не потеря данных, а</w:t>
      </w:r>
      <w:r>
        <w:t xml:space="preserve"> </w:t>
      </w:r>
      <w:r>
        <w:t xml:space="preserve">корректная граница применимости программы.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Тождество.</w:t>
      </w:r>
      <w:r>
        <w:t xml:space="preserve"> </w:t>
      </w:r>
      <w:r>
        <w:rPr>
          <w:rStyle w:val="VerbatimChar"/>
        </w:rPr>
        <w:t xml:space="preserve">had_access = h2 + h3 + h1·p = 0,656</w:t>
      </w:r>
      <w:r>
        <w:t xml:space="preserve"> </w:t>
      </w:r>
      <w:r>
        <w:t xml:space="preserve">— сходится аналитически и</w:t>
      </w:r>
      <w:r>
        <w:t xml:space="preserve"> </w:t>
      </w:r>
      <w:r>
        <w:t xml:space="preserve">численно.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Источник.</w:t>
      </w:r>
      <w:r>
        <w:t xml:space="preserve"> </w:t>
      </w:r>
      <w:r>
        <w:t xml:space="preserve">Когортная база взята из витрины</w:t>
      </w:r>
      <w:r>
        <w:t xml:space="preserve"> </w:t>
      </w:r>
      <w:r>
        <w:rPr>
          <w:rStyle w:val="VerbatimChar"/>
        </w:rPr>
        <w:t xml:space="preserve">did_exposure_reform2026</w:t>
      </w:r>
      <w:r>
        <w:t xml:space="preserve">, где</w:t>
      </w:r>
      <w:r>
        <w:t xml:space="preserve"> </w:t>
      </w:r>
      <w:r>
        <w:t xml:space="preserve">сумма 85 субъектов воспроизводит итог РФ по детям 0–6, 0–17 и населению с</w:t>
      </w:r>
      <w:r>
        <w:t xml:space="preserve"> </w:t>
      </w:r>
      <w:r>
        <w:t xml:space="preserve">нулевым расхождением.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Устойчивость к допущению о «3+».</w:t>
      </w:r>
      <w:r>
        <w:t xml:space="preserve"> </w:t>
      </w:r>
      <w:r>
        <w:t xml:space="preserve">Когорта 3+ считается как трёхдетные семьи;</w:t>
      </w:r>
      <w:r>
        <w:t xml:space="preserve"> </w:t>
      </w:r>
      <w:r>
        <w:t xml:space="preserve">если часть семей имеет 4–5 детей, их ставка ниже (4 % и 2 %), то есть оценка</w:t>
      </w:r>
      <w:r>
        <w:t xml:space="preserve"> </w:t>
      </w:r>
      <w:r>
        <w:rPr>
          <w:b/>
          <w:bCs/>
        </w:rPr>
        <w:t xml:space="preserve">консервативна</w:t>
      </w:r>
      <w:r>
        <w:t xml:space="preserve"> </w:t>
      </w:r>
      <w:r>
        <w:t xml:space="preserve">в части выгод многодетных — знак выводов не меняется.</w:t>
      </w:r>
    </w:p>
    <w:bookmarkEnd w:id="16"/>
    <w:bookmarkStart w:id="17" w:name="что-не-сделано-на-этом-этапе"/>
    <w:p>
      <w:pPr>
        <w:pStyle w:val="Heading1"/>
      </w:pPr>
      <w:r>
        <w:t xml:space="preserve">Что не сделано на этом этапе</w:t>
      </w:r>
    </w:p>
    <w:p>
      <w:pPr>
        <w:pStyle w:val="Compact"/>
        <w:numPr>
          <w:ilvl w:val="0"/>
          <w:numId w:val="1004"/>
        </w:numPr>
      </w:pPr>
      <w:r>
        <w:t xml:space="preserve">Не разделены когорты 3, 4 и 5+ детей (источник не даёт разреза); при появлении</w:t>
      </w:r>
      <w:r>
        <w:t xml:space="preserve"> </w:t>
      </w:r>
      <w:r>
        <w:t xml:space="preserve">данных (например, из административных источников ДОМ.РФ) оценка уточняется.</w:t>
      </w:r>
    </w:p>
    <w:p>
      <w:pPr>
        <w:pStyle w:val="Compact"/>
        <w:numPr>
          <w:ilvl w:val="0"/>
          <w:numId w:val="1004"/>
        </w:numPr>
      </w:pPr>
      <w:r>
        <w:t xml:space="preserve">Не учтена доля семей с ребёнком-инвалидом, имевших право и до, и после реформы.</w:t>
      </w:r>
    </w:p>
    <w:p>
      <w:pPr>
        <w:pStyle w:val="Compact"/>
        <w:numPr>
          <w:ilvl w:val="0"/>
          <w:numId w:val="1004"/>
        </w:numPr>
      </w:pPr>
      <w:r>
        <w:t xml:space="preserve">Не смоделированы поведенческие реакции: переключение на ИЖС, продажа жилья,</w:t>
      </w:r>
      <w:r>
        <w:t xml:space="preserve"> </w:t>
      </w:r>
      <w:r>
        <w:t xml:space="preserve">изменение суммы кредита; это предмет отдельного этапа.</w:t>
      </w:r>
    </w:p>
    <w:p>
      <w:pPr>
        <w:pStyle w:val="Compact"/>
        <w:numPr>
          <w:ilvl w:val="0"/>
          <w:numId w:val="1004"/>
        </w:numPr>
      </w:pPr>
      <w:r>
        <w:t xml:space="preserve">Стоимость и доступность жилья не входят: речь только об условиях кредита.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Микросимуляция когорт реформы «Семейной ипотеки» 01.10.2026 (этап 2 дизайна)</dc:title>
  <dc:creator/>
  <cp:keywords/>
  <dcterms:created xsi:type="dcterms:W3CDTF">2026-10-02T05:44:38Z</dcterms:created>
  <dcterms:modified xsi:type="dcterms:W3CDTF">2026-10-02T05:44:38Z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2026-10-01</vt:lpwstr>
  </property>
  <property fmtid="{D5CDD505-2E9C-101B-9397-08002B2CF9AE}" pid="3" name="sources">
    <vt:lpwstr/>
  </property>
  <property fmtid="{D5CDD505-2E9C-101B-9397-08002B2CF9AE}" pid="4" name="status">
    <vt:lpwstr>done</vt:lpwstr>
  </property>
  <property fmtid="{D5CDD505-2E9C-101B-9397-08002B2CF9AE}" pid="5" name="tags">
    <vt:lpwstr/>
  </property>
  <property fmtid="{D5CDD505-2E9C-101B-9397-08002B2CF9AE}" pid="6" name="task">
    <vt:lpwstr>stage-2 дизайна (queries/dizayn-prognoz-spros-pervichka-reforma-2026.md)</vt:lpwstr>
  </property>
  <property fmtid="{D5CDD505-2E9C-101B-9397-08002B2CF9AE}" pid="7" name="type">
    <vt:lpwstr>note</vt:lpwstr>
  </property>
</Properties>
</file>