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Прогноз спроса на первичное жильё при реформе «Семейной ипотеки» 01.10.2026: сценарии и траектория</w:t>
      </w:r>
    </w:p>
    <w:bookmarkStart w:id="9" w:name="X564cd3fe509b03e3f9708c8836b3bb67d9e48a6"/>
    <w:p>
      <w:pPr>
        <w:pStyle w:val="Heading1"/>
      </w:pPr>
      <w:r>
        <w:t xml:space="preserve">Статус: прогноз зафиксирован до появления данных</w:t>
      </w:r>
    </w:p>
    <w:p>
      <w:pPr>
        <w:pStyle w:val="FirstParagraph"/>
      </w:pPr>
      <w:r>
        <w:t xml:space="preserve">Замер сделан</w:t>
      </w:r>
      <w:r>
        <w:t xml:space="preserve"> </w:t>
      </w:r>
      <w:r>
        <w:rPr>
          <w:b/>
          <w:bCs/>
        </w:rPr>
        <w:t xml:space="preserve">до публикации данных за октябрь 2026 года</w:t>
      </w:r>
      <w:r>
        <w:t xml:space="preserve"> </w:t>
      </w:r>
      <w:r>
        <w:t xml:space="preserve">— это обязательное</w:t>
      </w:r>
      <w:r>
        <w:t xml:space="preserve"> </w:t>
      </w:r>
      <w:r>
        <w:t xml:space="preserve">условие дизайна: прогноз, сделанный после появления факта, превращается в подгонку.</w:t>
      </w:r>
      <w:r>
        <w:t xml:space="preserve"> </w:t>
      </w:r>
      <w:r>
        <w:t xml:space="preserve">Ниже — числа, допущения и способ проверки.</w:t>
      </w:r>
    </w:p>
    <w:bookmarkEnd w:id="9"/>
    <w:bookmarkStart w:id="10" w:name="схема-переноса"/>
    <w:p>
      <w:pPr>
        <w:pStyle w:val="Heading1"/>
      </w:pPr>
      <w:r>
        <w:t xml:space="preserve">Схема переноса</w:t>
      </w:r>
    </w:p>
    <w:p>
      <w:pPr>
        <w:pStyle w:val="FirstParagraph"/>
      </w:pPr>
      <w:r>
        <w:t xml:space="preserve">Панельная модель с долей программы как регрессором отбракована (эндогенность,</w:t>
      </w:r>
      <w:r>
        <w:t xml:space="preserve"> </w:t>
      </w:r>
      <w:r>
        <w:t xml:space="preserve">см.</w:t>
      </w:r>
      <w:r>
        <w:t xml:space="preserve"> </w:t>
      </w:r>
      <w:r>
        <w:rPr>
          <w:rStyle w:val="VerbatimChar"/>
        </w:rPr>
        <w:t xml:space="preserve">bektest-dizayna-2024-i-elastichnost-pervichki.md</w:t>
      </w:r>
      <w:r>
        <w:t xml:space="preserve">). Прогноз строится на</w:t>
      </w:r>
      <w:r>
        <w:t xml:space="preserve"> </w:t>
      </w:r>
      <w:r>
        <w:t xml:space="preserve">конструкции с предопределённой экспозицией:</w:t>
      </w:r>
    </w:p>
    <w:p>
      <w:pPr>
        <w:pStyle w:val="SourceCode"/>
      </w:pPr>
      <w:r>
        <w:rPr>
          <w:rStyle w:val="VerbatimChar"/>
        </w:rPr>
        <w:t xml:space="preserve">Δ ln Q_r = β · A_r,</w:t>
      </w:r>
    </w:p>
    <w:p>
      <w:pPr>
        <w:pStyle w:val="FirstParagraph"/>
      </w:pPr>
      <w:r>
        <w:t xml:space="preserve">где</w:t>
      </w:r>
      <w:r>
        <w:t xml:space="preserve"> </w:t>
      </w:r>
      <w:r>
        <w:rPr>
          <w:b/>
          <w:bCs/>
        </w:rPr>
        <w:t xml:space="preserve">β = −1,045</w:t>
      </w:r>
      <w:r>
        <w:t xml:space="preserve"> </w:t>
      </w:r>
      <w:r>
        <w:t xml:space="preserve">— эластичность первичного рынка по числу ИЖК под залог прав</w:t>
      </w:r>
      <w:r>
        <w:t xml:space="preserve"> </w:t>
      </w:r>
      <w:r>
        <w:t xml:space="preserve">требования по ДДУ на единицу экспозиции (событие 01.07.2024, 78 регионов,</w:t>
      </w:r>
      <w:r>
        <w:t xml:space="preserve"> </w:t>
      </w:r>
      <w:r>
        <w:t xml:space="preserve">рандомизационный тест p = 0,002), а</w:t>
      </w:r>
      <w:r>
        <w:t xml:space="preserve"> </w:t>
      </w:r>
      <w:r>
        <w:rPr>
          <w:b/>
          <w:bCs/>
        </w:rPr>
        <w:t xml:space="preserve">A_r</w:t>
      </w:r>
      <w:r>
        <w:t xml:space="preserve"> </w:t>
      </w:r>
      <w:r>
        <w:t xml:space="preserve">— доля выдач региона, затронутая</w:t>
      </w:r>
      <w:r>
        <w:t xml:space="preserve"> </w:t>
      </w:r>
      <w:r>
        <w:t xml:space="preserve">реформой: доля семейной программы в общих выдачах региона (S_r) × доля программы,</w:t>
      </w:r>
      <w:r>
        <w:t xml:space="preserve"> </w:t>
      </w:r>
      <w:r>
        <w:t xml:space="preserve">которую реформа затрагивает.</w:t>
      </w:r>
    </w:p>
    <w:p>
      <w:pPr>
        <w:pStyle w:val="BodyText"/>
      </w:pPr>
      <w:r>
        <w:t xml:space="preserve">Каналы, формирующие долю затронутого: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Канал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Потеря доступа целиком</w:t>
            </w:r>
          </w:p>
        </w:tc>
        <w:tc>
          <w:tcPr/>
          <w:p>
            <w:pPr>
              <w:pStyle w:val="Compact"/>
            </w:pPr>
            <w:r>
              <w:t xml:space="preserve">25,1 % заёмщиков программы</w:t>
            </w:r>
          </w:p>
        </w:tc>
        <w:tc>
          <w:tcPr/>
          <w:p>
            <w:pPr>
              <w:pStyle w:val="Compact"/>
            </w:pPr>
            <w:r>
              <w:t xml:space="preserve">микросимуляция:</w:t>
            </w:r>
            <w:r>
              <w:t xml:space="preserve"> </w:t>
            </w:r>
            <w:r>
              <w:rPr>
                <w:rStyle w:val="VerbatimChar"/>
              </w:rPr>
              <w:t xml:space="preserve">lost_access / had_access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Рост ставки для сохранивших право</w:t>
            </w:r>
          </w:p>
        </w:tc>
        <w:tc>
          <w:tcPr/>
          <w:p>
            <w:pPr>
              <w:pStyle w:val="Compact"/>
            </w:pPr>
            <w:r>
              <w:t xml:space="preserve">+2,50 п.п. при прежней субсидии 6 п.п. → обесценение 41,6 %, применяется к 74,9 %</w:t>
            </w:r>
          </w:p>
        </w:tc>
        <w:tc>
          <w:tcPr/>
          <w:p>
            <w:pPr>
              <w:pStyle w:val="Compact"/>
            </w:pPr>
            <w:r>
              <w:t xml:space="preserve">микросимуляция:</w:t>
            </w:r>
            <w:r>
              <w:t xml:space="preserve"> </w:t>
            </w:r>
            <w:r>
              <w:rPr>
                <w:rStyle w:val="VerbatimChar"/>
              </w:rPr>
              <w:t xml:space="preserve">d_rate_cond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Итого затронуто (S1-high)</w:t>
            </w:r>
          </w:p>
        </w:tc>
        <w:tc>
          <w:tcPr/>
          <w:p>
            <w:pPr>
              <w:pStyle w:val="Compact"/>
            </w:pPr>
            <w:r>
              <w:t xml:space="preserve">56,3 % программы</w:t>
            </w:r>
          </w:p>
        </w:tc>
        <w:tc>
          <w:tcPr/>
          <w:p>
            <w:pPr>
              <w:pStyle w:val="Compact"/>
            </w:pPr>
            <w:r>
              <w:t xml:space="preserve">25,1 % + 74,9 % × 41,6 %</w:t>
            </w:r>
          </w:p>
        </w:tc>
      </w:tr>
    </w:tbl>
    <w:p>
      <w:pPr>
        <w:pStyle w:val="BodyText"/>
      </w:pPr>
      <w:r>
        <w:t xml:space="preserve">Доля семейной программы в общих выдачах региона: медиана 0,381, размах 0,005…1,000</w:t>
      </w:r>
      <w:r>
        <w:t xml:space="preserve"> </w:t>
      </w:r>
      <w:r>
        <w:t xml:space="preserve">(значения выше единицы отсечены: ДОМ.РФ считает по месту нахождения жилья, ЦБ — по</w:t>
      </w:r>
      <w:r>
        <w:t xml:space="preserve"> </w:t>
      </w:r>
      <w:r>
        <w:t xml:space="preserve">месту регистрации заёмщика, расхождение источников).</w:t>
      </w:r>
    </w:p>
    <w:p>
      <w:pPr>
        <w:pStyle w:val="BodyText"/>
      </w:pPr>
      <w:r>
        <w:rPr>
          <w:b/>
          <w:bCs/>
        </w:rPr>
        <w:t xml:space="preserve">Допущение о составе заёмщиков:</w:t>
      </w:r>
      <w:r>
        <w:t xml:space="preserve"> </w:t>
      </w:r>
      <w:r>
        <w:t xml:space="preserve">структура заёмщиков программы повторяет</w:t>
      </w:r>
      <w:r>
        <w:t xml:space="preserve"> </w:t>
      </w:r>
      <w:r>
        <w:t xml:space="preserve">структуру семей в регионе. Это допущение не проверяемо на открытых данных; при его</w:t>
      </w:r>
      <w:r>
        <w:t xml:space="preserve"> </w:t>
      </w:r>
      <w:r>
        <w:t xml:space="preserve">нарушении меняется величина A_r, но не знак результата.</w:t>
      </w:r>
    </w:p>
    <w:bookmarkEnd w:id="10"/>
    <w:bookmarkStart w:id="11" w:name="сценарии"/>
    <w:p>
      <w:pPr>
        <w:pStyle w:val="Heading1"/>
      </w:pPr>
      <w:r>
        <w:t xml:space="preserve">Сценарии</w:t>
      </w:r>
    </w:p>
    <w:p>
      <w:pPr>
        <w:pStyle w:val="FirstParagraph"/>
      </w:pPr>
      <w:r>
        <w:t xml:space="preserve">Эффект на число ипотечных кредитов на первичном рынке, национальный уровень</w:t>
      </w:r>
      <w:r>
        <w:t xml:space="preserve"> </w:t>
      </w:r>
      <w:r>
        <w:t xml:space="preserve">(взвешено по объёму кредитования регионов):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  <w:tc>
          <w:tcPr/>
          <w:p>
            <w:pPr>
              <w:pStyle w:val="Compact"/>
            </w:pPr>
            <w:r>
              <w:t xml:space="preserve">Затронуто</w:t>
            </w:r>
          </w:p>
        </w:tc>
        <w:tc>
          <w:tcPr/>
          <w:p>
            <w:pPr>
              <w:pStyle w:val="Compact"/>
            </w:pPr>
            <w:r>
              <w:t xml:space="preserve">Национальный эффект</w:t>
            </w:r>
          </w:p>
        </w:tc>
        <w:tc>
          <w:tcPr/>
          <w:p>
            <w:pPr>
              <w:pStyle w:val="Compact"/>
            </w:pPr>
            <w:r>
              <w:t xml:space="preserve">Разброс по регионам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S1-low</w:t>
            </w:r>
          </w:p>
        </w:tc>
        <w:tc>
          <w:tcPr/>
          <w:p>
            <w:pPr>
              <w:pStyle w:val="Compact"/>
            </w:pPr>
            <w:r>
              <w:t xml:space="preserve">только потеря доступа</w:t>
            </w:r>
          </w:p>
        </w:tc>
        <w:tc>
          <w:tcPr/>
          <w:p>
            <w:pPr>
              <w:pStyle w:val="Compact"/>
            </w:pPr>
            <w:r>
              <w:t xml:space="preserve">25,1 %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−12,1 %</w:t>
            </w:r>
          </w:p>
        </w:tc>
        <w:tc>
          <w:tcPr/>
          <w:p>
            <w:pPr>
              <w:pStyle w:val="Compact"/>
            </w:pPr>
            <w:r>
              <w:t xml:space="preserve">−23,0 % … −0,1 %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S1-high</w:t>
            </w:r>
          </w:p>
        </w:tc>
        <w:tc>
          <w:tcPr/>
          <w:p>
            <w:pPr>
              <w:pStyle w:val="Compact"/>
            </w:pPr>
            <w:r>
              <w:t xml:space="preserve">потеря доступа + рост ставки</w:t>
            </w:r>
          </w:p>
        </w:tc>
        <w:tc>
          <w:tcPr/>
          <w:p>
            <w:pPr>
              <w:pStyle w:val="Compact"/>
            </w:pPr>
            <w:r>
              <w:t xml:space="preserve">56,3 %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−25,2 %</w:t>
            </w:r>
          </w:p>
        </w:tc>
        <w:tc>
          <w:tcPr/>
          <w:p>
            <w:pPr>
              <w:pStyle w:val="Compact"/>
            </w:pPr>
            <w:r>
              <w:t xml:space="preserve">−44,5 % … −0,3 %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S1-high с перетоком в ИЖС (20 % затронутого объёма уходит в индивидуальное строительство)</w:t>
            </w:r>
          </w:p>
        </w:tc>
        <w:tc>
          <w:tcPr/>
          <w:p>
            <w:pPr>
              <w:pStyle w:val="Compact"/>
            </w:pPr>
            <w:r>
              <w:t xml:space="preserve">45,0 %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−20,7 %</w:t>
            </w:r>
          </w:p>
        </w:tc>
        <w:tc>
          <w:tcPr/>
          <w:p>
            <w:pPr>
              <w:pStyle w:val="Compact"/>
            </w:pPr>
            <w:r>
              <w:t xml:space="preserve">−37,5 % … −0,2 %</w:t>
            </w:r>
          </w:p>
        </w:tc>
      </w:tr>
    </w:tbl>
    <w:p>
      <w:pPr>
        <w:pStyle w:val="BodyText"/>
      </w:pPr>
      <w:r>
        <w:t xml:space="preserve">Диапазон между S1-low и S1-high — не «погрешность», а разница между двумя</w:t>
      </w:r>
      <w:r>
        <w:t xml:space="preserve"> </w:t>
      </w:r>
      <w:r>
        <w:t xml:space="preserve">прочтениями поведения: если заёмщики реагируют только на исчезновение права,</w:t>
      </w:r>
      <w:r>
        <w:t xml:space="preserve"> </w:t>
      </w:r>
      <w:r>
        <w:t xml:space="preserve">эффект вдвое меньше, чем если они реагируют и на удорожание. Истина между ними.</w:t>
      </w:r>
    </w:p>
    <w:p>
      <w:pPr>
        <w:pStyle w:val="BodyText"/>
      </w:pPr>
      <w:r>
        <w:t xml:space="preserve">Уральский макрорегион (эффект по числу кредитов на первичном рынке):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Регион</w:t>
            </w:r>
          </w:p>
        </w:tc>
        <w:tc>
          <w:tcPr/>
          <w:p>
            <w:pPr>
              <w:pStyle w:val="Compact"/>
            </w:pPr>
            <w:r>
              <w:t xml:space="preserve">Доля семейной программы</w:t>
            </w:r>
          </w:p>
        </w:tc>
        <w:tc>
          <w:tcPr/>
          <w:p>
            <w:pPr>
              <w:pStyle w:val="Compact"/>
            </w:pPr>
            <w:r>
              <w:t xml:space="preserve">Потеря доступа</w:t>
            </w:r>
          </w:p>
        </w:tc>
        <w:tc>
          <w:tcPr/>
          <w:p>
            <w:pPr>
              <w:pStyle w:val="Compact"/>
            </w:pPr>
            <w:r>
              <w:t xml:space="preserve">Рост ставки, п.п.</w:t>
            </w:r>
          </w:p>
        </w:tc>
        <w:tc>
          <w:tcPr/>
          <w:p>
            <w:pPr>
              <w:pStyle w:val="Compact"/>
            </w:pPr>
            <w:r>
              <w:t xml:space="preserve">S1-low</w:t>
            </w:r>
          </w:p>
        </w:tc>
        <w:tc>
          <w:tcPr/>
          <w:p>
            <w:pPr>
              <w:pStyle w:val="Compact"/>
            </w:pPr>
            <w:r>
              <w:t xml:space="preserve">S1-high</w:t>
            </w:r>
          </w:p>
        </w:tc>
        <w:tc>
          <w:tcPr/>
          <w:p>
            <w:pPr>
              <w:pStyle w:val="Compact"/>
            </w:pPr>
            <w:r>
              <w:t xml:space="preserve">S4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Свердловская область</w:t>
            </w:r>
          </w:p>
        </w:tc>
        <w:tc>
          <w:tcPr/>
          <w:p>
            <w:pPr>
              <w:pStyle w:val="Compact"/>
            </w:pPr>
            <w:r>
              <w:t xml:space="preserve">0,539</w:t>
            </w:r>
          </w:p>
        </w:tc>
        <w:tc>
          <w:tcPr/>
          <w:p>
            <w:pPr>
              <w:pStyle w:val="Compact"/>
            </w:pPr>
            <w:r>
              <w:t xml:space="preserve">0,147</w:t>
            </w:r>
          </w:p>
        </w:tc>
        <w:tc>
          <w:tcPr/>
          <w:p>
            <w:pPr>
              <w:pStyle w:val="Compact"/>
            </w:pPr>
            <w:r>
              <w:t xml:space="preserve">+2,62</w:t>
            </w:r>
          </w:p>
        </w:tc>
        <w:tc>
          <w:tcPr/>
          <w:p>
            <w:pPr>
              <w:pStyle w:val="Compact"/>
            </w:pPr>
            <w:r>
              <w:t xml:space="preserve">−14,1 %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−31,7 %</w:t>
            </w:r>
          </w:p>
        </w:tc>
        <w:tc>
          <w:tcPr/>
          <w:p>
            <w:pPr>
              <w:pStyle w:val="Compact"/>
            </w:pPr>
            <w:r>
              <w:t xml:space="preserve">−25,3 %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Пермский край</w:t>
            </w:r>
          </w:p>
        </w:tc>
        <w:tc>
          <w:tcPr/>
          <w:p>
            <w:pPr>
              <w:pStyle w:val="Compact"/>
            </w:pPr>
            <w:r>
              <w:t xml:space="preserve">0,495</w:t>
            </w:r>
          </w:p>
        </w:tc>
        <w:tc>
          <w:tcPr/>
          <w:p>
            <w:pPr>
              <w:pStyle w:val="Compact"/>
            </w:pPr>
            <w:r>
              <w:t xml:space="preserve">0,166</w:t>
            </w:r>
          </w:p>
        </w:tc>
        <w:tc>
          <w:tcPr/>
          <w:p>
            <w:pPr>
              <w:pStyle w:val="Compact"/>
            </w:pPr>
            <w:r>
              <w:t xml:space="preserve">+2,48</w:t>
            </w:r>
          </w:p>
        </w:tc>
        <w:tc>
          <w:tcPr/>
          <w:p>
            <w:pPr>
              <w:pStyle w:val="Compact"/>
            </w:pPr>
            <w:r>
              <w:t xml:space="preserve">−13,0 %</w:t>
            </w:r>
          </w:p>
        </w:tc>
        <w:tc>
          <w:tcPr/>
          <w:p>
            <w:pPr>
              <w:pStyle w:val="Compact"/>
            </w:pPr>
            <w:r>
              <w:t xml:space="preserve">−29,1 %</w:t>
            </w:r>
          </w:p>
        </w:tc>
        <w:tc>
          <w:tcPr/>
          <w:p>
            <w:pPr>
              <w:pStyle w:val="Compact"/>
            </w:pPr>
            <w:r>
              <w:t xml:space="preserve">−23,3 %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Республика Башкортостан</w:t>
            </w:r>
          </w:p>
        </w:tc>
        <w:tc>
          <w:tcPr/>
          <w:p>
            <w:pPr>
              <w:pStyle w:val="Compact"/>
            </w:pPr>
            <w:r>
              <w:t xml:space="preserve">0,492</w:t>
            </w:r>
          </w:p>
        </w:tc>
        <w:tc>
          <w:tcPr/>
          <w:p>
            <w:pPr>
              <w:pStyle w:val="Compact"/>
            </w:pPr>
            <w:r>
              <w:t xml:space="preserve">0,181</w:t>
            </w:r>
          </w:p>
        </w:tc>
        <w:tc>
          <w:tcPr/>
          <w:p>
            <w:pPr>
              <w:pStyle w:val="Compact"/>
            </w:pPr>
            <w:r>
              <w:t xml:space="preserve">+2,37</w:t>
            </w:r>
          </w:p>
        </w:tc>
        <w:tc>
          <w:tcPr/>
          <w:p>
            <w:pPr>
              <w:pStyle w:val="Compact"/>
            </w:pPr>
            <w:r>
              <w:t xml:space="preserve">−12,9 %</w:t>
            </w:r>
          </w:p>
        </w:tc>
        <w:tc>
          <w:tcPr/>
          <w:p>
            <w:pPr>
              <w:pStyle w:val="Compact"/>
            </w:pPr>
            <w:r>
              <w:t xml:space="preserve">−28,9 %</w:t>
            </w:r>
          </w:p>
        </w:tc>
        <w:tc>
          <w:tcPr/>
          <w:p>
            <w:pPr>
              <w:pStyle w:val="Compact"/>
            </w:pPr>
            <w:r>
              <w:t xml:space="preserve">−23,1 %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Челябинская область</w:t>
            </w:r>
          </w:p>
        </w:tc>
        <w:tc>
          <w:tcPr/>
          <w:p>
            <w:pPr>
              <w:pStyle w:val="Compact"/>
            </w:pPr>
            <w:r>
              <w:t xml:space="preserve">0,415</w:t>
            </w:r>
          </w:p>
        </w:tc>
        <w:tc>
          <w:tcPr/>
          <w:p>
            <w:pPr>
              <w:pStyle w:val="Compact"/>
            </w:pPr>
            <w:r>
              <w:t xml:space="preserve">0,167</w:t>
            </w:r>
          </w:p>
        </w:tc>
        <w:tc>
          <w:tcPr/>
          <w:p>
            <w:pPr>
              <w:pStyle w:val="Compact"/>
            </w:pPr>
            <w:r>
              <w:t xml:space="preserve">+2,55</w:t>
            </w:r>
          </w:p>
        </w:tc>
        <w:tc>
          <w:tcPr/>
          <w:p>
            <w:pPr>
              <w:pStyle w:val="Compact"/>
            </w:pPr>
            <w:r>
              <w:t xml:space="preserve">−10,9 %</w:t>
            </w:r>
          </w:p>
        </w:tc>
        <w:tc>
          <w:tcPr/>
          <w:p>
            <w:pPr>
              <w:pStyle w:val="Compact"/>
            </w:pPr>
            <w:r>
              <w:t xml:space="preserve">−24,4 %</w:t>
            </w:r>
          </w:p>
        </w:tc>
        <w:tc>
          <w:tcPr/>
          <w:p>
            <w:pPr>
              <w:pStyle w:val="Compact"/>
            </w:pPr>
            <w:r>
              <w:t xml:space="preserve">−19,5 %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Оренбургская область</w:t>
            </w:r>
          </w:p>
        </w:tc>
        <w:tc>
          <w:tcPr/>
          <w:p>
            <w:pPr>
              <w:pStyle w:val="Compact"/>
            </w:pPr>
            <w:r>
              <w:t xml:space="preserve">0,398</w:t>
            </w:r>
          </w:p>
        </w:tc>
        <w:tc>
          <w:tcPr/>
          <w:p>
            <w:pPr>
              <w:pStyle w:val="Compact"/>
            </w:pPr>
            <w:r>
              <w:t xml:space="preserve">0,181</w:t>
            </w:r>
          </w:p>
        </w:tc>
        <w:tc>
          <w:tcPr/>
          <w:p>
            <w:pPr>
              <w:pStyle w:val="Compact"/>
            </w:pPr>
            <w:r>
              <w:t xml:space="preserve">+2,40</w:t>
            </w:r>
          </w:p>
        </w:tc>
        <w:tc>
          <w:tcPr/>
          <w:p>
            <w:pPr>
              <w:pStyle w:val="Compact"/>
            </w:pPr>
            <w:r>
              <w:t xml:space="preserve">−10,4 %</w:t>
            </w:r>
          </w:p>
        </w:tc>
        <w:tc>
          <w:tcPr/>
          <w:p>
            <w:pPr>
              <w:pStyle w:val="Compact"/>
            </w:pPr>
            <w:r>
              <w:t xml:space="preserve">−23,4 %</w:t>
            </w:r>
          </w:p>
        </w:tc>
        <w:tc>
          <w:tcPr/>
          <w:p>
            <w:pPr>
              <w:pStyle w:val="Compact"/>
            </w:pPr>
            <w:r>
              <w:t xml:space="preserve">−18,7 %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Курганская область</w:t>
            </w:r>
          </w:p>
        </w:tc>
        <w:tc>
          <w:tcPr/>
          <w:p>
            <w:pPr>
              <w:pStyle w:val="Compact"/>
            </w:pPr>
            <w:r>
              <w:t xml:space="preserve">0,302</w:t>
            </w:r>
          </w:p>
        </w:tc>
        <w:tc>
          <w:tcPr/>
          <w:p>
            <w:pPr>
              <w:pStyle w:val="Compact"/>
            </w:pPr>
            <w:r>
              <w:t xml:space="preserve">0,179</w:t>
            </w:r>
          </w:p>
        </w:tc>
        <w:tc>
          <w:tcPr/>
          <w:p>
            <w:pPr>
              <w:pStyle w:val="Compact"/>
            </w:pPr>
            <w:r>
              <w:t xml:space="preserve">+2,38</w:t>
            </w:r>
          </w:p>
        </w:tc>
        <w:tc>
          <w:tcPr/>
          <w:p>
            <w:pPr>
              <w:pStyle w:val="Compact"/>
            </w:pPr>
            <w:r>
              <w:t xml:space="preserve">−7,9 %</w:t>
            </w:r>
          </w:p>
        </w:tc>
        <w:tc>
          <w:tcPr/>
          <w:p>
            <w:pPr>
              <w:pStyle w:val="Compact"/>
            </w:pPr>
            <w:r>
              <w:t xml:space="preserve">−17,8 %</w:t>
            </w:r>
          </w:p>
        </w:tc>
        <w:tc>
          <w:tcPr/>
          <w:p>
            <w:pPr>
              <w:pStyle w:val="Compact"/>
            </w:pPr>
            <w:r>
              <w:t xml:space="preserve">−14,2 %</w:t>
            </w:r>
          </w:p>
        </w:tc>
      </w:tr>
    </w:tbl>
    <w:p>
      <w:pPr>
        <w:pStyle w:val="BodyText"/>
      </w:pPr>
      <w:r>
        <w:t xml:space="preserve">Свердловская область — максимальная экспозиция среди уральских регионов за счёт</w:t>
      </w:r>
      <w:r>
        <w:t xml:space="preserve"> </w:t>
      </w:r>
      <w:r>
        <w:t xml:space="preserve">самой высокой доли семейной программы в выдачах; Курганская — минимальная.</w:t>
      </w:r>
    </w:p>
    <w:bookmarkEnd w:id="11"/>
    <w:bookmarkStart w:id="12" w:name="траектория"/>
    <w:p>
      <w:pPr>
        <w:pStyle w:val="Heading1"/>
      </w:pPr>
      <w:r>
        <w:t xml:space="preserve">Траектория</w:t>
      </w:r>
    </w:p>
    <w:p>
      <w:pPr>
        <w:pStyle w:val="FirstParagraph"/>
      </w:pPr>
      <w:r>
        <w:t xml:space="preserve">Два варианта, потому что событие 2024 года и реформа 2026 года различаются</w:t>
      </w:r>
      <w:r>
        <w:t xml:space="preserve"> </w:t>
      </w:r>
      <w:r>
        <w:t xml:space="preserve">принципиально: там программа исчезала целиком, и эффект затухал по мере замещения</w:t>
      </w:r>
      <w:r>
        <w:t xml:space="preserve"> </w:t>
      </w:r>
      <w:r>
        <w:t xml:space="preserve">другими программами; здесь условия сохраняются постоянно, замещать нечем.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Период</w:t>
            </w:r>
          </w:p>
        </w:tc>
        <w:tc>
          <w:tcPr/>
          <w:p>
            <w:pPr>
              <w:pStyle w:val="Compact"/>
            </w:pPr>
            <w:r>
              <w:t xml:space="preserve">Базовый вариант (структурный уровень + возврат переноса)</w:t>
            </w:r>
          </w:p>
        </w:tc>
        <w:tc>
          <w:tcPr/>
          <w:p>
            <w:pPr>
              <w:pStyle w:val="Compact"/>
            </w:pPr>
            <w:r>
              <w:t xml:space="preserve">Вариант с формой 2024 года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октябрь–декабрь 2026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−26,8 %</w:t>
            </w:r>
          </w:p>
        </w:tc>
        <w:tc>
          <w:tcPr/>
          <w:p>
            <w:pPr>
              <w:pStyle w:val="Compact"/>
            </w:pPr>
            <w:r>
              <w:t xml:space="preserve">−15,5 %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 квартал 2027</w:t>
            </w:r>
          </w:p>
        </w:tc>
        <w:tc>
          <w:tcPr/>
          <w:p>
            <w:pPr>
              <w:pStyle w:val="Compact"/>
            </w:pPr>
            <w:r>
              <w:t xml:space="preserve">−25,2 %</w:t>
            </w:r>
          </w:p>
        </w:tc>
        <w:tc>
          <w:tcPr/>
          <w:p>
            <w:pPr>
              <w:pStyle w:val="Compact"/>
            </w:pPr>
            <w:r>
              <w:t xml:space="preserve">−5,4 %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 квартал 2027</w:t>
            </w:r>
          </w:p>
        </w:tc>
        <w:tc>
          <w:tcPr/>
          <w:p>
            <w:pPr>
              <w:pStyle w:val="Compact"/>
            </w:pPr>
            <w:r>
              <w:t xml:space="preserve">−25,2 %</w:t>
            </w:r>
          </w:p>
        </w:tc>
        <w:tc>
          <w:tcPr/>
          <w:p>
            <w:pPr>
              <w:pStyle w:val="Compact"/>
            </w:pPr>
            <w:r>
              <w:t xml:space="preserve">−4,9 %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 квартал 2027</w:t>
            </w:r>
          </w:p>
        </w:tc>
        <w:tc>
          <w:tcPr/>
          <w:p>
            <w:pPr>
              <w:pStyle w:val="Compact"/>
            </w:pPr>
            <w:r>
              <w:t xml:space="preserve">−25,2 %</w:t>
            </w:r>
          </w:p>
        </w:tc>
        <w:tc>
          <w:tcPr/>
          <w:p>
            <w:pPr>
              <w:pStyle w:val="Compact"/>
            </w:pPr>
            <w:r>
              <w:t xml:space="preserve">−3,7 %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 IV квартала 2027</w:t>
            </w:r>
          </w:p>
        </w:tc>
        <w:tc>
          <w:tcPr/>
          <w:p>
            <w:pPr>
              <w:pStyle w:val="Compact"/>
            </w:pPr>
            <w:r>
              <w:t xml:space="preserve">−25,2 %</w:t>
            </w:r>
          </w:p>
        </w:tc>
        <w:tc>
          <w:tcPr/>
          <w:p>
            <w:pPr>
              <w:pStyle w:val="Compact"/>
            </w:pPr>
            <w:r>
              <w:t xml:space="preserve">−25,2 %</w:t>
            </w:r>
          </w:p>
        </w:tc>
      </w:tr>
    </w:tbl>
    <w:p>
      <w:pPr>
        <w:pStyle w:val="BodyText"/>
      </w:pPr>
      <w:r>
        <w:t xml:space="preserve">Разница в первые месяцы велика: от −15 % до −27 %. Базовый вариант исходит из</w:t>
      </w:r>
      <w:r>
        <w:t xml:space="preserve"> </w:t>
      </w:r>
      <w:r>
        <w:t xml:space="preserve">того, что структурный эффект действует сразу; альтернативный — из того, что</w:t>
      </w:r>
      <w:r>
        <w:t xml:space="preserve"> </w:t>
      </w:r>
      <w:r>
        <w:t xml:space="preserve">эффект 2024 года был фронтально загружен и затем затухал.</w:t>
      </w:r>
      <w:r>
        <w:t xml:space="preserve"> </w:t>
      </w:r>
      <w:r>
        <w:rPr>
          <w:b/>
          <w:bCs/>
        </w:rPr>
        <w:t xml:space="preserve">Разрешить это можно</w:t>
      </w:r>
      <w:r>
        <w:rPr>
          <w:b/>
          <w:bCs/>
        </w:rPr>
        <w:t xml:space="preserve"> </w:t>
      </w:r>
      <w:r>
        <w:rPr>
          <w:b/>
          <w:bCs/>
        </w:rPr>
        <w:t xml:space="preserve">только по октябрьским данным</w:t>
      </w:r>
      <w:r>
        <w:t xml:space="preserve">, и именно поэтому оба варианта фиксируются заранее.</w:t>
      </w:r>
    </w:p>
    <w:p>
      <w:pPr>
        <w:pStyle w:val="BodyText"/>
      </w:pPr>
      <w:r>
        <w:t xml:space="preserve">Возврат перенесённого спроса (−2,2 % в месяц в октябре–декабре) получен из</w:t>
      </w:r>
      <w:r>
        <w:t xml:space="preserve"> </w:t>
      </w:r>
      <w:r>
        <w:t xml:space="preserve">измерения эффекта предвосхищения: около 6,4 тыс. заявок, или 6,5 % месячного</w:t>
      </w:r>
      <w:r>
        <w:t xml:space="preserve"> </w:t>
      </w:r>
      <w:r>
        <w:t xml:space="preserve">объёма, распределено на три месяца.</w:t>
      </w:r>
    </w:p>
    <w:bookmarkEnd w:id="12"/>
    <w:bookmarkStart w:id="13" w:name="проверяемые-предсказания"/>
    <w:p>
      <w:pPr>
        <w:pStyle w:val="Heading1"/>
      </w:pPr>
      <w:r>
        <w:t xml:space="preserve">Проверяемые предсказания</w:t>
      </w:r>
    </w:p>
    <w:p>
      <w:pPr>
        <w:pStyle w:val="Compact"/>
        <w:numPr>
          <w:ilvl w:val="0"/>
          <w:numId w:val="1001"/>
        </w:numPr>
      </w:pPr>
      <w:r>
        <w:t xml:space="preserve">Число ИЖК по ДДУ в октябре 2026 ниже, чем в сентябре,</w:t>
      </w:r>
      <w:r>
        <w:t xml:space="preserve"> </w:t>
      </w:r>
      <w:r>
        <w:rPr>
          <w:b/>
          <w:bCs/>
        </w:rPr>
        <w:t xml:space="preserve">сильнее</w:t>
      </w:r>
      <w:r>
        <w:t xml:space="preserve">, чем на</w:t>
      </w:r>
      <w:r>
        <w:t xml:space="preserve"> </w:t>
      </w:r>
      <w:r>
        <w:t xml:space="preserve">сезонную величину: падение в диапазоне 15–27 % против сентября с поправкой на</w:t>
      </w:r>
      <w:r>
        <w:t xml:space="preserve"> </w:t>
      </w:r>
      <w:r>
        <w:t xml:space="preserve">сезонность.</w:t>
      </w:r>
    </w:p>
    <w:p>
      <w:pPr>
        <w:pStyle w:val="Compact"/>
        <w:numPr>
          <w:ilvl w:val="0"/>
          <w:numId w:val="1001"/>
        </w:numPr>
      </w:pPr>
      <w:r>
        <w:t xml:space="preserve">Регионы с высокой долей семейной программы (Свердловская, Пермский край,</w:t>
      </w:r>
      <w:r>
        <w:t xml:space="preserve"> </w:t>
      </w:r>
      <w:r>
        <w:t xml:space="preserve">Башкортостан) падают сильнее, чем с низкой (Курганская): разница по S1-high —</w:t>
      </w:r>
      <w:r>
        <w:t xml:space="preserve"> </w:t>
      </w:r>
      <w:r>
        <w:t xml:space="preserve">от −17,8 % до −31,7 %, то есть почти двукратная.</w:t>
      </w:r>
    </w:p>
    <w:p>
      <w:pPr>
        <w:pStyle w:val="Compact"/>
        <w:numPr>
          <w:ilvl w:val="0"/>
          <w:numId w:val="1001"/>
        </w:numPr>
      </w:pPr>
      <w:r>
        <w:t xml:space="preserve">Доля ИЖС в первичном спросе растёт: ставка там сохранена (6 %), а в</w:t>
      </w:r>
      <w:r>
        <w:t xml:space="preserve"> </w:t>
      </w:r>
      <w:r>
        <w:t xml:space="preserve">многоквартирном сегменте выросла на 2–4 п.п.</w:t>
      </w:r>
    </w:p>
    <w:p>
      <w:pPr>
        <w:pStyle w:val="Compact"/>
        <w:numPr>
          <w:ilvl w:val="0"/>
          <w:numId w:val="1001"/>
        </w:numPr>
      </w:pPr>
      <w:r>
        <w:t xml:space="preserve">Доля отказов по заявкам на семейную программу растёт из-за сжатия сроков и</w:t>
      </w:r>
      <w:r>
        <w:t xml:space="preserve"> </w:t>
      </w:r>
      <w:r>
        <w:t xml:space="preserve">роста платежа (механизм, не оценённый количественно).</w:t>
      </w:r>
    </w:p>
    <w:p>
      <w:pPr>
        <w:pStyle w:val="Compact"/>
        <w:numPr>
          <w:ilvl w:val="0"/>
          <w:numId w:val="1001"/>
        </w:numPr>
      </w:pPr>
      <w:r>
        <w:t xml:space="preserve">Средний срок кредита по семейной программе смещается к 15 годам.</w:t>
      </w:r>
    </w:p>
    <w:bookmarkEnd w:id="13"/>
    <w:bookmarkStart w:id="14" w:name="как-проверять"/>
    <w:p>
      <w:pPr>
        <w:pStyle w:val="Heading1"/>
      </w:pPr>
      <w:r>
        <w:t xml:space="preserve">Как проверять</w:t>
      </w:r>
    </w:p>
    <w:p>
      <w:pPr>
        <w:pStyle w:val="FirstParagraph"/>
      </w:pPr>
      <w:r>
        <w:t xml:space="preserve">Октябрьские данные: ИЖК по ДДУ по субъектам (ЦБ, файлы 02_15–02_17) и недельные</w:t>
      </w:r>
      <w:r>
        <w:t xml:space="preserve"> </w:t>
      </w:r>
      <w:r>
        <w:t xml:space="preserve">снимки ДОМ.РФ. Первое сравнение — по пунктам 1 и 2: если факт окажется вне</w:t>
      </w:r>
      <w:r>
        <w:t xml:space="preserve"> </w:t>
      </w:r>
      <w:r>
        <w:t xml:space="preserve">диапазона S1-low…S1-high, это означает, что либо каналы реформы измерены неверно,</w:t>
      </w:r>
      <w:r>
        <w:t xml:space="preserve"> </w:t>
      </w:r>
      <w:r>
        <w:t xml:space="preserve">либо эластичность переноса непригодна. Разбор расхождения — по компонентам, а не</w:t>
      </w:r>
      <w:r>
        <w:t xml:space="preserve"> </w:t>
      </w:r>
      <w:r>
        <w:t xml:space="preserve">подгонкой параметров.</w:t>
      </w:r>
    </w:p>
    <w:bookmarkEnd w:id="14"/>
    <w:bookmarkStart w:id="15" w:name="ограничения"/>
    <w:p>
      <w:pPr>
        <w:pStyle w:val="Heading1"/>
      </w:pPr>
      <w:r>
        <w:t xml:space="preserve">Ограничения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Допущение о составе заёмщиков</w:t>
      </w:r>
      <w:r>
        <w:t xml:space="preserve"> </w:t>
      </w:r>
      <w:r>
        <w:t xml:space="preserve">(структура семей = структура заёмщиков) не</w:t>
      </w:r>
      <w:r>
        <w:t xml:space="preserve"> </w:t>
      </w:r>
      <w:r>
        <w:t xml:space="preserve">проверено: доля заёмщиков с 2+ детьми без ребёнка младше 7 лет может отличаться</w:t>
      </w:r>
      <w:r>
        <w:t xml:space="preserve"> </w:t>
      </w:r>
      <w:r>
        <w:t xml:space="preserve">от 25,1 %.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Замещение в ИЖС задано, а не оценено</w:t>
      </w:r>
      <w:r>
        <w:t xml:space="preserve">: 20 % затронутого объёма — допущение,</w:t>
      </w:r>
      <w:r>
        <w:t xml:space="preserve"> </w:t>
      </w:r>
      <w:r>
        <w:t xml:space="preserve">подобранное без данных; после октября его можно будет измерить по рядам ИЖК на</w:t>
      </w:r>
      <w:r>
        <w:t xml:space="preserve"> </w:t>
      </w:r>
      <w:r>
        <w:t xml:space="preserve">цели ИЖС.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Эластичность перенесена с другого события</w:t>
      </w:r>
      <w:r>
        <w:t xml:space="preserve">: в 2024 году программа исчезала</w:t>
      </w:r>
      <w:r>
        <w:t xml:space="preserve"> </w:t>
      </w:r>
      <w:r>
        <w:t xml:space="preserve">целиком, здесь меняются её параметры. Перенос даёт верхнюю границу.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Реакция банков на срок субсидирования</w:t>
      </w:r>
      <w:r>
        <w:t xml:space="preserve"> </w:t>
      </w:r>
      <w:r>
        <w:t xml:space="preserve">не наблюдается: сжатие срока до 15 лет</w:t>
      </w:r>
      <w:r>
        <w:t xml:space="preserve"> </w:t>
      </w:r>
      <w:r>
        <w:t xml:space="preserve">и «обрыв» платежа на 16-м году дают разный рост платежа (+28…+82 % против</w:t>
      </w:r>
      <w:r>
        <w:t xml:space="preserve"> </w:t>
      </w:r>
      <w:r>
        <w:t xml:space="preserve">+20…+65 %), и какой из них реализуется, покажет ряд средних сроков (файл ЦБ</w:t>
      </w:r>
      <w:r>
        <w:t xml:space="preserve"> </w:t>
      </w:r>
      <w:r>
        <w:rPr>
          <w:rStyle w:val="VerbatimChar"/>
        </w:rPr>
        <w:t xml:space="preserve">02_13</w:t>
      </w:r>
      <w:r>
        <w:t xml:space="preserve">, лист «срок в руб»), который в базу ещё не загружен.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Общие условия не учтены</w:t>
      </w:r>
      <w:r>
        <w:t xml:space="preserve">: траектория ключевой ставки, макропруденциальные</w:t>
      </w:r>
      <w:r>
        <w:t xml:space="preserve"> </w:t>
      </w:r>
      <w:r>
        <w:t xml:space="preserve">лимиты и бюджетные программы действуют одновременно с реформой.</w:t>
      </w:r>
    </w:p>
    <w:p>
      <w:pPr>
        <w:pStyle w:val="Compact"/>
        <w:numPr>
          <w:ilvl w:val="0"/>
          <w:numId w:val="1002"/>
        </w:numPr>
      </w:pPr>
      <w:r>
        <w:t xml:space="preserve">Прогноз построен по числу кредитов; объёмный эффект может отличаться, поскольку</w:t>
      </w:r>
      <w:r>
        <w:t xml:space="preserve"> </w:t>
      </w:r>
      <w:r>
        <w:t xml:space="preserve">реформа меняет и размер кредита (лимиты выросли для многодетных).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Прогноз спроса на первичное жильё при реформе «Семейной ипотеки» 01.10.2026: сценарии и траектория</dc:title>
  <dc:creator/>
  <cp:keywords/>
  <dcterms:created xsi:type="dcterms:W3CDTF">2026-10-02T05:44:36Z</dcterms:created>
  <dcterms:modified xsi:type="dcterms:W3CDTF">2026-10-02T05:44:36Z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2026-10-01</vt:lpwstr>
  </property>
  <property fmtid="{D5CDD505-2E9C-101B-9397-08002B2CF9AE}" pid="3" name="sources">
    <vt:lpwstr/>
  </property>
  <property fmtid="{D5CDD505-2E9C-101B-9397-08002B2CF9AE}" pid="4" name="status">
    <vt:lpwstr>fixed</vt:lpwstr>
  </property>
  <property fmtid="{D5CDD505-2E9C-101B-9397-08002B2CF9AE}" pid="5" name="tags">
    <vt:lpwstr/>
  </property>
  <property fmtid="{D5CDD505-2E9C-101B-9397-08002B2CF9AE}" pid="6" name="type">
    <vt:lpwstr>forecast</vt:lpwstr>
  </property>
</Properties>
</file>