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Эффект предвосхищения реформы «Семейной ипотеки» 01.10.2026: измерение по недельным данным ДОМ.РФ</w:t>
      </w:r>
    </w:p>
    <w:bookmarkStart w:id="9" w:name="что-измерялось"/>
    <w:p>
      <w:pPr>
        <w:pStyle w:val="Heading1"/>
      </w:pPr>
      <w:r>
        <w:t xml:space="preserve">Что измерялось</w:t>
      </w:r>
    </w:p>
    <w:p>
      <w:pPr>
        <w:pStyle w:val="FirstParagraph"/>
      </w:pPr>
      <w:r>
        <w:t xml:space="preserve">Этап 3 дизайна: сколько спроса перенесено на сентябрь 2026 года заключением</w:t>
      </w:r>
      <w:r>
        <w:t xml:space="preserve"> </w:t>
      </w:r>
      <w:r>
        <w:t xml:space="preserve">договоров по прежним условиям. Это нужно, чтобы октябрь–декабрь в прогнозе</w:t>
      </w:r>
      <w:r>
        <w:t xml:space="preserve"> </w:t>
      </w:r>
      <w:r>
        <w:t xml:space="preserve">читались как</w:t>
      </w:r>
      <w:r>
        <w:t xml:space="preserve"> </w:t>
      </w:r>
      <w:r>
        <w:rPr>
          <w:b/>
          <w:bCs/>
        </w:rPr>
        <w:t xml:space="preserve">частично компенсированный</w:t>
      </w:r>
      <w:r>
        <w:t xml:space="preserve"> </w:t>
      </w:r>
      <w:r>
        <w:t xml:space="preserve">спад, а не как чистое падение.</w:t>
      </w:r>
    </w:p>
    <w:p>
      <w:pPr>
        <w:pStyle w:val="BodyText"/>
      </w:pPr>
      <w:r>
        <w:t xml:space="preserve">Данные: недельные снимки ДОМ.РФ по семейной программе, сумма по регионам, 204</w:t>
      </w:r>
      <w:r>
        <w:t xml:space="preserve"> </w:t>
      </w:r>
      <w:r>
        <w:t xml:space="preserve">недели с ноября 2022 по 20 сентября 2026. Воронка полная: заявки, одобрения,</w:t>
      </w:r>
      <w:r>
        <w:t xml:space="preserve"> </w:t>
      </w:r>
      <w:r>
        <w:t xml:space="preserve">отказы, заключённые договоры, выдачи.</w:t>
      </w:r>
    </w:p>
    <w:bookmarkEnd w:id="9"/>
    <w:bookmarkStart w:id="10" w:name="метод"/>
    <w:p>
      <w:pPr>
        <w:pStyle w:val="Heading1"/>
      </w:pPr>
      <w:r>
        <w:t xml:space="preserve">Метод</w:t>
      </w:r>
    </w:p>
    <w:p>
      <w:pPr>
        <w:pStyle w:val="FirstParagraph"/>
      </w:pPr>
      <w:r>
        <w:t xml:space="preserve">Прямое сравнение сентября с прошлыми годами ненадёжно: сама сезонность сентября</w:t>
      </w:r>
      <w:r>
        <w:t xml:space="preserve"> </w:t>
      </w:r>
      <w:r>
        <w:t xml:space="preserve">различается между годами. Поэтому построен сезонный индекс недели года по</w:t>
      </w:r>
      <w:r>
        <w:t xml:space="preserve"> </w:t>
      </w:r>
      <w:r>
        <w:t xml:space="preserve">2023–2025 годам, ряд разделён на него (сезонно сглаженный уровень), и сентябрь</w:t>
      </w:r>
      <w:r>
        <w:t xml:space="preserve"> </w:t>
      </w:r>
      <w:r>
        <w:t xml:space="preserve">2026 сравнивается</w:t>
      </w:r>
      <w:r>
        <w:t xml:space="preserve"> </w:t>
      </w:r>
      <w:r>
        <w:rPr>
          <w:b/>
          <w:bCs/>
        </w:rPr>
        <w:t xml:space="preserve">с собственным уровнем июля–августа 2026</w:t>
      </w:r>
      <w:r>
        <w:t xml:space="preserve">, то есть с</w:t>
      </w:r>
      <w:r>
        <w:t xml:space="preserve"> </w:t>
      </w:r>
      <w:r>
        <w:t xml:space="preserve">непосредственно предшествующим периодом, а не с прошлыми годами.</w:t>
      </w:r>
    </w:p>
    <w:bookmarkEnd w:id="10"/>
    <w:bookmarkStart w:id="11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Сезонно сглаженный уровень заявок, в неделю: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 2026</w:t>
            </w:r>
          </w:p>
        </w:tc>
        <w:tc>
          <w:tcPr/>
          <w:p>
            <w:pPr>
              <w:pStyle w:val="Compact"/>
            </w:pPr>
            <w:r>
              <w:t xml:space="preserve">Заявки в неделю</w:t>
            </w:r>
          </w:p>
        </w:tc>
        <w:tc>
          <w:tcPr/>
          <w:p>
            <w:pPr>
              <w:pStyle w:val="Compact"/>
            </w:pPr>
            <w:r>
              <w:t xml:space="preserve">К уровню июля–августа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апрель</w:t>
            </w:r>
          </w:p>
        </w:tc>
        <w:tc>
          <w:tcPr/>
          <w:p>
            <w:pPr>
              <w:pStyle w:val="Compact"/>
            </w:pPr>
            <w:r>
              <w:t xml:space="preserve">24 669</w:t>
            </w:r>
          </w:p>
        </w:tc>
        <w:tc>
          <w:tcPr/>
          <w:p>
            <w:pPr>
              <w:pStyle w:val="Compact"/>
            </w:pPr>
            <w:r>
              <w:t xml:space="preserve">+7,9 %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май</w:t>
            </w:r>
          </w:p>
        </w:tc>
        <w:tc>
          <w:tcPr/>
          <w:p>
            <w:pPr>
              <w:pStyle w:val="Compact"/>
            </w:pPr>
            <w:r>
              <w:t xml:space="preserve">22 560</w:t>
            </w:r>
          </w:p>
        </w:tc>
        <w:tc>
          <w:tcPr/>
          <w:p>
            <w:pPr>
              <w:pStyle w:val="Compact"/>
            </w:pPr>
            <w:r>
              <w:t xml:space="preserve">−1,3 %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июнь</w:t>
            </w:r>
          </w:p>
        </w:tc>
        <w:tc>
          <w:tcPr/>
          <w:p>
            <w:pPr>
              <w:pStyle w:val="Compact"/>
            </w:pPr>
            <w:r>
              <w:t xml:space="preserve">29 320</w:t>
            </w:r>
          </w:p>
        </w:tc>
        <w:tc>
          <w:tcPr/>
          <w:p>
            <w:pPr>
              <w:pStyle w:val="Compact"/>
            </w:pPr>
            <w:r>
              <w:t xml:space="preserve">+28,2 %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июль</w:t>
            </w:r>
          </w:p>
        </w:tc>
        <w:tc>
          <w:tcPr/>
          <w:p>
            <w:pPr>
              <w:pStyle w:val="Compact"/>
            </w:pPr>
            <w:r>
              <w:t xml:space="preserve">24 244</w:t>
            </w:r>
          </w:p>
        </w:tc>
        <w:tc>
          <w:tcPr/>
          <w:p>
            <w:pPr>
              <w:pStyle w:val="Compact"/>
            </w:pPr>
            <w:r>
              <w:t xml:space="preserve">+6,0 %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21 765</w:t>
            </w:r>
          </w:p>
        </w:tc>
        <w:tc>
          <w:tcPr/>
          <w:p>
            <w:pPr>
              <w:pStyle w:val="Compact"/>
            </w:pPr>
            <w:r>
              <w:t xml:space="preserve">−4,8 %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сентябрь (до 20-го)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+9,8 %</w:t>
            </w:r>
          </w:p>
        </w:tc>
      </w:tr>
    </w:tbl>
    <w:p>
      <w:pPr>
        <w:pStyle w:val="BodyText"/>
      </w:pPr>
      <w:r>
        <w:t xml:space="preserve">Внутри сентября видно ускорение: 24,0 тыс. (30 августа) → 24,3 → 24,4 →</w:t>
      </w:r>
      <w:r>
        <w:t xml:space="preserve"> </w:t>
      </w:r>
      <w:r>
        <w:rPr>
          <w:b/>
          <w:bCs/>
        </w:rPr>
        <w:t xml:space="preserve">26,7 тыс.</w:t>
      </w:r>
      <w:r>
        <w:rPr>
          <w:b/>
          <w:bCs/>
        </w:rPr>
        <w:t xml:space="preserve"> </w:t>
      </w:r>
      <w:r>
        <w:rPr>
          <w:b/>
          <w:bCs/>
        </w:rPr>
        <w:t xml:space="preserve">(20 сентября)</w:t>
      </w:r>
      <w:r>
        <w:t xml:space="preserve">, то есть последняя неделя на 22 % выше уровня июля–августа.</w:t>
      </w:r>
    </w:p>
    <w:p>
      <w:pPr>
        <w:pStyle w:val="BodyText"/>
      </w:pPr>
      <w:r>
        <w:t xml:space="preserve">Чистый эффект: избыток сентября над июль–августом составляет +2 243 заявки в</w:t>
      </w:r>
      <w:r>
        <w:t xml:space="preserve"> </w:t>
      </w:r>
      <w:r>
        <w:t xml:space="preserve">неделю, сезонная норма для этих недель — всего +0,4 %, значит</w:t>
      </w:r>
      <w:r>
        <w:t xml:space="preserve"> </w:t>
      </w:r>
      <w:r>
        <w:rPr>
          <w:b/>
          <w:bCs/>
        </w:rPr>
        <w:t xml:space="preserve">сверх сезонности</w:t>
      </w:r>
      <w:r>
        <w:rPr>
          <w:b/>
          <w:bCs/>
        </w:rPr>
        <w:t xml:space="preserve"> </w:t>
      </w:r>
      <w:r>
        <w:rPr>
          <w:b/>
          <w:bCs/>
        </w:rPr>
        <w:t xml:space="preserve">+2 150 заявок в неделю</w:t>
      </w:r>
      <w:r>
        <w:t xml:space="preserve">, или</w:t>
      </w:r>
      <w:r>
        <w:t xml:space="preserve"> </w:t>
      </w:r>
      <w:r>
        <w:rPr>
          <w:b/>
          <w:bCs/>
        </w:rPr>
        <w:t xml:space="preserve">около 6,4 тыс. заявок за три недели</w:t>
      </w:r>
      <w:r>
        <w:t xml:space="preserve"> </w:t>
      </w:r>
      <w:r>
        <w:t xml:space="preserve">— примерно</w:t>
      </w:r>
      <w:r>
        <w:t xml:space="preserve"> </w:t>
      </w:r>
      <w:r>
        <w:t xml:space="preserve">6,5 % месячного объёма заявок (около 99 тыс. в месяц).</w:t>
      </w:r>
    </w:p>
    <w:bookmarkEnd w:id="11"/>
    <w:bookmarkStart w:id="12" w:name="важная-оговорка-сигнал-слабый"/>
    <w:p>
      <w:pPr>
        <w:pStyle w:val="Heading1"/>
      </w:pPr>
      <w:r>
        <w:t xml:space="preserve">Важная оговорка: сигнал слабый</w:t>
      </w:r>
    </w:p>
    <w:p>
      <w:pPr>
        <w:pStyle w:val="FirstParagraph"/>
      </w:pPr>
      <w:r>
        <w:t xml:space="preserve">Соотношение «сентябрь к июлю–августу» в прошлые годы составляло: 2023 — +5,4 %,</w:t>
      </w:r>
      <w:r>
        <w:t xml:space="preserve"> </w:t>
      </w:r>
      <w:r>
        <w:t xml:space="preserve">2024 — +12,0 %, 2025 — −16,1 %. Среднее +0,4 %, но стандартное отклонение 14,7 п.п.,</w:t>
      </w:r>
      <w:r>
        <w:t xml:space="preserve"> </w:t>
      </w:r>
      <w:r>
        <w:t xml:space="preserve">а размах от −16 % до +12 %. Наблюдённые +9,8 %</w:t>
      </w:r>
      <w:r>
        <w:t xml:space="preserve"> </w:t>
      </w:r>
      <w:r>
        <w:rPr>
          <w:b/>
          <w:bCs/>
        </w:rPr>
        <w:t xml:space="preserve">попадают внутрь исторического</w:t>
      </w:r>
      <w:r>
        <w:rPr>
          <w:b/>
          <w:bCs/>
        </w:rPr>
        <w:t xml:space="preserve"> </w:t>
      </w:r>
      <w:r>
        <w:rPr>
          <w:b/>
          <w:bCs/>
        </w:rPr>
        <w:t xml:space="preserve">размаха</w:t>
      </w:r>
      <w:r>
        <w:t xml:space="preserve">, поэтому на одном этом сравнении эффект предвосхищения не</w:t>
      </w:r>
      <w:r>
        <w:t xml:space="preserve"> </w:t>
      </w:r>
      <w:r>
        <w:t xml:space="preserve">идентифицируется: сезонная норма слишком шумная.</w:t>
      </w:r>
    </w:p>
    <w:p>
      <w:pPr>
        <w:pStyle w:val="BodyText"/>
      </w:pPr>
      <w:r>
        <w:t xml:space="preserve">Что усиливает вывод: ускорение внутри сентября (последняя неделя +22 %) и то, что</w:t>
      </w:r>
      <w:r>
        <w:t xml:space="preserve"> </w:t>
      </w:r>
      <w:r>
        <w:rPr>
          <w:b/>
          <w:bCs/>
        </w:rPr>
        <w:t xml:space="preserve">официальное объявление параметров состоялось 24 сентября, то есть уже после</w:t>
      </w:r>
      <w:r>
        <w:rPr>
          <w:b/>
          <w:bCs/>
        </w:rPr>
        <w:t xml:space="preserve"> </w:t>
      </w:r>
      <w:r>
        <w:rPr>
          <w:b/>
          <w:bCs/>
        </w:rPr>
        <w:t xml:space="preserve">последнего снимка (20 сентября)</w:t>
      </w:r>
      <w:r>
        <w:t xml:space="preserve">. Значит, рост последних недель вызван не самим</w:t>
      </w:r>
      <w:r>
        <w:t xml:space="preserve"> </w:t>
      </w:r>
      <w:r>
        <w:t xml:space="preserve">объявлением, а ожиданиями и утечками о готовящихся изменениях — механизм, который</w:t>
      </w:r>
      <w:r>
        <w:t xml:space="preserve"> </w:t>
      </w:r>
      <w:r>
        <w:t xml:space="preserve">по определению не читается по календарю новостей.</w:t>
      </w:r>
    </w:p>
    <w:p>
      <w:pPr>
        <w:pStyle w:val="BodyText"/>
      </w:pPr>
      <w:r>
        <w:t xml:space="preserve">Дополнительное свидетельство состава: доля одобрений в сентябре 0,52–0,54 против</w:t>
      </w:r>
      <w:r>
        <w:t xml:space="preserve"> </w:t>
      </w:r>
      <w:r>
        <w:t xml:space="preserve">0,49 в августе, доля отказов снизилась с 0,48 до 0,41. Это согласуется с притоком</w:t>
      </w:r>
      <w:r>
        <w:t xml:space="preserve"> </w:t>
      </w:r>
      <w:r>
        <w:t xml:space="preserve">заявок от заёмщиков, спешащих успеть по прежним условиям.</w:t>
      </w:r>
    </w:p>
    <w:bookmarkEnd w:id="12"/>
    <w:bookmarkStart w:id="13" w:name="второй-эпизод-того-же-года"/>
    <w:p>
      <w:pPr>
        <w:pStyle w:val="Heading1"/>
      </w:pPr>
      <w:r>
        <w:t xml:space="preserve">Второй эпизод того же года</w:t>
      </w:r>
    </w:p>
    <w:p>
      <w:pPr>
        <w:pStyle w:val="FirstParagraph"/>
      </w:pPr>
      <w:r>
        <w:t xml:space="preserve">В июне 2026 года уровень заявок был на 28,2 % выше июль–августа, причём всплеск</w:t>
      </w:r>
      <w:r>
        <w:t xml:space="preserve"> </w:t>
      </w:r>
      <w:r>
        <w:t xml:space="preserve">пришёлся на последние две недели (32,6 и 38,4 тыс. заявок) — это эпизод</w:t>
      </w:r>
      <w:r>
        <w:t xml:space="preserve"> </w:t>
      </w:r>
      <w:r>
        <w:t xml:space="preserve">объявленной, но</w:t>
      </w:r>
      <w:r>
        <w:t xml:space="preserve"> </w:t>
      </w:r>
      <w:r>
        <w:rPr>
          <w:b/>
          <w:bCs/>
        </w:rPr>
        <w:t xml:space="preserve">отложенной</w:t>
      </w:r>
      <w:r>
        <w:t xml:space="preserve"> </w:t>
      </w:r>
      <w:r>
        <w:t xml:space="preserve">реформы. После него уровень в июле–августе</w:t>
      </w:r>
      <w:r>
        <w:t xml:space="preserve"> </w:t>
      </w:r>
      <w:r>
        <w:t xml:space="preserve">опустился до 21,8 тыс., то есть ниже апрельского. Этот эпизод — внутривыборочный</w:t>
      </w:r>
      <w:r>
        <w:t xml:space="preserve"> </w:t>
      </w:r>
      <w:r>
        <w:t xml:space="preserve">прецедент, но использовать его как коэффициент переноса пока нельзя: он</w:t>
      </w:r>
      <w:r>
        <w:t xml:space="preserve"> </w:t>
      </w:r>
      <w:r>
        <w:t xml:space="preserve">накладывается на сезонный спад и на изменение рыночных ставок, поэтому требует</w:t>
      </w:r>
      <w:r>
        <w:t xml:space="preserve"> </w:t>
      </w:r>
      <w:r>
        <w:t xml:space="preserve">отдельного разбора. В записи H-028 это отмечено как следующий шаг.</w:t>
      </w:r>
    </w:p>
    <w:bookmarkEnd w:id="13"/>
    <w:bookmarkStart w:id="14" w:name="что-это-даёт-прогнозу"/>
    <w:p>
      <w:pPr>
        <w:pStyle w:val="Heading1"/>
      </w:pPr>
      <w:r>
        <w:t xml:space="preserve">Что это даёт прогнозу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Величина переноса мала в масштабе рынка</w:t>
      </w:r>
      <w:r>
        <w:t xml:space="preserve">: около 6,5 % месячного объёма</w:t>
      </w:r>
      <w:r>
        <w:t xml:space="preserve"> </w:t>
      </w:r>
      <w:r>
        <w:t xml:space="preserve">заявок, а не половина месяца. Значит, основной эффект реформы в октябре будет</w:t>
      </w:r>
      <w:r>
        <w:t xml:space="preserve"> </w:t>
      </w:r>
      <w:r>
        <w:t xml:space="preserve">структурным (падение в когортах с 1–2 детьми), а не механическим следствием</w:t>
      </w:r>
      <w:r>
        <w:t xml:space="preserve"> </w:t>
      </w:r>
      <w:r>
        <w:t xml:space="preserve">переноса.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Для октября ожидается двойной спад</w:t>
      </w:r>
      <w:r>
        <w:t xml:space="preserve">: структурный эффект реформы плюс</w:t>
      </w:r>
      <w:r>
        <w:t xml:space="preserve"> </w:t>
      </w:r>
      <w:r>
        <w:t xml:space="preserve">отсутствие перенесённых заявок. Оценить второй компонент можно будет по</w:t>
      </w:r>
      <w:r>
        <w:t xml:space="preserve"> </w:t>
      </w:r>
      <w:r>
        <w:t xml:space="preserve">октябрьским данным: если выдачи упадут сильнее, чем предсказывает структурная</w:t>
      </w:r>
      <w:r>
        <w:t xml:space="preserve"> </w:t>
      </w:r>
      <w:r>
        <w:t xml:space="preserve">модель, разницу следует отнести к переносу.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Точка фиксации</w:t>
      </w:r>
      <w:r>
        <w:t xml:space="preserve">: замер сделан до появления октябрьских данных, что и</w:t>
      </w:r>
      <w:r>
        <w:t xml:space="preserve"> </w:t>
      </w:r>
      <w:r>
        <w:t xml:space="preserve">требовалось по дизайну.</w:t>
      </w:r>
    </w:p>
    <w:bookmarkEnd w:id="14"/>
    <w:bookmarkStart w:id="15" w:name="ограничения"/>
    <w:p>
      <w:pPr>
        <w:pStyle w:val="Heading1"/>
      </w:pPr>
      <w:r>
        <w:t xml:space="preserve">Ограничения</w:t>
      </w:r>
    </w:p>
    <w:p>
      <w:pPr>
        <w:pStyle w:val="Compact"/>
        <w:numPr>
          <w:ilvl w:val="0"/>
          <w:numId w:val="1002"/>
        </w:numPr>
      </w:pPr>
      <w:r>
        <w:t xml:space="preserve">Региональный разрез не использован: недельные данные сгруппированы по стране.</w:t>
      </w:r>
      <w:r>
        <w:t xml:space="preserve"> </w:t>
      </w:r>
      <w:r>
        <w:t xml:space="preserve">Региональный анализ переноса возможен, но требует отдельной обработки</w:t>
      </w:r>
      <w:r>
        <w:t xml:space="preserve"> </w:t>
      </w:r>
      <w:r>
        <w:t xml:space="preserve">(неравномерность отчётности по автономным округам).</w:t>
      </w:r>
    </w:p>
    <w:p>
      <w:pPr>
        <w:pStyle w:val="Compact"/>
        <w:numPr>
          <w:ilvl w:val="0"/>
          <w:numId w:val="1002"/>
        </w:numPr>
      </w:pPr>
      <w:r>
        <w:t xml:space="preserve">Снимок 20 сентября — последний доступный; недели 21–30 сентября (пик переноса</w:t>
      </w:r>
      <w:r>
        <w:t xml:space="preserve"> </w:t>
      </w:r>
      <w:r>
        <w:t xml:space="preserve">перед вступлением в силу) в измерение не попали. Их добавление увеличит оценку.</w:t>
      </w:r>
    </w:p>
    <w:p>
      <w:pPr>
        <w:pStyle w:val="Compact"/>
        <w:numPr>
          <w:ilvl w:val="0"/>
          <w:numId w:val="1002"/>
        </w:numPr>
      </w:pPr>
      <w:r>
        <w:t xml:space="preserve">Выдачи в недельных данных относятся к дате снимка, а не к дате сделки, поэтому</w:t>
      </w:r>
      <w:r>
        <w:t xml:space="preserve"> </w:t>
      </w:r>
      <w:r>
        <w:t xml:space="preserve">сравнение выдач с заявками имеет лаг неопределённой длины.</w:t>
      </w:r>
    </w:p>
    <w:p>
      <w:pPr>
        <w:pStyle w:val="Compact"/>
        <w:numPr>
          <w:ilvl w:val="0"/>
          <w:numId w:val="1002"/>
        </w:numPr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с ноября 2022 года, то есть сезонный индекс построен всего</w:t>
      </w:r>
      <w:r>
        <w:t xml:space="preserve"> </w:t>
      </w:r>
      <w:r>
        <w:t xml:space="preserve">по трём полным годам — отсюда и его шумность.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 предвосхищения реформы «Семейной ипотеки» 01.10.2026: измерение по недельным данным ДОМ.РФ</dc:title>
  <dc:creator/>
  <cp:keywords/>
  <dcterms:created xsi:type="dcterms:W3CDTF">2026-10-02T05:44:38Z</dcterms:created>
  <dcterms:modified xsi:type="dcterms:W3CDTF">2026-10-02T05:44:38Z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2026-10-01</vt:lpwstr>
  </property>
  <property fmtid="{D5CDD505-2E9C-101B-9397-08002B2CF9AE}" pid="3" name="sources">
    <vt:lpwstr/>
  </property>
  <property fmtid="{D5CDD505-2E9C-101B-9397-08002B2CF9AE}" pid="4" name="status">
    <vt:lpwstr>done</vt:lpwstr>
  </property>
  <property fmtid="{D5CDD505-2E9C-101B-9397-08002B2CF9AE}" pid="5" name="tags">
    <vt:lpwstr/>
  </property>
  <property fmtid="{D5CDD505-2E9C-101B-9397-08002B2CF9AE}" pid="6" name="task">
    <vt:lpwstr>этап 3 дизайна (queries/dizayn-prognoz-spros-pervichka-reforma-2026.md)</vt:lpwstr>
  </property>
  <property fmtid="{D5CDD505-2E9C-101B-9397-08002B2CF9AE}" pid="7" name="type">
    <vt:lpwstr>note</vt:lpwstr>
  </property>
</Properties>
</file>