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Роль территориальных учреждений Банка России: тезисная справка</w:t>
      </w:r>
    </w:p>
    <w:p>
      <w:r>
        <w:rPr>
          <w:b/>
        </w:rPr>
        <w:t>Адресат:</w:t>
      </w:r>
      <w:r>
        <w:t xml:space="preserve"> руководство Банка России. </w:t>
      </w:r>
      <w:r>
        <w:rPr>
          <w:b/>
        </w:rPr>
        <w:t>Назначение:</w:t>
      </w:r>
      <w:r>
        <w:t xml:space="preserve"> актуализация понимания роли территориальных учреждений (ТУ) и подготовка возможной доработки Положения Банка России от 14.01.2026 № 880-П «О территориальных учреждениях Банка России». </w:t>
      </w:r>
      <w:r>
        <w:rPr>
          <w:b/>
        </w:rPr>
        <w:t>Основание:</w:t>
      </w:r>
      <w:r>
        <w:t xml:space="preserve"> обзор </w:t>
      </w:r>
      <w:r>
        <w:rPr>
          <w:rFonts w:ascii="Consolas" w:hAnsi="Consolas"/>
        </w:rPr>
        <w:t>queries/territorial-presence-central-banks-20261026.md</w:t>
      </w:r>
      <w:r>
        <w:t xml:space="preserve"> (версия 2 от 29.10.2026). </w:t>
      </w:r>
      <w:r>
        <w:rPr>
          <w:b/>
        </w:rPr>
        <w:t>Статус:</w:t>
      </w:r>
      <w:r>
        <w:t xml:space="preserve"> аналитическая записка, авторский синтез; не официальная позиция Банка России и не юридическое заключение. </w:t>
      </w:r>
      <w:r>
        <w:rPr>
          <w:b/>
        </w:rPr>
        <w:t>Как читать:</w:t>
      </w:r>
      <w:r>
        <w:t xml:space="preserve"> для решения достаточно разделов 1, 6 и 7; разделы 2–5 — обоснование, разделы 8–9 — проверка до запуска.</w:t>
      </w:r>
    </w:p>
    <w:p>
      <w:pPr>
        <w:pStyle w:val="Heading2"/>
      </w:pPr>
      <w:r>
        <w:t>1. Главное в десяти тезисах</w:t>
      </w:r>
    </w:p>
    <w:p>
      <w:pPr>
        <w:pStyle w:val="ListNumber"/>
      </w:pPr>
      <w:r>
        <w:rPr>
          <w:b/>
        </w:rPr>
        <w:t>Задачи ТУ в 880-П сформулированы через «участие» и не описывают продукт.</w:t>
      </w:r>
      <w:r>
        <w:t xml:space="preserve"> Пункт 1.4 перечисляет четыре области участия, а раздел 2 раскрывает их как набор функций. Ни одна из норм не устанавливает, что именно ТУ предоставляет внешним адресатам — от населения и бизнеса до органов власти, — в каком формате, в какие сроки и с какой ответственностью. Из-за этого одна и та же работа в разных регионах выглядит по-разному, а её результат не проверяем.</w:t>
      </w:r>
    </w:p>
    <w:p>
      <w:pPr>
        <w:pStyle w:val="ListNumber"/>
      </w:pPr>
      <w:r>
        <w:rPr>
          <w:b/>
        </w:rPr>
        <w:t>Разъяснительная функция не описана как продукт и не привязана к группам потребителей.</w:t>
      </w:r>
      <w:r>
        <w:t xml:space="preserve"> Слово «консультационная» встречается один раз — в п. 2.13, применительно к поддержке педагогического сообщества; собственно информирование и разъяснение закреплены в пяти местах (п. 1.5, 2.1.6, 2.11, 2.12, 2.13), но как каналы коммуникации, а не как продукт с регламентом. Ни один пункт не определяет, для кого готовятся материалы — население, бизнес, СМИ, школы или органы власти — и что адресат получает.</w:t>
      </w:r>
    </w:p>
    <w:p>
      <w:pPr>
        <w:pStyle w:val="ListNumber"/>
      </w:pPr>
      <w:r>
        <w:rPr>
          <w:b/>
        </w:rPr>
        <w:t>Пять текущих задач ТУ — визуальный контроль финансовых организаций, рассмотрение административных дел, региональный анализ и исследования в целях ДКП, финансовая грамотность, финансовая доступность — покрываются Положением, но с разной степенью детализации.</w:t>
      </w:r>
      <w:r>
        <w:t xml:space="preserve"> Аналитика прописана наиболее подробно (п. 2.1.1–2.1.7, 2.10), надзор и административное производство — через отсылки (п. 2.7, 2.9.5, 2.17.14), финграмотность и доступность — как деятельность с перечнем мероприятий (п. 2.11, 2.13). Термина «визуальный контроль» в тексте Положения нет: это внутреннее или разговорное наименование, требующее сверки с распорядительными актами.</w:t>
      </w:r>
    </w:p>
    <w:p>
      <w:pPr>
        <w:pStyle w:val="ListNumber"/>
      </w:pPr>
      <w:r>
        <w:rPr>
          <w:b/>
        </w:rPr>
        <w:t>В одних и тех же учреждениях совмещены экспертно-коммуникационные и юрисдикционно-надзорные роли.</w:t>
      </w:r>
      <w:r>
        <w:t xml:space="preserve"> Пункты 2.7 (контроль и надзор за эмитентами, включая проверки), 2.9.5 (производство по делам об административных правонарушениях) и 2.17.14 (поддержка принятия надзорных решений) соседствуют с функциями анализа и коммуникаций. Это главный источник риска при любом расширении разъяснительной работы с любыми внешними адресами.</w:t>
      </w:r>
    </w:p>
    <w:p>
      <w:pPr>
        <w:pStyle w:val="ListNumber"/>
      </w:pPr>
      <w:r>
        <w:rPr>
          <w:b/>
        </w:rPr>
        <w:t>Международный опыт не даёт модели «консультационного центра» ни для одной группы адресатов.</w:t>
      </w:r>
      <w:r>
        <w:t xml:space="preserve"> Ни один из изученных центральных банков не консультирует по финансовым решениям: все держат границу между публичной экспертизой и рекомендацией. Показательно, что работа строится именно с широким кругом — Банк Англии через агентства говорит с предприятиями, торговыми ассоциациями и общественными организациями, а не с одним привилегированным адресатом. Наиболее близкие формы — публичная территориальная экспертиза Banca d'Italia и функция community development Федеральной резервной системы США, где продукт адресован местным сообществам, но не содержит советов по сделкам.</w:t>
      </w:r>
    </w:p>
    <w:p>
      <w:pPr>
        <w:pStyle w:val="ListNumber"/>
      </w:pPr>
      <w:r>
        <w:rPr>
          <w:b/>
        </w:rPr>
        <w:t>Предлагаемое решение — не новое полномочие, а оформление существующего.</w:t>
      </w:r>
      <w:r>
        <w:t xml:space="preserve"> Публичный разъяснительный контур для всех групп потребителей собирается из п. 1.5, 2.1.6, 2.11, 2.12, 2.13 и требует организационного решения: регламента, выделенной роли, методического владельца и обучения. Изменение закона не требуется; доработка Положения — вопрос точности формулировки, а не расширения мандата.</w:t>
      </w:r>
    </w:p>
    <w:p>
      <w:pPr>
        <w:pStyle w:val="ListNumber"/>
      </w:pPr>
      <w:r>
        <w:rPr>
          <w:b/>
        </w:rPr>
        <w:t>Цена решения невелика, риск — управляем.</w:t>
      </w:r>
      <w:r>
        <w:t xml:space="preserve"> Основные издержки — время сотрудников ТУ и координация с центральным аппаратом. Основные риски — восприятие разъяснения как индивидуальной рекомендации (население и бизнес спрашивают «что делать мне»), утечка надзорных сигналов и политизация материалов. Все три закрываются регламентом, информационным барьером и единым стандартом ответа, а не запретом направления.</w:t>
      </w:r>
    </w:p>
    <w:p>
      <w:pPr>
        <w:pStyle w:val="ListNumber"/>
      </w:pPr>
      <w:r>
        <w:rPr>
          <w:b/>
        </w:rPr>
        <w:t>Региональный доклад — сильный сбор наблюдений и слабый аналитический документ.</w:t>
      </w:r>
      <w:r>
        <w:t xml:space="preserve"> Замечание пользователей о том, что он «слишком размытый и не конкретный», подтверждается структурой выпуска № 47 (70 страниц): в нём нет ни резюме, ни выводов, а региональные разделы не цитируют числа из собственной таблицы показателей. Доработка не требует новых данных — требуется формат (раздел 5).</w:t>
      </w:r>
    </w:p>
    <w:p>
      <w:pPr>
        <w:pStyle w:val="ListNumber"/>
      </w:pPr>
      <w:r>
        <w:rPr>
          <w:b/>
        </w:rPr>
        <w:t>Публичная диагностика немонетарных факторов — самая чувствительная часть набора, но у неё есть готовая основа.</w:t>
      </w:r>
      <w:r>
        <w:t xml:space="preserve"> Банк России уже выпускал доклады на эту тему (2017 и 2019 годы), и во втором прямо указано, что анализ региональной специфики немонетарных факторов ведут территориальные учреждения, в том числе для внедрения стандарта развития конкуренции. После 2019 года доклад не обновлялся, а регулярного регионального продукта не появилось. Главный вопрос здесь не методический, а репутационный: как публично называть решения региональных властей фактором инфляции, не выходя за границу «не оцениваем политику органов власти» (раздел 4.6).</w:t>
      </w:r>
    </w:p>
    <w:p>
      <w:pPr>
        <w:pStyle w:val="ListNumber"/>
      </w:pPr>
      <w:r>
        <w:rPr>
          <w:b/>
        </w:rPr>
        <w:t>Практика опережает норму — это видно по отчётности одного отделения.</w:t>
      </w:r>
      <w:r>
        <w:t xml:space="preserve"> Срез по Отделению-НБ Республика Башкортостан за 9 месяцев 2026 года показывает: материалы к 6 заседаниям Совета директоров, четыре встречи с бизнес-ассоциациями с анкетированием, отраслевая врезка по строительству в региональный доклад, 15 лекций в трудовых коллективах при 80 % охвате, прирост финансовой доступности на 4,2 процентного пункта против целевых 2. Всё это уже делается, но существует как отчётность, а не как оформленный публичный продукт; и ни один показатель по немонетарным факторам инфляции в ней не встречается (раздел 2, «Что уже делается на практике»).</w:t>
      </w:r>
    </w:p>
    <w:p>
      <w:pPr>
        <w:pStyle w:val="Heading2"/>
      </w:pPr>
      <w:r>
        <w:t>2. Исходная точка: что закреплено сейчас</w:t>
      </w:r>
    </w:p>
    <w:p>
      <w:r>
        <w:rPr>
          <w:b/>
        </w:rPr>
        <w:t>Задачи ТУ (п. 1.4, дословно):</w:t>
      </w:r>
      <w:r>
        <w:t xml:space="preserve"> «участие в информационно-аналитической поддержке и коммуникациях по денежно-кредитной политике, участие в организации наличного денежного обращения, участие в обеспечении стабильности и развитии национальной платежной системы, а также участие в развитии финансового рынка Российской Федерации в субъекте (субъектах) Российской Федерации».</w:t>
      </w:r>
    </w:p>
    <w:p>
      <w:r>
        <w:rPr>
          <w:b/>
        </w:rPr>
        <w:t>Правовой статус (п. 1.1):</w:t>
      </w:r>
      <w:r>
        <w:t xml:space="preserve"> территориальное учреждение — обособленное подразделение Банка России в единой централизованной системе с вертикальной структурой управления; статуса юридического лица не имеет, и это относится ко всем звеньям системы — юридическим лицом является Банк России. Руководитель территориального учреждения действует от имени Банка России на основании Положения и доверенности (п. 1.12).</w:t>
      </w:r>
    </w:p>
    <w:p>
      <w:r>
        <w:rPr>
          <w:b/>
        </w:rPr>
        <w:t>Структура ТУ не однородна, и для вопроса о выпуске материалов это решающее обстоятельство.</w:t>
      </w:r>
      <w:r>
        <w:t xml:space="preserve"> ТУ включает главные управления, отделения и отделения — национальные банки главных управлений (п. 1.1). Главное управление — самостоятельное обособленное подразделение, действующее в регионе, объединяющем территории нескольких субъектов, и его подведомственная территория включает территории входящих в его состав отделений. Отделение — обособленное подразделение, которое действует </w:t>
      </w:r>
      <w:r>
        <w:rPr>
          <w:b/>
        </w:rPr>
        <w:t>в составе главного управления</w:t>
      </w:r>
      <w:r>
        <w:t xml:space="preserve"> и осуществляет часть функций Банка России на территории субъекта. Главное управление организует, координирует и контролирует деятельность отделений и вправе определять их полномочия и функции изданием организационно-распорядительных документов (п. 1.7); глава 3 Положения возлагает на отделение функции по денежно-кредитной политике в объёме пункта 2.1.</w:t>
      </w:r>
    </w:p>
    <w:p>
      <w:r>
        <w:rPr>
          <w:b/>
        </w:rPr>
        <w:t>Практический вывод:</w:t>
      </w:r>
      <w:r>
        <w:t xml:space="preserve"> отсутствие статуса юридического лица не мешает выпуску материалов, но определяет, от чьего имени они выходят. Главное управление — то звено, которое обладает собственной компетенцией, подведомственной территорией и правом издавать распорядительные документы для своих отделений, поэтому аналитические и разъяснительные материалы, подготовленные в регионе, </w:t>
      </w:r>
      <w:r>
        <w:rPr>
          <w:b/>
        </w:rPr>
        <w:t>выпускаются от имени главного управления</w:t>
      </w:r>
      <w:r>
        <w:t>; материалы отделения выходят от имени главного управления, в составе которого оно действует, а не от имени отделения. Формулировка «от имени Банка России» требует доверенности и применяется к действиям руководителя ТУ, а не к авторству аналитического материала.</w:t>
      </w:r>
    </w:p>
    <w:p>
      <w:r>
        <w:rPr>
          <w:b/>
        </w:rPr>
        <w:t>Функциональная карта по действующим задачам:</w:t>
      </w:r>
    </w:p>
    <w:p>
      <w:pPr>
        <w:pStyle w:val="ListBullet"/>
      </w:pPr>
      <w:r>
        <w:rPr>
          <w:b/>
        </w:rPr>
        <w:t>региональный анализ и исследования в целях ДКП</w:t>
      </w:r>
      <w:r>
        <w:t xml:space="preserve"> — п. 2.1.1 (сбор и анализ данных о социально-экономических и финансовых условиях территории, тематические исследования), 2.1.2 (моделирование и прогнозирование, материалы к предварительным совещаниям перед заседанием Совета директоров по ключевой ставке), 2.1.3 (мониторинг предприятий, оперативные опросы), 2.1.4 (отраслевой анализ), 2.1.5 (аналитические материалы), 2.1.7 (обследования условий банковского кредитования), 2.10 (статистическая деятельность);</w:t>
      </w:r>
    </w:p>
    <w:p>
      <w:pPr>
        <w:pStyle w:val="ListBullet"/>
      </w:pPr>
      <w:r>
        <w:rPr>
          <w:b/>
        </w:rPr>
        <w:t>визуальный контроль финансовых организаций</w:t>
      </w:r>
      <w:r>
        <w:t xml:space="preserve"> — п. 2.7 (регистрация выпусков, контроль и надзор за эмитентами и участниками корпоративных отношений, включая проверки, если функции не переданы в хаб) и п. 2.17.14 (мероприятия по поддержке принятия надзорных решений);</w:t>
      </w:r>
    </w:p>
    <w:p>
      <w:pPr>
        <w:pStyle w:val="ListBullet"/>
      </w:pPr>
      <w:r>
        <w:rPr>
          <w:b/>
        </w:rPr>
        <w:t>рассмотрение административных дел</w:t>
      </w:r>
      <w:r>
        <w:t xml:space="preserve"> — п. 2.9.5 и ст. 23.74 КоАП РФ;</w:t>
      </w:r>
    </w:p>
    <w:p>
      <w:pPr>
        <w:pStyle w:val="ListBullet"/>
      </w:pPr>
      <w:r>
        <w:rPr>
          <w:b/>
        </w:rPr>
        <w:t>финансовая грамотность</w:t>
      </w:r>
      <w:r>
        <w:t xml:space="preserve"> — п. 2.13 (региональные программы, межведомственные координационные органы, методологическая поддержка педагогического сообщества);</w:t>
      </w:r>
    </w:p>
    <w:p>
      <w:pPr>
        <w:pStyle w:val="ListBullet"/>
      </w:pPr>
      <w:r>
        <w:rPr>
          <w:b/>
        </w:rPr>
        <w:t>финансовая доступность</w:t>
      </w:r>
      <w:r>
        <w:t xml:space="preserve"> — п. 2.11 (сельская местность, отдалённые и малонаселённые территории, анализ инфраструктуры, информационно-аналитические материалы);</w:t>
      </w:r>
    </w:p>
    <w:p>
      <w:pPr>
        <w:pStyle w:val="ListBullet"/>
      </w:pPr>
      <w:r>
        <w:rPr>
          <w:b/>
        </w:rPr>
        <w:t>коммуникации и разъяснение решений</w:t>
      </w:r>
      <w:r>
        <w:t xml:space="preserve"> (в постановке отдельно не названы, но закреплены) — п. 1.5, 2.1.6, 2.12.</w:t>
      </w:r>
    </w:p>
    <w:p>
      <w:r>
        <w:rPr>
          <w:b/>
        </w:rPr>
        <w:t>Что уже производится публично.</w:t>
      </w:r>
      <w:r>
        <w:t xml:space="preserve"> Доклад «Региональная экономика: комментарии ГУ» — ежемесячный, готовится экономическими подразделениями ТУ, архив с 2020 года, в 2026 году размещены выпуски за февраль, март, апрель, июнь, июль, сентябрь и октябрь (страница обновлена 14.10.2026). Индикаторы финансовой доступности за 2025 год опубликованы отдельным выпуском (страница обновлена 17.07.2026); обзоры состояния финансовой доступности — за 2015–2018 годы. Вывод: дефицит не в данных, а в формате подачи для конкретного потребителя — органа власти субъекта.</w:t>
      </w:r>
    </w:p>
    <w:p>
      <w:r>
        <w:rPr>
          <w:b/>
        </w:rPr>
        <w:t>Что уже делается на практике.</w:t>
      </w:r>
      <w:r>
        <w:t xml:space="preserve"> Ниже — срез по Отделению-НБ Республика Башкортостан за 9 месяцев 2026 года по внутренним материалам Отделения (предварительные итоги, не публикуются; имена и служебные номера не приводятся). Срез важен тем, что показывает: почти все предлагаемые направления уже существуют как работа, но не как оформленный продукт.</w:t>
      </w:r>
    </w:p>
    <w:p>
      <w:pPr>
        <w:pStyle w:val="ListBullet"/>
      </w:pPr>
      <w:r>
        <w:rPr>
          <w:b/>
        </w:rPr>
        <w:t>Региональный анализ и ДКП (направление 4.1).</w:t>
      </w:r>
      <w:r>
        <w:t xml:space="preserve"> Материалы подготовлены к 6 заседаниям Совета директоров; проведены 4 рабочие встречи с бизнес-ассоциациями (27.01, 07.04, 06.07 и 02.10.2026) с анкетированием, результаты учтены в материалах; по заказам центрального аппарата проведены дополнительные оперативные опросы (шаблон ДДКП, розничная торговля, климатическая повестка, осведомлённость об инструментах рынка капитала); обеспечена репрезентативность выборки мониторинга при выбытии участников.</w:t>
      </w:r>
    </w:p>
    <w:p>
      <w:pPr>
        <w:pStyle w:val="ListBullet"/>
      </w:pPr>
      <w:r>
        <w:rPr>
          <w:b/>
        </w:rPr>
        <w:t>Отраслевая специализация «Строительство» (направления 4.1 и 4.2).</w:t>
      </w:r>
      <w:r>
        <w:t xml:space="preserve"> За 9 месяцев: сюжет в «Отраслевой анализ: Q&amp;A» по рынку новостроек (выпуск от 05.06.2026), 3 квартальных Info Watch «Жилищное строительство: Россия в целом и регионы», отраслевая врезка в доклад «Региональная экономика: комментарии ГУ» (выпуск от 10.06.2026), 7 дайджестов по сегментам отрасли, профиль отрасли, краткосрочный прогноз продаж жилья, 8 дашбордов по жилищному строительству и 1 по нежилищному, доработка 3 дашбордов. Это готовый образец того, как отраслевая врезка выглядит при наличии специализации.</w:t>
      </w:r>
    </w:p>
    <w:p>
      <w:pPr>
        <w:pStyle w:val="ListBullet"/>
      </w:pPr>
      <w:r>
        <w:rPr>
          <w:b/>
        </w:rPr>
        <w:t>Разъяснительная работа и академическое сообщество (направление 4.5).</w:t>
      </w:r>
      <w:r>
        <w:t xml:space="preserve"> Два коммуникационных мероприятия для преподавателей и студентов вузов и ссузов по тематике ДКП; 4 команды вузов республики в федеральном проекте «Антимифы ДКП»; всероссийская научно-практическая конференция 26–27 марта 2026 года с участием более 400 представителей госорганов, бизнеса, ассоциаций и вузов; коммуникационная сессия для академического сообщества с презентацией учебно-методических материалов (14.10.2026); участие в региональных мероприятиях — СМИ, коллегии и совещания в региональных органах власти, отраслевые форумы.</w:t>
      </w:r>
    </w:p>
    <w:p>
      <w:pPr>
        <w:pStyle w:val="ListBullet"/>
      </w:pPr>
      <w:r>
        <w:rPr>
          <w:b/>
        </w:rPr>
        <w:t>Финансовая грамотность (направление 4.4).</w:t>
      </w:r>
      <w:r>
        <w:t xml:space="preserve"> Программа для персонала крупной компании: 15 лекций в трудовых коллективах при 80 % охвата целевых групп, 8 видеороликов и 2 тыс. листовок; проекты «Территория без дроппов» и «Финансовый экспресс»; информационная кампания по олимпиадному движению; рост участия населения во всероссийском финансовом зачёте на фоне общего снижения интереса по стране.</w:t>
      </w:r>
    </w:p>
    <w:p>
      <w:pPr>
        <w:pStyle w:val="ListBullet"/>
      </w:pPr>
      <w:r>
        <w:rPr>
          <w:b/>
        </w:rPr>
        <w:t>Финансовая доступность (направление 4.4).</w:t>
      </w:r>
      <w:r>
        <w:t xml:space="preserve"> Прирост коэффициента финансовой доступности на 4,2 процентного пункта против целевых 2; пять новых точек онлайн-доступа; оценка востребованности 24 действующих точек; информационные карточки для 63 муниципальных образований; изменение графиков работы отделений банка и почты в 9 муниципальных образованиях; опыт работы с «Почтой России» вынесен на федеральный уровень (12.10.2026).</w:t>
      </w:r>
    </w:p>
    <w:p>
      <w:pPr>
        <w:pStyle w:val="ListBullet"/>
      </w:pPr>
      <w:r>
        <w:rPr>
          <w:b/>
        </w:rPr>
        <w:t>Надзорные и юрисдикционные функции (тезис 4).</w:t>
      </w:r>
      <w:r>
        <w:t xml:space="preserve"> 190 мероприятий визуального контроля, выявлено 57 нарушений. По делам об административных правонарушениях рассмотрено 324 материала (321 за тот же период 2025 года), составлено 116 протоколов (181), вынесено 102 постановления (134) и 218 определений об отказе (178), обжаловано 12 процессуальных документов (14). Снижение числа протоколов при росте отказов — самостоятельный сюжет, но для справки важен сам факт: надзорный и разъяснительный контуры работают в одном подразделении.</w:t>
      </w:r>
    </w:p>
    <w:p>
      <w:pPr>
        <w:pStyle w:val="ListBullet"/>
      </w:pPr>
      <w:r>
        <w:rPr>
          <w:b/>
        </w:rPr>
        <w:t>Платёжная инфраструктура и финансовый рынок.</w:t>
      </w:r>
      <w:r>
        <w:t xml:space="preserve"> КПЭ по популяризации СБП и цифрового рубля перевыполнен в 4,5 раза (46 мероприятий вместо 10), республика заняла 4-е место в стране по доле юридических лиц и индивидуальных предпринимателей, использующих B2B СБП (на 01.10.2026); работа по партнерскому финансированию и по стимулированию первичных размещений акций ведётся с региональными органами власти, включая созданную рабочую группу при правительстве республики.</w:t>
      </w:r>
    </w:p>
    <w:p>
      <w:pPr>
        <w:pStyle w:val="ListBullet"/>
      </w:pPr>
      <w:r>
        <w:rPr>
          <w:b/>
        </w:rPr>
        <w:t>Работа с населением и СМИ.</w:t>
      </w:r>
      <w:r>
        <w:t xml:space="preserve"> Более 1000 материалов в СМИ и более 2400 в социальных сетях за 9 месяцев; пресс-завтрак с 20 главными редакторами; два креативных проекта по ДКП с региональной газетой и крупным сообществом; музей — 134 экскурсии и 2 480 посетителей; онлайн-курс по противодействию дропперству, который прошли более 6 500 граждан.</w:t>
      </w:r>
    </w:p>
    <w:p>
      <w:r>
        <w:rPr>
          <w:b/>
        </w:rPr>
        <w:t>Что из этого следует для предложений.</w:t>
      </w:r>
      <w:r>
        <w:t xml:space="preserve"> Во-первых, направления 4.1–4.5 не гипотетические: они уже выполняются, а дефицит — в оформлении (нет единого продукта, адресованного внешним группам, и нет публичного формата). Во-вторых, ни в одном разделе отчёта нет ни одного показателя по немонетарным факторам инфляции — это подтверждает, что направление 4.6 действительно новое, а не переупаковка текущей работы. В-третьих, результативность измеряется числом мероприятий: КПЭ «46 вместо 10» перевыполнен, но о том, изменилось ли понимание аудитории, отчётность не говорит — ровно поэтому в разделе 9 предложен тест на понимание, а не счётчик встреч. В-четвёртых, значительная часть работы адресована органам власти и бизнес-ассоциациям, тогда как население и малый бизнес получают в основном разовые акции, — это и есть тот перекос охвата, который устраняет принцип равенства адресатов (направление 4.5).</w:t>
      </w:r>
    </w:p>
    <w:p>
      <w:pPr>
        <w:pStyle w:val="Heading2"/>
      </w:pPr>
      <w:r>
        <w:t>3. Международный опыт: что переносимо, а что нет</w:t>
      </w:r>
    </w:p>
    <w:p>
      <w:r>
        <w:rPr>
          <w:b/>
        </w:rPr>
        <w:t>США, Федеральная резервная система.</w:t>
      </w:r>
      <w:r>
        <w:t xml:space="preserve"> Двенадцать резервных банков с собственными органами управления; Бежевая книга (Beige Book) собирает качественные сведения о конъюнктуре по округам и встроена в цикл заседаний FOMC (Федеральный комитет по открытому рынку). Отдельно существует функция community development: резервные банки предоставляют данные и аналитические инструменты публике и местным сообществам, ведут исследования и организуют встречи заинтересованных сторон. </w:t>
      </w:r>
      <w:r>
        <w:rPr>
          <w:i/>
        </w:rPr>
        <w:t>Переносимо:</w:t>
      </w:r>
      <w:r>
        <w:t xml:space="preserve"> разделение «внутренний конъюнктурный сбор» и «публичная экспертиза для местных сообществ», а также формат готовых инструментов вместо индивидуальных советов. </w:t>
      </w:r>
      <w:r>
        <w:rPr>
          <w:i/>
        </w:rPr>
        <w:t>Не переносимо:</w:t>
      </w:r>
      <w:r>
        <w:t xml:space="preserve"> институциональная конструкция резервных банков.</w:t>
      </w:r>
    </w:p>
    <w:p>
      <w:r>
        <w:rPr>
          <w:b/>
        </w:rPr>
        <w:t>Великобритания, Банк Англии.</w:t>
      </w:r>
      <w:r>
        <w:t xml:space="preserve"> Двенадцать агентств по стране; агенты проводят конфиденциальные встречи с предприятиями и общественными организациями и передают сведения комитетам по денежной политике, финансовой стабильности и пруденциальному регулированию. Заявленные масштабы: порядка 6 000 обсуждений, порядка 500 презентаций и около 60 поездок политиков в год. </w:t>
      </w:r>
      <w:r>
        <w:rPr>
          <w:i/>
        </w:rPr>
        <w:t>Переносимо:</w:t>
      </w:r>
      <w:r>
        <w:t xml:space="preserve"> конфиденциальность контактов и обязанность передавать сигнал в решения, а не публиковать его. </w:t>
      </w:r>
      <w:r>
        <w:rPr>
          <w:i/>
        </w:rPr>
        <w:t>Не переносимо:</w:t>
      </w:r>
      <w:r>
        <w:t xml:space="preserve"> масштаб — он определяется ресурсом, а не моделью.</w:t>
      </w:r>
    </w:p>
    <w:p>
      <w:r>
        <w:rPr>
          <w:b/>
        </w:rPr>
        <w:t>Италия, Banca d'Italia.</w:t>
      </w:r>
      <w:r>
        <w:t xml:space="preserve"> Территориальная сеть исследований готовит ежегодные отчёты об экономике каждого региона (публикуются в июне) и последующие тематические материалы. </w:t>
      </w:r>
      <w:r>
        <w:rPr>
          <w:i/>
        </w:rPr>
        <w:t>Переносимо:</w:t>
      </w:r>
      <w:r>
        <w:t xml:space="preserve"> идея «одна территория — один регулярный отчёт с фиксированной датой», что делает экспертизу предсказуемой для органов власти. </w:t>
      </w:r>
      <w:r>
        <w:rPr>
          <w:i/>
        </w:rPr>
        <w:t>Не переносимо:</w:t>
      </w:r>
      <w:r>
        <w:t xml:space="preserve"> бюджет и кадровая обеспеченность сети.</w:t>
      </w:r>
    </w:p>
    <w:p>
      <w:r>
        <w:rPr>
          <w:b/>
        </w:rPr>
        <w:t>Германия и еврозона.</w:t>
      </w:r>
      <w:r>
        <w:t xml:space="preserve"> Bundesbank работает примерно в 40 локациях (точное число филиалов официально не фиксируется); надзор в еврозоне организован через совместные надзорные группы (Joint Supervisory Teams), то есть надзорная функция выведена на наднациональный уровень. </w:t>
      </w:r>
      <w:r>
        <w:rPr>
          <w:i/>
        </w:rPr>
        <w:t>Переносимо:</w:t>
      </w:r>
      <w:r>
        <w:t xml:space="preserve"> разделение операционной сети и надзорной вертикали — надзор не «привязан» к территории. </w:t>
      </w:r>
      <w:r>
        <w:rPr>
          <w:i/>
        </w:rPr>
        <w:t>Не переносимо:</w:t>
      </w:r>
      <w:r>
        <w:t xml:space="preserve"> наднациональная конструкция.</w:t>
      </w:r>
    </w:p>
    <w:p>
      <w:r>
        <w:rPr>
          <w:b/>
        </w:rPr>
        <w:t>Австралия, Reserve Bank of Australia.</w:t>
      </w:r>
      <w:r>
        <w:t xml:space="preserve"> Программа связей с предприятиями, отраслевыми объединениями, органами власти и общественными организациями; часть работы выполняют небольшие региональные офисы. Банк прямо описывает контакты как дополнение к статистике и моделям, а не как регуляторное полномочие. </w:t>
      </w:r>
      <w:r>
        <w:rPr>
          <w:i/>
        </w:rPr>
        <w:t>Переносимо:</w:t>
      </w:r>
      <w:r>
        <w:t xml:space="preserve"> компактность и явная формулировка «это дополнение к данным, а не полномочие».</w:t>
      </w:r>
    </w:p>
    <w:p>
      <w:r>
        <w:rPr>
          <w:b/>
        </w:rPr>
        <w:t>Индия, RBI.</w:t>
      </w:r>
      <w:r>
        <w:t xml:space="preserve"> Присутствие в 34 локациях; местные советы (Local Boards) — отдельный институт: четыре совета, по пять членов, назначаемых центральным правительством на четыре года, с ограничением общего срока восемью годами; совет консультирует Центральный совет по переданным вопросам. </w:t>
      </w:r>
      <w:r>
        <w:rPr>
          <w:i/>
        </w:rPr>
        <w:t>Переносимо:</w:t>
      </w:r>
      <w:r>
        <w:t xml:space="preserve"> идея совещательного органа с ограниченным сроком полномочий и без права на политику. </w:t>
      </w:r>
      <w:r>
        <w:rPr>
          <w:i/>
        </w:rPr>
        <w:t>Не переносимо:</w:t>
      </w:r>
      <w:r>
        <w:t xml:space="preserve"> сам институт — он не является органом денежно-кредитной политики и работает в иной правовой традиции.</w:t>
      </w:r>
    </w:p>
    <w:p>
      <w:r>
        <w:rPr>
          <w:b/>
        </w:rPr>
        <w:t>Бразилия, BCB.</w:t>
      </w:r>
      <w:r>
        <w:t xml:space="preserve"> Девять региональных представительств: обеспечение наличными, изучение региональной конъюнктуры, инспектирование финансовых учреждений. </w:t>
      </w:r>
      <w:r>
        <w:rPr>
          <w:i/>
        </w:rPr>
        <w:t>Переносимо:</w:t>
      </w:r>
      <w:r>
        <w:t xml:space="preserve"> сочетание операционной, аналитической и инспекционной функций в одном офисе — то же, что и в России, с теми же рисками совмещения.</w:t>
      </w:r>
    </w:p>
    <w:p>
      <w:r>
        <w:rPr>
          <w:b/>
        </w:rPr>
        <w:t>Китай, Народный банк Китая.</w:t>
      </w:r>
      <w:r>
        <w:t xml:space="preserve"> Реформа 2023 года: возвращение к провинциальному уровню, упразднение уездных подразделений; по сообщениям People's Daily и Xinhua о запуске новой сети 18.08.2023 — 31 провинциальный филиал, пять филиалов в городах с отдельным плановым статусом, 317 филиалов уровня префектур. </w:t>
      </w:r>
      <w:r>
        <w:rPr>
          <w:i/>
        </w:rPr>
        <w:t>Вывод:</w:t>
      </w:r>
      <w:r>
        <w:t xml:space="preserve"> укрупнение сети — мировой тренд, но результаты реформы независимыми оценками не подтверждены.</w:t>
      </w:r>
    </w:p>
    <w:p>
      <w:r>
        <w:rPr>
          <w:b/>
        </w:rPr>
        <w:t>Общий вывод по международному опыту.</w:t>
      </w:r>
      <w:r>
        <w:t xml:space="preserve"> Территориальная сеть везде выполняет одно из трёх: сбор сведений для решений, операционное обслуживание, публичную экспертизу. Ни одна модель не даёт региональным властям индивидуальных финансовых рекомендаций. Российская конструкция ближе всего к бразильской по составу функций и к итальянской по потенциалу публичной региональной экспертизы.</w:t>
      </w:r>
    </w:p>
    <w:p>
      <w:pPr>
        <w:pStyle w:val="Heading2"/>
      </w:pPr>
      <w:r>
        <w:t>4. Предлагаемые задачи: шесть направлений</w:t>
      </w:r>
    </w:p>
    <w:p>
      <w:r>
        <w:t>Направления упорядочены по убыванию близости к действующим нормам. Первое — продолжение уже закреплённой работы, пятое и шестое — новое оформление существующих функций.</w:t>
      </w:r>
    </w:p>
    <w:p>
      <w:r>
        <w:rPr>
          <w:b/>
        </w:rPr>
        <w:t>4.1. Стандартизированный региональный мониторинг конъюнктуры.</w:t>
      </w:r>
      <w:r>
        <w:t xml:space="preserve"> Повторяемая панель контактов с предприятиями разных размеров и отраслей, банками, застройщиками, домохозяйствами; единый опросник и протокол интервью; качественные сигналы хранятся отдельно от официальной статистики, с датой, географией, отраслью и оценкой неопределённости. </w:t>
      </w:r>
      <w:r>
        <w:rPr>
          <w:i/>
        </w:rPr>
        <w:t>Опора:</w:t>
      </w:r>
      <w:r>
        <w:t xml:space="preserve"> п. 2.1.1, 2.1.3, 2.1.6. </w:t>
      </w:r>
      <w:r>
        <w:rPr>
          <w:i/>
        </w:rPr>
        <w:t>Критерий приёмки:</w:t>
      </w:r>
      <w:r>
        <w:t xml:space="preserve"> соблюдение календаря и полноты панели, доля сигналов, подтверждённых официальными данными впоследствии.</w:t>
      </w:r>
    </w:p>
    <w:p>
      <w:r>
        <w:rPr>
          <w:b/>
        </w:rPr>
        <w:t>4.2. Развитие доклада «Региональная экономика: комментарии ГУ».</w:t>
      </w:r>
      <w:r>
        <w:t xml:space="preserve"> Не новый продукт, а доработка существующего: фиксированный календарь, единая методика, явное разделение «данные / экспертная оценка / неустановленное», связь с центральным аналитическим циклом. </w:t>
      </w:r>
      <w:r>
        <w:rPr>
          <w:i/>
        </w:rPr>
        <w:t>Опора:</w:t>
      </w:r>
      <w:r>
        <w:t xml:space="preserve"> п. 2.1.5, 2.12. </w:t>
      </w:r>
      <w:r>
        <w:rPr>
          <w:i/>
        </w:rPr>
        <w:t>Критерий приёмки:</w:t>
      </w:r>
      <w:r>
        <w:t xml:space="preserve"> соблюдение даты публикации, доля материалов, использованных в центральном цикле.</w:t>
      </w:r>
    </w:p>
    <w:p>
      <w:r>
        <w:rPr>
          <w:b/>
        </w:rPr>
        <w:t>4.3. Аналитика региональной трансмиссии без регионализации ставки.</w:t>
      </w:r>
      <w:r>
        <w:t xml:space="preserve"> Регулярные разрезы по инфляции, ставкам, кредитам, депозитам, ипотеке, строительству и жилью; цель — понять, почему единые решения передаются неодинаково, а не компенсировать различия льготной ДКП. </w:t>
      </w:r>
      <w:r>
        <w:rPr>
          <w:i/>
        </w:rPr>
        <w:t>Опора:</w:t>
      </w:r>
      <w:r>
        <w:t xml:space="preserve"> п. 2.1.1, 2.1.2, 2.10. </w:t>
      </w:r>
      <w:r>
        <w:rPr>
          <w:i/>
        </w:rPr>
        <w:t>Критерий приёмки:</w:t>
      </w:r>
      <w:r>
        <w:t xml:space="preserve"> добавочная точность краткосрочных прогнозов относительно заранее закреплённого бенчмарка.</w:t>
      </w:r>
    </w:p>
    <w:p>
      <w:r>
        <w:rPr>
          <w:b/>
        </w:rPr>
        <w:t>4.4. Финансовая инфраструктура, доступность и защита потребителей на территории.</w:t>
      </w:r>
      <w:r>
        <w:t xml:space="preserve"> Единые стандарты, мониторинг непрерывности платежей и наличного обращения, выявление локальных пробелов в доступе к услугам, координация с банками и органами власти. </w:t>
      </w:r>
      <w:r>
        <w:rPr>
          <w:i/>
        </w:rPr>
        <w:t>Опора:</w:t>
      </w:r>
      <w:r>
        <w:t xml:space="preserve"> п. 2.11. </w:t>
      </w:r>
      <w:r>
        <w:rPr>
          <w:i/>
        </w:rPr>
        <w:t>Критерий приёмки:</w:t>
      </w:r>
      <w:r>
        <w:t xml:space="preserve"> охват населённых пунктов мониторингом, число устранённых пробелов, динамика индикаторов доступности.</w:t>
      </w:r>
    </w:p>
    <w:p>
      <w:r>
        <w:rPr>
          <w:b/>
        </w:rPr>
        <w:t>4.5. Публичная разъяснительная работа со всеми группами потребителей.</w:t>
      </w:r>
      <w:r>
        <w:t xml:space="preserve"> Ключевое предложение. Прежняя постановка адресовала эту работу органам власти; здесь фокус смещён: адресат — все группы потребителей, а органы власти входят в их число как одна из групп, без приоритета и особого режима.</w:t>
      </w:r>
    </w:p>
    <w:p>
      <w:r>
        <w:rPr>
          <w:b/>
        </w:rPr>
        <w:t>Группы потребителей:</w:t>
      </w:r>
      <w:r>
        <w:t xml:space="preserve"> население (включая пенсионеров, молодёжь, жителей малых городов и сельской местности); предприятия и предприниматели (малые, средние, крупные, самозанятые, сельхозпроизводители); финансовые организации — только по опубликованным нормам и общим вопросам, никогда по их бизнесу; образовательные организации и педагогическое сообщество; средства массовой информации и независимые авторы; органы государственной власти субъектов и органы местного самоуправления; общественные объединения, некоммерческие организации и профессиональные ассоциации; эксперты и исследователи.</w:t>
      </w:r>
    </w:p>
    <w:p>
      <w:r>
        <w:rPr>
          <w:b/>
        </w:rPr>
        <w:t>Принцип равенства адресатов.</w:t>
      </w:r>
      <w:r>
        <w:t xml:space="preserve"> Один и тот же материал публикуется для всех: никаких закрытых версий и приоритетного информирования. Индивидуальных консультаций и рекомендаций нет ни для одной группы — включая органы власти.</w:t>
      </w:r>
    </w:p>
    <w:p>
      <w:r>
        <w:rPr>
          <w:b/>
        </w:rPr>
        <w:t>Три уровня работы (без консультирования):</w:t>
      </w:r>
    </w:p>
    <w:p>
      <w:pPr>
        <w:pStyle w:val="ListBullet"/>
      </w:pPr>
      <w:r>
        <w:rPr>
          <w:b/>
        </w:rPr>
        <w:t>разъяснение</w:t>
      </w:r>
      <w:r>
        <w:t xml:space="preserve"> — почему ставка такая и что это значит для цен, сбережений и кредита;</w:t>
      </w:r>
    </w:p>
    <w:p>
      <w:pPr>
        <w:pStyle w:val="ListBullet"/>
      </w:pPr>
      <w:r>
        <w:rPr>
          <w:b/>
        </w:rPr>
        <w:t>методология</w:t>
      </w:r>
      <w:r>
        <w:t xml:space="preserve"> — как читать показатели и термины, как не ошибиться при использовании данных;</w:t>
      </w:r>
    </w:p>
    <w:p>
      <w:pPr>
        <w:pStyle w:val="ListBullet"/>
      </w:pPr>
      <w:r>
        <w:rPr>
          <w:b/>
        </w:rPr>
        <w:t>публичная аналитика</w:t>
      </w:r>
      <w:r>
        <w:t xml:space="preserve"> — региональные данные и их интерпретация.</w:t>
      </w:r>
    </w:p>
    <w:p>
      <w:r>
        <w:rPr>
          <w:b/>
        </w:rPr>
        <w:t>Продуктовая линейка (шесть продуктов):</w:t>
      </w:r>
    </w:p>
    <w:p>
      <w:pPr>
        <w:pStyle w:val="ListNumber"/>
      </w:pPr>
      <w:r>
        <w:t>публичное разъяснение решения по ставке — после каждого заседания Совета директоров, две-три страницы, единое для всех групп, с обязательным объяснением того, почему единая ставка применяется при неодинаковой региональной инфляции;</w:t>
      </w:r>
    </w:p>
    <w:p>
      <w:pPr>
        <w:pStyle w:val="ListNumber"/>
      </w:pPr>
      <w:r>
        <w:t>региональная панель индикаторов финансового сектора — ежеквартально, только опубликованные агрегаты Банка России, с методическими пояснениями;</w:t>
      </w:r>
    </w:p>
    <w:p>
      <w:pPr>
        <w:pStyle w:val="ListNumber"/>
      </w:pPr>
      <w:r>
        <w:t>публичный реестр типовых вопросов и ответов — единый для всех ТУ, обезличенный, с ревизией раз в квартал;</w:t>
      </w:r>
    </w:p>
    <w:p>
      <w:pPr>
        <w:pStyle w:val="ListNumber"/>
      </w:pPr>
      <w:r>
        <w:t>методологические материалы по финансовой грамотности и доступности — для школ, вузов, некоммерческих организаций и муниципалитетов (материалы, а не программы за них);</w:t>
      </w:r>
    </w:p>
    <w:p>
      <w:pPr>
        <w:pStyle w:val="ListNumber"/>
      </w:pPr>
      <w:r>
        <w:t>открытые встречи и публичные разборы — для бизнеса, населения, ассоциаций и СМИ, без индивидуальных рекомендаций;</w:t>
      </w:r>
    </w:p>
    <w:p>
      <w:pPr>
        <w:pStyle w:val="ListNumber"/>
      </w:pPr>
      <w:r>
        <w:t>региональная аналитическая записка к бюджетному циклу — на основе опубликованных данных, без прогноза доходов региона и оценок бюджетной политики.</w:t>
      </w:r>
    </w:p>
    <w:p>
      <w:r>
        <w:rPr>
          <w:b/>
        </w:rPr>
        <w:t>Чего направление не делает:</w:t>
      </w:r>
      <w:r>
        <w:t xml:space="preserve"> не даёт индивидуальных рекомендаций (что купить, где занять, как инвестировать, стоит ли брать ипотеку); не консультирует поднадзорные организации по их бизнесу; не оценивает инвестиционную привлекательность проектов, инструментов и эмитентов; не подменяет Минфин России и финансовые органы; не оценивает целесообразность решений органов власти; не раскрывает сведения ограниченного доступа, включая полученные при надзоре и производстве по делам; не лоббирует интересы отдельных групп; не даёт гарантий и не обещает финансирование. Инвестиционное консультирование — лицензируемая деятельность по ст. 6.1 Федерального закона от 22.04.1996 № 39-ФЗ «О рынке ценных бумаг», и Банк России её не ведёт.</w:t>
      </w:r>
    </w:p>
    <w:p>
      <w:r>
        <w:rPr>
          <w:b/>
        </w:rPr>
        <w:t>Управление ответственностью:</w:t>
      </w:r>
      <w:r>
        <w:t xml:space="preserve"> единый стандарт ответа; обязательная оговорка об отсутствии рекомендательного характера; обезличенная публикация вопросов и ответов; мотивированный отказ по темам вне перечня; эскалация сложных вопросов в центральный аппарат; правило «разъяснение не является основанием для регуляторного решения».</w:t>
      </w:r>
    </w:p>
    <w:p>
      <w:r>
        <w:rPr>
          <w:b/>
        </w:rPr>
        <w:t>4.6. Публичная диагностика немонетарных факторов инфляции в отраслях региона.</w:t>
      </w:r>
      <w:r>
        <w:t xml:space="preserve"> Запрос экспертов: территориальные учреждения оценивают изменение экономической ситуации в регионах и публично объясняют, в каких отраслях и как факторы предложения влияют на инфляцию, а также как на цены в разных отраслях региона влияют решения региональных органов исполнительной власти (РОИВ). Публикация адресована всем группам потребителей — населению, бизнесу, СМИ, органам власти, — а не только тем, кто принимает решения.</w:t>
      </w:r>
    </w:p>
    <w:p>
      <w:r>
        <w:rPr>
          <w:b/>
        </w:rPr>
        <w:t>Правовая и содержательная основа уже есть.</w:t>
      </w:r>
      <w:r>
        <w:t xml:space="preserve"> Банк России выпустил доклад «О немонетарных факторах инфляции и мерах по снижению её волатильности» (2017, 60 страниц) и доклад «О немонетарных факторах инфляции в 2017–2019 годах» (18.12.2019). В пресс-релизе ко второму докладу прямо сказано, что анализ региональной специфики немонетарных факторов необходим «в том числе для внедрения стандарта развития конкуренции в субъектах Российской Федерации», и что «эту работу проводят территориальные учреждения Банка России». То есть функция не новая; отсутствует регулярный публичный продукт — после 2019 года доклад не обновлялся, а в разделе денежно-кредитной политики на сайте Банка России более поздних материалов этого жанра нет. </w:t>
      </w:r>
      <w:r>
        <w:rPr>
          <w:i/>
        </w:rPr>
        <w:t>Опора:</w:t>
      </w:r>
      <w:r>
        <w:t xml:space="preserve"> п. 2.1.1, 2.1.4, 2.1.5, 2.1.6, 2.12.</w:t>
      </w:r>
    </w:p>
    <w:p>
      <w:r>
        <w:rPr>
          <w:b/>
        </w:rPr>
        <w:t>Три предлагаемых продукта:</w:t>
      </w:r>
    </w:p>
    <w:p>
      <w:pPr>
        <w:pStyle w:val="ListNumber"/>
      </w:pPr>
      <w:r>
        <w:rPr>
          <w:b/>
        </w:rPr>
        <w:t>Квартальная записка «Немонетарные факторы инфляции в регионе»</w:t>
      </w:r>
      <w:r>
        <w:t xml:space="preserve"> — по товарным группам, где фактор предложения значим: что произошло, вклад в процентных пунктах, ожидаемая длительность, источник данных.</w:t>
      </w:r>
    </w:p>
    <w:p>
      <w:pPr>
        <w:pStyle w:val="ListNumber"/>
      </w:pPr>
      <w:r>
        <w:rPr>
          <w:b/>
        </w:rPr>
        <w:t>Отраслевая декомпозиция прироста цен</w:t>
      </w:r>
      <w:r>
        <w:t xml:space="preserve"> — разложение на вклад спроса, вклад факторов предложения (сырьё, логистика, тарифы, урожай, экспортный паритет), вклад мер регулирования и неразложенный остаток.</w:t>
      </w:r>
    </w:p>
    <w:p>
      <w:pPr>
        <w:pStyle w:val="ListNumber"/>
      </w:pPr>
      <w:r>
        <w:rPr>
          <w:b/>
        </w:rPr>
        <w:t>Каталог немонетарных факторов региона</w:t>
      </w:r>
      <w:r>
        <w:t xml:space="preserve"> — перечень факторов с указанием вида регулирования и органа, принимающего решение, обновляемый раз в год.</w:t>
      </w:r>
    </w:p>
    <w:p>
      <w:r>
        <w:rPr>
          <w:b/>
        </w:rPr>
        <w:t>Главный дизайнерский вопрос: как отделить оценку фактора от оценки органа.</w:t>
      </w:r>
      <w:r>
        <w:t xml:space="preserve"> Формулировка запроса «как решения РОИВ влияют на инфляцию» в прямом виде конфликтует с границей, зафиксированной в разделе 4.5: Банк России не оценивает целесообразность решений органов государственной власти, и такой функции в 880-П нет. Разрешение конфликта — в предмете оценки: измеряется </w:t>
      </w:r>
      <w:r>
        <w:rPr>
          <w:b/>
        </w:rPr>
        <w:t>механизм</w:t>
      </w:r>
      <w:r>
        <w:t>, а не решение.</w:t>
      </w:r>
    </w:p>
    <w:p>
      <w:pPr>
        <w:pStyle w:val="ListBullet"/>
      </w:pPr>
      <w:r>
        <w:rPr>
          <w:b/>
        </w:rPr>
        <w:t>Допустимо:</w:t>
      </w:r>
      <w:r>
        <w:t xml:space="preserve"> «повышение тарифа на услугу X на Y % дало Z процентных пункта в приросте цен», «сворачивание субсидии на электроэнергию добавляет W процентных пункта к годовой инфляции», «ограничение доступа к розничным рынкам в N-й торговой сети изменило цены в сегменте». Оценка даётся виду регулирования — тарифному, земельному, торговому, разрешительному, бюджетному, — а не органу.</w:t>
      </w:r>
    </w:p>
    <w:p>
      <w:pPr>
        <w:pStyle w:val="ListBullet"/>
      </w:pPr>
      <w:r>
        <w:rPr>
          <w:b/>
        </w:rPr>
        <w:t>Недопустимо:</w:t>
      </w:r>
      <w:r>
        <w:t xml:space="preserve"> суждения «решение правильное или ошибочное», «власть разгоняет инфляцию», сравнение регионов по качеству управления, любые формулировки, которые читаются как оценка деятельности должностных лиц.</w:t>
      </w:r>
    </w:p>
    <w:p>
      <w:pPr>
        <w:pStyle w:val="ListBullet"/>
      </w:pPr>
      <w:r>
        <w:rPr>
          <w:b/>
        </w:rPr>
        <w:t>Порядок для адресных оценок:</w:t>
      </w:r>
      <w:r>
        <w:t xml:space="preserve"> оценка влияния конкретного решения органа готовится по его письменному запросу и публикуется только с его согласия либо с одновременным опубликованием его комментария. Это снимает конфликт и превращает продукт из обвинения в совместный разбор.</w:t>
      </w:r>
    </w:p>
    <w:p>
      <w:r>
        <w:rPr>
          <w:b/>
        </w:rPr>
        <w:t>Международная практика подтверждает такую конструкцию.</w:t>
      </w:r>
      <w:r>
        <w:t xml:space="preserve"> Резервный банк Австралии в «Заявлении о денежно-кредитной политике» регулярно публикует вклад регулируемых цен (administered prices) и эффект сворачивания субсидий штатов на электроэнергию: в выпуске за февраль 2026 года отмечено, что электроэнергия дала около 0,5 процентного пункта прироста цен, а в выпуске за май 2026 года прямо указано, что окончание действия субсидий правительств штатов повышает общую инфляцию в ближайшей перспективе. Государственные решения обсуждаются публично, количественно и без оценок политики. Европейский центральный банк публикует отдельные врезки о влиянии мер правительств на инфляцию (например, в Economic Bulletin за февраль 2023 года — о фискальной поддержке в энергетическом кризисе). Обратный пример осторожности — Бежевая книга Федеральной резервной системы: условия описываются, но решения властей не атрибутируются.</w:t>
      </w:r>
    </w:p>
    <w:p>
      <w:r>
        <w:rPr>
          <w:b/>
        </w:rPr>
        <w:t>Методические требования (иначе продукт превращается в мнение):</w:t>
      </w:r>
      <w:r>
        <w:t xml:space="preserve"> считать вклад, а не вину; всегда указывать базу и период; различать разовый сдвиг уровня цен и вклад в годовую инфляцию; отделять прямой эффект (тариф в корзине ИПЦ) от косвенного (через издержки); при отсутствии данных писать «оценка невозможна», а не «влияние незначительно»; в каждом материале приводить вклад спроса и ставки в том же разложении — иначе публикация читается как оправдание денежно-кредитной политики.</w:t>
      </w:r>
    </w:p>
    <w:p>
      <w:r>
        <w:rPr>
          <w:b/>
        </w:rPr>
        <w:t>Критерии приёмки:</w:t>
      </w:r>
      <w:r>
        <w:t xml:space="preserve"> разложение охватывает не менее 80 % веса корзины ИПЦ региона; в 100 % утверждений о влиянии указан числовой вклад; ноль публикаций с адресной оценкой действий органа без его согласия; расхождение разложения с фактическим ИПЦ не более 0,3 процентного пункта.</w:t>
      </w:r>
    </w:p>
    <w:p>
      <w:r>
        <w:rPr>
          <w:b/>
        </w:rPr>
        <w:t>Пилот:</w:t>
      </w:r>
      <w:r>
        <w:t xml:space="preserve"> два-три региона с разной структурой цен (промышленный, аграрный, курортный), единая методика, публикация после согласования с Департаментом денежно-кредитной политики.</w:t>
      </w:r>
    </w:p>
    <w:p>
      <w:pPr>
        <w:pStyle w:val="Heading2"/>
      </w:pPr>
      <w:r>
        <w:t>5. Региональный доклад: анализ и предложения по доработке</w:t>
      </w:r>
    </w:p>
    <w:p>
      <w:r>
        <w:t>Замечание пользователей — «слишком размытый и не конкретный» — проверяемо и подтверждается структурой выпуска № 47 (октябрь 2026 года, 70 страниц, опубликован 14.10.2026).</w:t>
      </w:r>
    </w:p>
    <w:p>
      <w:pPr>
        <w:pStyle w:val="Heading3"/>
      </w:pPr>
      <w:r>
        <w:t>5.1. Что в докладе уже сделано хорошо</w:t>
      </w:r>
    </w:p>
    <w:p>
      <w:pPr>
        <w:pStyle w:val="ListBullet"/>
      </w:pPr>
      <w:r>
        <w:rPr>
          <w:b/>
        </w:rPr>
        <w:t>регулярность:</w:t>
      </w:r>
      <w:r>
        <w:t xml:space="preserve"> ежемесячный выпуск с 2020 года, в 2026 году вышли февраль, март, апрель, июнь, июль, сентябрь и октябрь;</w:t>
      </w:r>
    </w:p>
    <w:p>
      <w:pPr>
        <w:pStyle w:val="ListBullet"/>
      </w:pPr>
      <w:r>
        <w:rPr>
          <w:b/>
        </w:rPr>
        <w:t>охват:</w:t>
      </w:r>
      <w:r>
        <w:t xml:space="preserve"> все семь макрорегионов — ЦФО, Северо-Западное, Волго-Вятское, Южное, Уральское, Сибирское, Дальневосточное ГУ;</w:t>
      </w:r>
    </w:p>
    <w:p>
      <w:pPr>
        <w:pStyle w:val="ListBullet"/>
      </w:pPr>
      <w:r>
        <w:rPr>
          <w:b/>
        </w:rPr>
        <w:t>количественная база:</w:t>
      </w:r>
      <w:r>
        <w:t xml:space="preserve"> таблица 20 показателей по России и макрорегионам (с. 9) — инфляция, базовая инфляция, промышленность, инвестиции, строительство, ввод жилья, розничная торговля, платные услуги, реальная заработная плата, реальные денежные доходы, безработица, задолженность по потребительским кредитам и ипотеке, средства на счетах эскроу, веса ГУ в инфляции;</w:t>
      </w:r>
    </w:p>
    <w:p>
      <w:pPr>
        <w:pStyle w:val="ListBullet"/>
      </w:pPr>
      <w:r>
        <w:rPr>
          <w:b/>
        </w:rPr>
        <w:t>динамика:</w:t>
      </w:r>
      <w:r>
        <w:t xml:space="preserve"> приложение 1 с рядами с 2024 года (с. 51);</w:t>
      </w:r>
    </w:p>
    <w:p>
      <w:pPr>
        <w:pStyle w:val="ListBullet"/>
      </w:pPr>
      <w:r>
        <w:rPr>
          <w:b/>
        </w:rPr>
        <w:t>углублённые разборы:</w:t>
      </w:r>
      <w:r>
        <w:t xml:space="preserve"> три врезки — деловая и инвестиционная активность (с. 26), региональные и отраслевые факторы на рынке труда (с. 33), урожай 2026 года (с. 42); формат врезки при этом не изобретён: в выпуске от 10.06.2026 (№ 44) отделение по специализации подготовило отраслевую врезку «Жилищное строительство», то есть механизм уже работает — не хватает не врезок, а резюме и числовой сшивки с таблицей;</w:t>
      </w:r>
    </w:p>
    <w:p>
      <w:pPr>
        <w:pStyle w:val="ListBullet"/>
      </w:pPr>
      <w:r>
        <w:rPr>
          <w:b/>
        </w:rPr>
        <w:t>первичные данные:</w:t>
      </w:r>
      <w:r>
        <w:t xml:space="preserve"> опрос 11 459 предприятий в октябре 2026 года;</w:t>
      </w:r>
    </w:p>
    <w:p>
      <w:pPr>
        <w:pStyle w:val="ListBullet"/>
      </w:pPr>
      <w:r>
        <w:rPr>
          <w:b/>
        </w:rPr>
        <w:t>корректность оговорок:</w:t>
      </w:r>
      <w:r>
        <w:t xml:space="preserve"> официальная статистика приводится без учёта ДНР, ЛНР, Запорожской и Херсонской областей.</w:t>
      </w:r>
    </w:p>
    <w:p>
      <w:pPr>
        <w:pStyle w:val="Heading3"/>
      </w:pPr>
      <w:r>
        <w:t>5.2. Пять причин, по которым доклад читается как размытый</w:t>
      </w:r>
    </w:p>
    <w:p>
      <w:pPr>
        <w:pStyle w:val="ListNumber"/>
      </w:pPr>
      <w:r>
        <w:rPr>
          <w:b/>
        </w:rPr>
        <w:t>Нет резюме и нет выводов.</w:t>
      </w:r>
      <w:r>
        <w:t xml:space="preserve"> В тексте выпуска отсутствует раздел «Резюме»; слово «вывод» в аналитическом смысле не встречается ни разу — единственное вхождение это «вывод новых проектов на рынок», а «резюме» встречается один раз в подписи к графику («вакансии/резюме»). Читатель, открывший доклад, не получает сжатого ответа на вопрос «что происходит и что это значит».</w:t>
      </w:r>
    </w:p>
    <w:p>
      <w:pPr>
        <w:pStyle w:val="ListNumber"/>
      </w:pPr>
      <w:r>
        <w:rPr>
          <w:b/>
        </w:rPr>
        <w:t>Текст не сшит с собственной таблицей.</w:t>
      </w:r>
      <w:r>
        <w:t xml:space="preserve"> На с. 9 приведены 20 показателей по России и семи макрорегионам, но разделы по ГУ (по две страницы на макрорегион, с. 12–25) описывают ту же динамику словами, не приводя значений: «в сентябре годовая инфляция в макрорегионе сохранилась на прежнем уровне, оставаясь ниже общероссийской» — при том, что в таблице стоят 5,5 % по ЦФО против 6,4 % по России. Раздел «Ключевые тенденции в регионах» (с. 8) идёт ещё дальше и даёт по три-четыре предложения на макрорегион почти без цифр: «объём услуг в сфере туризма в августе несколько вырос по сравнению с предыдущими месяцами», «по сравнению с другими макрорегионами безработица оставалась на самом низком уровне».</w:t>
      </w:r>
    </w:p>
    <w:p>
      <w:pPr>
        <w:pStyle w:val="ListNumber"/>
      </w:pPr>
      <w:r>
        <w:rPr>
          <w:b/>
        </w:rPr>
        <w:t>Оценочные наречия без шкалы.</w:t>
      </w:r>
      <w:r>
        <w:t xml:space="preserve"> По всему тексту «в целом» — 44 вхождения, основа «продолж-» — 44, «нескольк-» — 29, «некотор-» — 28, «заметн-» — 14, «умеренн-» — 8. При этом доля предложений, содержащих хотя бы одну цифру, составляет 36,4 % (322 из 884 предложений длиннее 40 знаков, включая таблицы и подписи к графикам). Ни одно из наречий не имеет определённой шкалы: «умеренный рост» в разных разделах означает разное.</w:t>
      </w:r>
    </w:p>
    <w:p>
      <w:pPr>
        <w:pStyle w:val="ListNumber"/>
      </w:pPr>
      <w:r>
        <w:rPr>
          <w:b/>
        </w:rPr>
        <w:t>Типы утверждений не различены.</w:t>
      </w:r>
      <w:r>
        <w:t xml:space="preserve"> В одном абзаце соседствуют данные Росстата, расчёты Банка России, сообщения отдельных ретейлеров и ожидания участников рынка, причём без указания числа респондентов по макрорегиону, горизонта ожиданий и диапазона оценки. Теряется главное для аналитика: что здесь факт, что оценка, а что мнение.</w:t>
      </w:r>
    </w:p>
    <w:p>
      <w:pPr>
        <w:pStyle w:val="ListNumber"/>
      </w:pPr>
      <w:r>
        <w:rPr>
          <w:b/>
        </w:rPr>
        <w:t>Нет изменения относительно прошлого выпуска и нет вывода для ДКП.</w:t>
      </w:r>
      <w:r>
        <w:t xml:space="preserve"> Читатель не может понять, ухудшилась оценка активности против № 46 или улучшилась: сравнение с предыдущим выпуском не приводится. И ни один региональный раздел не заканчивается строкой о том, как наблюдение влияет на инфляционное давление, — то есть текст останавливается на описании, хотя именно интерпретация составляет ценность доклада для денежно-кредитной политики.</w:t>
      </w:r>
    </w:p>
    <w:p>
      <w:r>
        <w:t>Дополнительно — структурный перекос: из 70 страниц на наблюдения по макрорегионам приходится 14 (с. 12–25), на врезки — 20 (с. 26–45), на выводы — ноль.</w:t>
      </w:r>
    </w:p>
    <w:p>
      <w:pPr>
        <w:pStyle w:val="Heading3"/>
      </w:pPr>
      <w:r>
        <w:t>5.3. Предложения по доработке (тезисно)</w:t>
      </w:r>
    </w:p>
    <w:p>
      <w:pPr>
        <w:pStyle w:val="ListNumber"/>
      </w:pPr>
      <w:r>
        <w:rPr>
          <w:b/>
        </w:rPr>
        <w:t>Резюме на одну страницу.</w:t>
      </w:r>
      <w:r>
        <w:t xml:space="preserve"> Пять-семь пунктов, в каждом: число, знак изменения к предыдущему выпуску, следствие для инфляционного давления. </w:t>
      </w:r>
      <w:r>
        <w:rPr>
          <w:i/>
        </w:rPr>
        <w:t>Критерий приёмки:</w:t>
      </w:r>
      <w:r>
        <w:t xml:space="preserve"> в каждом пункте резюме есть не менее одного числа и явное направление изменения.</w:t>
      </w:r>
    </w:p>
    <w:p>
      <w:pPr>
        <w:pStyle w:val="ListNumber"/>
      </w:pPr>
      <w:r>
        <w:rPr>
          <w:b/>
        </w:rPr>
        <w:t>Карточка макрорегиона по единому шаблону.</w:t>
      </w:r>
      <w:r>
        <w:t xml:space="preserve"> Шесть блоков в фиксированном порядке — спрос, предложение, рынок труда, цены, кредит и депозиты, вывод одной строкой. </w:t>
      </w:r>
      <w:r>
        <w:rPr>
          <w:i/>
        </w:rPr>
        <w:t>Критерий приёмки:</w:t>
      </w:r>
      <w:r>
        <w:t xml:space="preserve"> структура совпадает во всех семи региональных разделах на 100 %.</w:t>
      </w:r>
    </w:p>
    <w:p>
      <w:pPr>
        <w:pStyle w:val="ListNumber"/>
      </w:pPr>
      <w:r>
        <w:rPr>
          <w:b/>
        </w:rPr>
        <w:t>Правило «утверждение — цифра или шкала».</w:t>
      </w:r>
      <w:r>
        <w:t xml:space="preserve"> Качественная оценка допускается только при определённой шкале и указании источника: например, «умеренно» означает 0–2 % с.к. месяц к месяцу. </w:t>
      </w:r>
      <w:r>
        <w:rPr>
          <w:i/>
        </w:rPr>
        <w:t>Критерий приёмки:</w:t>
      </w:r>
      <w:r>
        <w:t xml:space="preserve"> доля предложений с числом в региональных разделах не ниже 60 % против текущих 36,4 % по всему тексту.</w:t>
      </w:r>
    </w:p>
    <w:p>
      <w:pPr>
        <w:pStyle w:val="ListNumber"/>
      </w:pPr>
      <w:r>
        <w:rPr>
          <w:b/>
        </w:rPr>
        <w:t>Сравнение с предыдущим выпуском.</w:t>
      </w:r>
      <w:r>
        <w:t xml:space="preserve"> В каждом разделе — строка «оценка против № 46»: что подтвердилось, что изменилось, что не подтвердилось. </w:t>
      </w:r>
      <w:r>
        <w:rPr>
          <w:i/>
        </w:rPr>
        <w:t>Критерий приёмки:</w:t>
      </w:r>
      <w:r>
        <w:t xml:space="preserve"> такая строка присутствует в 100 % разделов.</w:t>
      </w:r>
    </w:p>
    <w:p>
      <w:pPr>
        <w:pStyle w:val="ListNumber"/>
      </w:pPr>
      <w:r>
        <w:rPr>
          <w:b/>
        </w:rPr>
        <w:t>Маркировка типов утверждений.</w:t>
      </w:r>
      <w:r>
        <w:t xml:space="preserve"> Четыре пометки: данные (источник, дата), оценка Банка России (диапазон), сообщение участников рынка (сколько и кого опросили), ожидание (горизонт). </w:t>
      </w:r>
      <w:r>
        <w:rPr>
          <w:i/>
        </w:rPr>
        <w:t>Критерий приёмки:</w:t>
      </w:r>
      <w:r>
        <w:t xml:space="preserve"> ни одно утверждение не остаётся без пометки при выборочной проверке.</w:t>
      </w:r>
    </w:p>
    <w:p>
      <w:pPr>
        <w:pStyle w:val="ListNumber"/>
      </w:pPr>
      <w:r>
        <w:rPr>
          <w:b/>
        </w:rPr>
        <w:t>Репрезентативность выборки по макрорегионам.</w:t>
      </w:r>
      <w:r>
        <w:t xml:space="preserve"> Число опрошенных предприятий и их доля в выборке по каждому ГУ, сопоставление со структурой валовой добавленной стоимости. Сейчас указано только 11 459 предприятий по стране в целом, и неизвестно, как они распределены между макрорегионами. </w:t>
      </w:r>
      <w:r>
        <w:rPr>
          <w:i/>
        </w:rPr>
        <w:t>Критерий приёмки:</w:t>
      </w:r>
      <w:r>
        <w:t xml:space="preserve"> таблица распределения выборки в приложении.</w:t>
      </w:r>
    </w:p>
    <w:p>
      <w:pPr>
        <w:pStyle w:val="ListNumber"/>
      </w:pPr>
      <w:r>
        <w:rPr>
          <w:b/>
        </w:rPr>
        <w:t>Вывод по трансмиссии в одну строку на макрорегион.</w:t>
      </w:r>
      <w:r>
        <w:t xml:space="preserve"> Знак и сила влияния наблюдения на инфляционное давление — без рекомендаций по ставке. Это ровно та граница, которую описывает п. 2.1.5: аналитический материал, а не предложение по решению. </w:t>
      </w:r>
      <w:r>
        <w:rPr>
          <w:i/>
        </w:rPr>
        <w:t>Критерий приёмки:</w:t>
      </w:r>
      <w:r>
        <w:t xml:space="preserve"> вывод присутствует в каждом региональном разделе и не содержит оценочных суждений о политике.</w:t>
      </w:r>
    </w:p>
    <w:p>
      <w:pPr>
        <w:pStyle w:val="ListNumber"/>
      </w:pPr>
      <w:r>
        <w:rPr>
          <w:b/>
        </w:rPr>
        <w:t>Разделить продукт на два формата.</w:t>
      </w:r>
      <w:r>
        <w:t xml:space="preserve"> Дайджест 12–15 страниц (резюме и карточки макрорегионов) и полный отчёт (наблюдения, врезки, приложение) вместо одного 70-страничного документа; машиночитаемая выгрузка таблицы показателей (CSV) к каждому выпуску; фиксированная дата публикации, привязанная к выходу данных Росстата по инфляции. </w:t>
      </w:r>
      <w:r>
        <w:rPr>
          <w:i/>
        </w:rPr>
        <w:t>Критерий приёмки:</w:t>
      </w:r>
      <w:r>
        <w:t xml:space="preserve"> соблюдение даты и наличие CSV.</w:t>
      </w:r>
    </w:p>
    <w:p>
      <w:r>
        <w:rPr>
          <w:b/>
        </w:rPr>
        <w:t>Что менять не нужно:</w:t>
      </w:r>
      <w:r>
        <w:t xml:space="preserve"> периодичность, охват макрорегионов, состав таблицы на с. 9 (он соответствует набору показателей, необходимому для анализа трансмиссии), оговорки о новых регионах и сам формат врезок.</w:t>
      </w:r>
    </w:p>
    <w:p>
      <w:r>
        <w:rPr>
          <w:b/>
        </w:rPr>
        <w:t>Ожидаемый эффект.</w:t>
      </w:r>
      <w:r>
        <w:t xml:space="preserve"> Доклад перестаёт быть сводкой наблюдений и становится документом, из которого можно взять число и вывод. Одновременно он становится пригоден и как готовый публичный продукт для всех групп потребителей (направление 4.5, продукты 1–2), и как полноценный вход в центральный аналитический цикл, поскольку сейчас региональные материалы используются в нём слабее, чем позволяют данные.</w:t>
      </w:r>
    </w:p>
    <w:p>
      <w:pPr>
        <w:pStyle w:val="Heading2"/>
      </w:pPr>
      <w:r>
        <w:t>6. Что предлагается закрепить в Положении о ТУ</w:t>
      </w:r>
    </w:p>
    <w:p>
      <w:r>
        <w:t>Возможны три уровня вмешательства. Рекомендуется второй: он снимает правовую неопределённость, не создавая нового полномочия.</w:t>
      </w:r>
    </w:p>
    <w:p>
      <w:r>
        <w:rPr>
          <w:b/>
        </w:rPr>
        <w:t>Вариант 1 — без изменения Положения.</w:t>
      </w:r>
      <w:r>
        <w:t xml:space="preserve"> Выпустить организационно-распорядительный акт: регламент взаимодействия ТУ с органами власти, перечень тем, формы ответов, порядок учёта и публикации. Достоинство — обратимость и скорость. Недостаток — регламент не создаёт нормы в Положении: предмет разъяснительной работы остаётся выводимым из п. 1.4, 1.5, 2.1.6 и 2.12, а не закреплённым. Вопрос о том, от чьего имени выпускаются материалы, регламент закрывает только на уровне главного управления; ответственность за содержание при этом остаётся на Банке России.</w:t>
      </w:r>
    </w:p>
    <w:p>
      <w:r>
        <w:rPr>
          <w:b/>
        </w:rPr>
        <w:t>Вариант 2 — минимальная правка: дополнить раздел 2.1 одним пунктом.</w:t>
      </w:r>
      <w:r>
        <w:t xml:space="preserve"> Пункт фиксирует предмет разъяснительной работы, её границы и порядок учёта, отсылая детали к распорядительным актам. Достоинство — норма появляется в Положении, но мандат не расширяется: содержание остаётся в рамках п. 1.4 и 1.5. Недостаток — требует юридической квалификации формулировки.</w:t>
      </w:r>
    </w:p>
    <w:p>
      <w:r>
        <w:rPr>
          <w:b/>
        </w:rPr>
        <w:t>Вариант 3 — отдельный раздел о разъяснительной работе с внешними адресатами.</w:t>
      </w:r>
      <w:r>
        <w:t xml:space="preserve"> Наиболее полное решение, включающее продукты, сроки, информационный барьер и метрики. Достоинство — максимальная определённость. Недостаток — Положение становится тяжелее, а часть вопросов (сроки, формы) всё равно уходит в распорядительные акты.</w:t>
      </w:r>
    </w:p>
    <w:p>
      <w:r>
        <w:rPr>
          <w:b/>
        </w:rPr>
        <w:t>Предлагаемая редакция пункта для варианта 2</w:t>
      </w:r>
      <w:r>
        <w:t xml:space="preserve"> (проект, требует юридической проверки):</w:t>
      </w:r>
    </w:p>
    <w:p>
      <w:r>
        <w:t>&gt; «2.1.10. В целях информационно-аналитической поддержки и коммуникаций по денежно-кредитной политике главное управление в пределах своей компетенции готовит и публикует информационно-разъяснительные материалы для широкого круга лиц — населения, организаций, средств массовой информации, образовательных организаций, органов государственной власти субъекта (субъектов) Российской Федерации и органов местного самоуправления — по вопросам применения нормативных и иных актов Банка России, методологии расчёта показателей Банка России и использования официальной статистической информации, а также участвует в методологическом обеспечении региональных программ повышения финансовой грамотности и доступности финансовых услуг.</w:t>
      </w:r>
    </w:p>
    <w:p>
      <w:r>
        <w:t>&gt;</w:t>
      </w:r>
    </w:p>
    <w:p>
      <w:r>
        <w:t>&gt; Указанные материалы предоставляются всем адресатам на равных условиях и не содержат индивидуальных рекомендаций, оценки инвестиционной привлекательности проектов, финансовых инструментов и эмитентов, рекомендаций по заимствованиям и размещению средств, оценки целесообразности решений органов государственной власти, а также сведений ограниченного доступа, полученных при осуществлении надзорных функций и производства по делам об административных правонарушениях.</w:t>
      </w:r>
    </w:p>
    <w:p>
      <w:r>
        <w:t>&gt;</w:t>
      </w:r>
    </w:p>
    <w:p>
      <w:r>
        <w:t>&gt; Порядок подготовки, согласования и опубликования материалов устанавливается организационно-распорядительными актами Банка России.»</w:t>
      </w:r>
    </w:p>
    <w:p>
      <w:r>
        <w:rPr>
          <w:b/>
        </w:rPr>
        <w:t>Что даёт эта редакция.</w:t>
      </w:r>
      <w:r>
        <w:t xml:space="preserve"> Вводит предмет (нормы, методология, статистика) и адресный круг (все группы потребителей, где органы власти — лишь одна из групп), фиксирует равенство условий и четыре запрета, отсылает процедуру к распорядительным актам. Она не создаёт права давать рекомендации и не меняет статус ТУ.</w:t>
      </w:r>
    </w:p>
    <w:p>
      <w:r>
        <w:rPr>
          <w:b/>
        </w:rPr>
        <w:t>Предлагаемая редакция пункта для направления 4.6</w:t>
      </w:r>
      <w:r>
        <w:t xml:space="preserve"> (проект, требует юридической проверки):</w:t>
      </w:r>
    </w:p>
    <w:p>
      <w:r>
        <w:t>&gt; «2.1.11. Главное управление в пределах своей компетенции готовит и публикует аналитические материалы о факторах инфляции в регионе, включая факторы предложения и эффекты мер регулирования, с количественной оценкой их вклада в динамику цен.</w:t>
      </w:r>
    </w:p>
    <w:p>
      <w:r>
        <w:t>&gt;</w:t>
      </w:r>
    </w:p>
    <w:p>
      <w:r>
        <w:t>&gt; Указанные материалы публикуются для широкого круга лиц и не содержат оценки целесообразности решений органов государственной власти. Оценка влияния конкретного решения органа государственной власти может быть подготовлена по его письменному запросу и публикуется только с его согласия.</w:t>
      </w:r>
    </w:p>
    <w:p>
      <w:r>
        <w:t>&gt;</w:t>
      </w:r>
    </w:p>
    <w:p>
      <w:r>
        <w:t>&gt; Порядок подготовки и согласования материалов с Департаментом денежно-кредитной политики устанавливается организационно-распорядительными актами Банка России.»</w:t>
      </w:r>
    </w:p>
    <w:p>
      <w:r>
        <w:rPr>
          <w:b/>
        </w:rPr>
        <w:t>Почему отдельный пункт, а не оговорка в 2.1.10.</w:t>
      </w:r>
      <w:r>
        <w:t xml:space="preserve"> Публикация материалов о факторах инфляции — самостоятельное действие с собственным риском, и смешивать её с общей разъяснительной работой нежелательно: у неё особая методика, отдельная процедура согласования и повышенные требования к полноте разложения. Если выбирается вариант 3 (отдельный раздел), оба пункта входят в него.</w:t>
      </w:r>
    </w:p>
    <w:p>
      <w:r>
        <w:rPr>
          <w:b/>
        </w:rPr>
        <w:t>Что предлагается закрепить вне Положения, распорядительными актами:</w:t>
      </w:r>
      <w:r>
        <w:t xml:space="preserve"> единый перечень тем; форма ответа и обязательная оговорка; срок рассмотрения; порядок согласования сложных ответов с профильным подразделением центрального аппарата; информационный барьер между разъяснительным и надзорным контурами; кадровое разделение; методический владелец и аудит согласованности ответов; порядок ведения реестра вопросов и ответов.</w:t>
      </w:r>
    </w:p>
    <w:p>
      <w:pPr>
        <w:pStyle w:val="Heading2"/>
      </w:pPr>
      <w:r>
        <w:t>7. Риски и меры</w:t>
      </w:r>
    </w:p>
    <w:p>
      <w:r>
        <w:rPr>
          <w:b/>
        </w:rPr>
        <w:t>Восприятие разъяснения как рекомендации.</w:t>
      </w:r>
      <w:r>
        <w:t xml:space="preserve"> Материал для широкой аудитории читается как совет, и при неблагоприятных последствиях адресат считает его причиной; поскольку ТУ — обособленное подразделение, а юридическим лицом является Банк России, последствия ложатся на Банк России. </w:t>
      </w:r>
      <w:r>
        <w:rPr>
          <w:i/>
        </w:rPr>
        <w:t>Мера:</w:t>
      </w:r>
      <w:r>
        <w:t xml:space="preserve"> узкий предмет, письменная форма, отказ от индивидуальных рекомендаций, стандартная оговорка, обезличенная публикация в реестре.</w:t>
      </w:r>
    </w:p>
    <w:p>
      <w:r>
        <w:rPr>
          <w:b/>
        </w:rPr>
        <w:t>Регуляторный захват.</w:t>
      </w:r>
      <w:r>
        <w:t xml:space="preserve"> Регулярное тесное взаимодействие с наиболее активными адресатами — органами власти, крупными ассоциациями, отдельными предприятиями — может сдвинуть оценки ТУ в их пользу, в том числе через поднадзорные организации. </w:t>
      </w:r>
      <w:r>
        <w:rPr>
          <w:i/>
        </w:rPr>
        <w:t>Мера:</w:t>
      </w:r>
      <w:r>
        <w:t xml:space="preserve"> запрет передавать региональные позиции как позиции ТУ, ротация ответственных, раскрытие агрегированной статистики взаимодействия, аудит методического владельца.</w:t>
      </w:r>
    </w:p>
    <w:p>
      <w:r>
        <w:rPr>
          <w:b/>
        </w:rPr>
        <w:t>Утечка надзорной информации.</w:t>
      </w:r>
      <w:r>
        <w:t xml:space="preserve"> В ТУ, где сохранены функции п. 2.7, 2.9.5 и 2.17.14, разъяснительный и надзорный контуры близки кадрово и территориально. </w:t>
      </w:r>
      <w:r>
        <w:rPr>
          <w:i/>
        </w:rPr>
        <w:t>Мера:</w:t>
      </w:r>
      <w:r>
        <w:t xml:space="preserve"> единый безусловный отказ от комментариев о конкретных организациях независимо от наличия надзорных действий; кадровое разделение; работа разъяснительного контура только с публичными и агрегированными данными; порог агрегирования для малых рынков.</w:t>
      </w:r>
    </w:p>
    <w:p>
      <w:r>
        <w:rPr>
          <w:b/>
        </w:rPr>
        <w:t>Смешение с инвестиционным консультированием и банковским советом.</w:t>
      </w:r>
      <w:r>
        <w:t xml:space="preserve"> Вопросы «в каком банке держать вклад», «стоит ли брать ипотеку», «куда вложить» и вопросы о займах субъекта или размещении средств одинаково воспринимаются как индивидуальная финансовая рекомендация. </w:t>
      </w:r>
      <w:r>
        <w:rPr>
          <w:i/>
        </w:rPr>
        <w:t>Мера:</w:t>
      </w:r>
      <w:r>
        <w:t xml:space="preserve"> исключение оценок конкретных инструментов, эмитентов и участников; только разъяснение регулирования и публичной статистики.</w:t>
      </w:r>
    </w:p>
    <w:p>
      <w:r>
        <w:rPr>
          <w:b/>
        </w:rPr>
        <w:t>Конфликт с процессуальной ролью.</w:t>
      </w:r>
      <w:r>
        <w:t xml:space="preserve"> Адресат материала может одновременно быть участником производства по делу или надзорного мероприятия. </w:t>
      </w:r>
      <w:r>
        <w:rPr>
          <w:i/>
        </w:rPr>
        <w:t>Мера:</w:t>
      </w:r>
      <w:r>
        <w:t xml:space="preserve"> отклонение и регистрация обращений, связанных с делами и надзорными мероприятиями.</w:t>
      </w:r>
    </w:p>
    <w:p>
      <w:r>
        <w:rPr>
          <w:b/>
        </w:rPr>
        <w:t>Политизация.</w:t>
      </w:r>
      <w:r>
        <w:t xml:space="preserve"> Материалы могут использоваться в региональной полемике как аргумент «за» или «против» действий власти. </w:t>
      </w:r>
      <w:r>
        <w:rPr>
          <w:i/>
        </w:rPr>
        <w:t>Мера:</w:t>
      </w:r>
      <w:r>
        <w:t xml:space="preserve"> публичность и одинаковость продуктов для всех адресатов, запрет оценок политики органов власти.</w:t>
      </w:r>
    </w:p>
    <w:p>
      <w:r>
        <w:rPr>
          <w:b/>
        </w:rPr>
        <w:t>Расхождение с центральной коммуникацией.</w:t>
      </w:r>
      <w:r>
        <w:t xml:space="preserve"> Региональные комментарии могут быть прочитаны рынком как сигнал по ДКП. </w:t>
      </w:r>
      <w:r>
        <w:rPr>
          <w:i/>
        </w:rPr>
        <w:t>Мера:</w:t>
      </w:r>
      <w:r>
        <w:t xml:space="preserve"> следование графику центрального аппарата, опора только на опубликованные материалы.</w:t>
      </w:r>
    </w:p>
    <w:p>
      <w:r>
        <w:rPr>
          <w:b/>
        </w:rPr>
        <w:t>Вытеснение основных функций.</w:t>
      </w:r>
      <w:r>
        <w:t xml:space="preserve"> Разъяснительная нагрузка забирает ресурс у мониторинга и надзорной поддержки, особенно в малочисленных ТУ. </w:t>
      </w:r>
      <w:r>
        <w:rPr>
          <w:i/>
        </w:rPr>
        <w:t>Мера:</w:t>
      </w:r>
      <w:r>
        <w:t xml:space="preserve"> лимит доли рабочего времени в пилоте, учёт трудозатрат, остановка компонента при превышении лимита.</w:t>
      </w:r>
    </w:p>
    <w:p>
      <w:r>
        <w:rPr>
          <w:b/>
        </w:rPr>
        <w:t>Перекладывание ответственности («инфляция не наша»).</w:t>
      </w:r>
      <w:r>
        <w:t xml:space="preserve"> Публичное перечисление немонетарных факторов читается как снятие ответственности с денежно-кредитной политики и снижает доверие к ней ровно в той степени, в какой аудитория не видит вклада ставки и спроса. </w:t>
      </w:r>
      <w:r>
        <w:rPr>
          <w:i/>
        </w:rPr>
        <w:t>Мера:</w:t>
      </w:r>
      <w:r>
        <w:t xml:space="preserve"> в каждом материале приводится полное разложение — спрос, ставка, факторы предложения, регулирование, остаток; заголовки формулируются как «что происходит с ценами», а не «кто виноват»; материалы с дисбалансом разделов не публикуются.</w:t>
      </w:r>
    </w:p>
    <w:p>
      <w:r>
        <w:rPr>
          <w:b/>
        </w:rPr>
        <w:t>Конфликт с региональными властями.</w:t>
      </w:r>
      <w:r>
        <w:t xml:space="preserve"> Адресная оценка влияния решения органа власти на цены воспринимается как вмешательство в его компетенцию и может ухудшить рабочие отношения, от которых зависит и мониторинг предприятий, и координация по финграмотности и доступности. </w:t>
      </w:r>
      <w:r>
        <w:rPr>
          <w:i/>
        </w:rPr>
        <w:t>Мера:</w:t>
      </w:r>
      <w:r>
        <w:t xml:space="preserve"> атрибуция к виду регулирования, а не к органу; адресные оценки только по письменному запросу и с согласия органа; предварительное информирование органа о готовящемся материале, если он упоминается.</w:t>
      </w:r>
    </w:p>
    <w:p>
      <w:r>
        <w:rPr>
          <w:b/>
        </w:rPr>
        <w:t>Неравный охват групп.</w:t>
      </w:r>
      <w:r>
        <w:t xml:space="preserve"> Наиболее активные и грамотные адресаты — крупный бизнес, столичные СМИ, сильные в коммуникациях органы власти — получат больше внимания, а малые города, сельские жители, малый бизнес и люди без цифрового доступа останутся без материалов, и разрыв усилится. </w:t>
      </w:r>
      <w:r>
        <w:rPr>
          <w:i/>
        </w:rPr>
        <w:t>Мера:</w:t>
      </w:r>
      <w:r>
        <w:t xml:space="preserve"> базовые продукты 1–3 публикуются без запроса и без адресного обращения; охват каждой из восьми групп отслеживается отдельно; для малых населённых пунктов предусмотрен офлайн-трек.</w:t>
      </w:r>
    </w:p>
    <w:p>
      <w:pPr>
        <w:pStyle w:val="Heading2"/>
      </w:pPr>
      <w:r>
        <w:t>8. Как проверять результат</w:t>
      </w:r>
    </w:p>
    <w:p>
      <w:r>
        <w:t>Пилот на 12 месяцев в нескольких макрорегионах с разной структурой экономики, при единой методике и контрольной группе ТУ, продолжающих обычную практику. Перечень регионов — после аудита кадров и процессов.</w:t>
      </w:r>
    </w:p>
    <w:p>
      <w:r>
        <w:rPr>
          <w:b/>
        </w:rPr>
        <w:t>Метрики аналитического контура:</w:t>
      </w:r>
      <w:r>
        <w:t xml:space="preserve"> регулярность и полнота панели; баланс отраслей и размеров предприятий; срок от сигнала до использования в центральном цикле; доля сигналов, подтверждённых официальными данными; добавочная точность прогнозов относительно закреплённого бенчмарка; документированное использование материалов комитетами.</w:t>
      </w:r>
    </w:p>
    <w:p>
      <w:r>
        <w:rPr>
          <w:b/>
        </w:rPr>
        <w:t>Метрики разъяснительного контура:</w:t>
      </w:r>
      <w:r>
        <w:t xml:space="preserve"> наличие актуальных материалов для каждой из восьми групп потребителей (цель — все восемь); доля обращений вне перечня тем, получивших мотивированный отказ (100 %); число случаев переклассификации материала в индивидуальную рекомендацию при аудите (ноль); доля ответов в регламентный срок; согласованность ответов между регионами на одинаковые вопросы; понимание материала аудиторией по тесту на comprehension (порог задаётся до пилота) — этот показатель вводится взамен счётчика мероприятий: по отчётности Отделения КПЭ по популяризации СБП перевыполнен в 4,5 раза (46 мероприятий вместо 10), но о понимании аудитории отчётность не говорит; равномерность охвата без концентрации на одном адресате; число инцидентов раскрытия информации ограниченного доступа (ноль).</w:t>
      </w:r>
    </w:p>
    <w:p>
      <w:r>
        <w:rPr>
          <w:b/>
        </w:rPr>
        <w:t>Метрики контура немонетарных факторов (направление 4.6):</w:t>
      </w:r>
      <w:r>
        <w:t xml:space="preserve"> доля веса корзины ИПЦ, охваченная разложением (цель — не менее 80 %); расхождение разложенного прироста с фактическим (не более 0,3 процентного пункта); доля утверждений с числовым вкладом (100 %); число публикаций с адресной оценкой решений органа без его согласия (цель — ноль); наличие полного разложения «спрос — ставка — предложение — регулирование» в каждом материале (100 %).</w:t>
      </w:r>
    </w:p>
    <w:p>
      <w:r>
        <w:rPr>
          <w:b/>
        </w:rPr>
        <w:t>Правило масштабирования:</w:t>
      </w:r>
      <w:r>
        <w:t xml:space="preserve"> только при одновременном выполнении трёх условий — ноль инцидентов по информации ограниченного доступа, соблюдение границ мандата при выборочном аудите, подтверждённое единообразие ответов. Высокая оценка полезности при нарушении любого из них оснований для масштабирования не даёт.</w:t>
      </w:r>
    </w:p>
    <w:p>
      <w:pPr>
        <w:pStyle w:val="Heading2"/>
      </w:pPr>
      <w:r>
        <w:t>9. Что требует проверки до решения</w:t>
      </w:r>
    </w:p>
    <w:p>
      <w:pPr>
        <w:pStyle w:val="ListBullet"/>
      </w:pPr>
      <w:r>
        <w:rPr>
          <w:b/>
        </w:rPr>
        <w:t>Внутренние регламенты.</w:t>
      </w:r>
      <w:r>
        <w:t xml:space="preserve"> Не установлено, существуют ли акты, регулирующие ответы ТУ на запросы внешних адресатов (население, организации, СМИ, органы власти): сроки, согласование, форма, учёт. Если существуют — предложения нужно встраивать в них.</w:t>
      </w:r>
    </w:p>
    <w:p>
      <w:pPr>
        <w:pStyle w:val="ListBullet"/>
      </w:pPr>
      <w:r>
        <w:rPr>
          <w:b/>
        </w:rPr>
        <w:t>Кадровый ресурс.</w:t>
      </w:r>
      <w:r>
        <w:t xml:space="preserve"> Численность и квалификация ТУ после передачи функций в хабы публично не раскрываются; неизвестно, есть ли в каждом пилотном ТУ сотрудники для аналитических продуктов без отвлечения от основных функций.</w:t>
      </w:r>
    </w:p>
    <w:p>
      <w:pPr>
        <w:pStyle w:val="ListBullet"/>
      </w:pPr>
      <w:r>
        <w:rPr>
          <w:b/>
        </w:rPr>
        <w:t>Нагрузка.</w:t>
      </w:r>
      <w:r>
        <w:t xml:space="preserve"> Поток обращений не оценён; лимиты трудозатрат предложены без количественной базы. Из отчётности видно лишь косвенное: разъяснительная работа ведётся как регулярные мероприятия (лекции в трудовых коллективах, встречи с ассоциациями, сессии для академического сообщества), но нигде не сказано, сколько времени сотрудник тратит на один внешний продукт.</w:t>
      </w:r>
    </w:p>
    <w:p>
      <w:pPr>
        <w:pStyle w:val="ListBullet"/>
      </w:pPr>
      <w:r>
        <w:rPr>
          <w:b/>
        </w:rPr>
        <w:t>Правовая квалификация продуктов 1–6.</w:t>
      </w:r>
      <w:r>
        <w:t xml:space="preserve"> Не проверено, могут ли разборы региональных программ и ответы квалифицироваться как официальные разъяснения, заключения или инвестиционные рекомендации.</w:t>
      </w:r>
    </w:p>
    <w:p>
      <w:pPr>
        <w:pStyle w:val="ListBullet"/>
      </w:pPr>
      <w:r>
        <w:rPr>
          <w:b/>
        </w:rPr>
        <w:t>Порядок выпуска материалов от имени главного управления.</w:t>
      </w:r>
      <w:r>
        <w:t xml:space="preserve"> Требует проверки: установлен ли в главных управлениях порядок согласования и подписания аналитических материалов, выходящих от их имени, и как при этом распределяется ответственность между отделением, подготовившим материал, и главным управлением, его выпускающим.</w:t>
      </w:r>
    </w:p>
    <w:p>
      <w:pPr>
        <w:pStyle w:val="ListBullet"/>
      </w:pPr>
      <w:r>
        <w:rPr>
          <w:b/>
        </w:rPr>
        <w:t>Антикоррупционные требования.</w:t>
      </w:r>
      <w:r>
        <w:t xml:space="preserve"> Не проанализировано, как публичные контакты и регулярное взаимодействие с должностными лицами соотносится с требованиями о конфликте интересов и ограничениях на участие в рабочих группах.</w:t>
      </w:r>
    </w:p>
    <w:p>
      <w:pPr>
        <w:pStyle w:val="ListBullet"/>
      </w:pPr>
      <w:r>
        <w:rPr>
          <w:b/>
        </w:rPr>
        <w:t>Наличие показателей по немонетарным факторам.</w:t>
      </w:r>
      <w:r>
        <w:t xml:space="preserve"> В отчётности Отделения за 9 месяцев 2026 года нет ни одного показателя по немонетарным факторам инфляции, ни одной публикации по ним; требуется проверить, ведётся ли такая работа в других ТУ по специализациям и в каких форматах.</w:t>
      </w:r>
    </w:p>
    <w:p>
      <w:pPr>
        <w:pStyle w:val="ListBullet"/>
      </w:pPr>
      <w:r>
        <w:rPr>
          <w:b/>
        </w:rPr>
        <w:t>Порог агрегирования.</w:t>
      </w:r>
      <w:r>
        <w:t xml:space="preserve"> Не установлено, при каком числе организаций региональные данные можно передавать без риска раскрытия сведений об отдельных участниках.</w:t>
      </w:r>
    </w:p>
    <w:p>
      <w:pPr>
        <w:pStyle w:val="ListBullet"/>
      </w:pPr>
      <w:r>
        <w:rPr>
          <w:b/>
        </w:rPr>
        <w:t>Передача функций в хабы.</w:t>
      </w:r>
      <w:r>
        <w:t xml:space="preserve"> Не установлено, какие именно функции по п. 2.7 переданы и какие ТУ их сохраняют; от этого зависит строгость информационного барьера.</w:t>
      </w:r>
    </w:p>
    <w:p>
      <w:pPr>
        <w:pStyle w:val="ListBullet"/>
      </w:pPr>
      <w:r>
        <w:rPr>
          <w:b/>
        </w:rPr>
        <w:t>Правовая рамка публичных оценок влияния решений органов власти (направление 4.6).</w:t>
      </w:r>
      <w:r>
        <w:t xml:space="preserve"> Не проверено, как квалифицируется публикация оценки влияния мер регулирования на цены: как аналитический материал Банка России или как оценка деятельности органа власти, требующая иного режима. Нужно заключение до первого выпуска.</w:t>
      </w:r>
    </w:p>
    <w:p>
      <w:pPr>
        <w:pStyle w:val="ListBullet"/>
      </w:pPr>
      <w:r>
        <w:rPr>
          <w:b/>
        </w:rPr>
        <w:t>Данные для декомпозиции.</w:t>
      </w:r>
      <w:r>
        <w:t xml:space="preserve"> Не установлено, доступны ли по каждому региону ряды регулируемых тарифов, ставок акцизов и субсидий с достаточной детализацией: без них разложение по отраслям не достигает заявленного порога 80 % веса корзины.</w:t>
      </w:r>
    </w:p>
    <w:p>
      <w:pPr>
        <w:pStyle w:val="ListBullet"/>
      </w:pPr>
      <w:r>
        <w:rPr>
          <w:b/>
        </w:rPr>
        <w:t>Методика.</w:t>
      </w:r>
      <w:r>
        <w:t xml:space="preserve"> Единой методики разложения региональной инфляции на спрос, предложение и регулирование публично не существует; её нужно разработать и зафиксировать до пилота, иначе результаты между регионами будут несопоставимы.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Положение Банка России от 14.01.2026 № 880-П «О территориальных учреждениях Банка России» (Вестник Банка России № 3 (2592) от 28.01.2026): https://www.cbr.ru/Queries/UniDbQuery/File/90134/7455</w:t>
      </w:r>
    </w:p>
    <w:p>
      <w:pPr>
        <w:pStyle w:val="ListBullet"/>
      </w:pPr>
      <w:r>
        <w:t>Банк России, доклад «Региональная экономика: комментарии ГУ»: https://cbr.ru/analytics/dkp/reg_review/ ; выпуск № 47, октябрь 2026 (PDF, 70 с.): https://cbr.ru/Collection/Collection/File/62449/1026.pdf ; выпуск № 46, сентябрь 2026: https://cbr.ru/analytics/dkp/reg_review/0926/</w:t>
      </w:r>
    </w:p>
    <w:p>
      <w:pPr>
        <w:pStyle w:val="ListBullet"/>
      </w:pPr>
      <w:r>
        <w:t>Банк России, доклад «О немонетарных факторах инфляции и мерах по снижению её волатильности» (2017, 60 с.): https://www.cbr.ru/Content/Document/File/25502/nfi.pdf</w:t>
      </w:r>
    </w:p>
    <w:p>
      <w:pPr>
        <w:pStyle w:val="ListBullet"/>
      </w:pPr>
      <w:r>
        <w:t>Банк России, доклад «О немонетарных факторах инфляции в 2017–2019 годах» (18.12.2019): http://cbr.ru/Content/Document/File/95172/ddcp_20191218.pdf ; пресс-релиз: http://cbr.ru/press/event/?id=5254</w:t>
      </w:r>
    </w:p>
    <w:p>
      <w:pPr>
        <w:pStyle w:val="ListBullet"/>
      </w:pPr>
      <w:r>
        <w:t>Банк России, финансовая доступность: https://www.cbr.ru/analytics/develop/fin_avail/</w:t>
      </w:r>
    </w:p>
    <w:p>
      <w:pPr>
        <w:pStyle w:val="ListBullet"/>
      </w:pPr>
      <w:r>
        <w:t>Банк России, территориальные учреждения: https://www.cbr.ru/about_br/tubr/</w:t>
      </w:r>
    </w:p>
    <w:p>
      <w:pPr>
        <w:pStyle w:val="ListBullet"/>
      </w:pPr>
      <w:r>
        <w:t>Федеральный закон от 10.07.2002 № 86-ФЗ «О Центральном банке Российской Федерации (Банке России)»: https://www.pravo.gov.ru/proxy/ips/?docbody=&amp;nd=102077052</w:t>
      </w:r>
    </w:p>
    <w:p>
      <w:pPr>
        <w:pStyle w:val="ListBullet"/>
      </w:pPr>
      <w:r>
        <w:t>Федеральный закон от 22.04.1996 № 39-ФЗ «О рынке ценных бумаг», ст. 6.1 (инвестиционное консультирование)</w:t>
      </w:r>
    </w:p>
    <w:p>
      <w:pPr>
        <w:pStyle w:val="ListBullet"/>
      </w:pPr>
      <w:r>
        <w:t>КоАП РФ, ст. 23.74 (Банк России как орган, рассматривающий дела об административных правонарушениях)</w:t>
      </w:r>
    </w:p>
    <w:p>
      <w:pPr>
        <w:pStyle w:val="ListBullet"/>
      </w:pPr>
      <w:r>
        <w:t>Federal Reserve, структура системы: https://www.federalreserve.gov/aboutthefed/structure-federal-reserve-system.htm ; Beige Book: https://www.federalreserve.gov/monetarypolicy/publications/beige-book-default.htm ; community development: https://www.federalreserve.gov/consumerscommunities/comm-dev-system-map.htm</w:t>
      </w:r>
    </w:p>
    <w:p>
      <w:pPr>
        <w:pStyle w:val="ListBullet"/>
      </w:pPr>
      <w:r>
        <w:t>Bank of England, сеть агентов: https://www.bankofengland.co.uk/about/people/agents</w:t>
      </w:r>
    </w:p>
    <w:p>
      <w:pPr>
        <w:pStyle w:val="ListBullet"/>
      </w:pPr>
      <w:r>
        <w:t>Banca d'Italia, сеть территориальных исследований: https://www.bancaditalia.it/compiti/ricerca-economica/rete-territoriale-ricerca/index.html</w:t>
      </w:r>
    </w:p>
    <w:p>
      <w:pPr>
        <w:pStyle w:val="ListBullet"/>
      </w:pPr>
      <w:r>
        <w:t>Bundesbank, организация и региональные офисы: https://www.bundesbank.de/en/bundesbank/organisation ; https://www.bundesbank.de/en/bundesbank/regional-offices-branches</w:t>
      </w:r>
    </w:p>
    <w:p>
      <w:pPr>
        <w:pStyle w:val="ListBullet"/>
      </w:pPr>
      <w:r>
        <w:t>ECB Banking Supervision, совместные надзорные группы: https://www.bankingsupervision.europa.eu/framework/approach/Joint-supervisory-teams/html/index.en.html</w:t>
      </w:r>
    </w:p>
    <w:p>
      <w:pPr>
        <w:pStyle w:val="ListBullet"/>
      </w:pPr>
      <w:r>
        <w:t>RBA, программа связей: https://www.rba.gov.au/publications/bulletin/2022/sep/the-reserve-banks-liaison-program-turns-21.html</w:t>
      </w:r>
    </w:p>
    <w:p>
      <w:pPr>
        <w:pStyle w:val="ListBullet"/>
      </w:pPr>
      <w:r>
        <w:t>RBA, Statement on Monetary Policy, февраль 2026: https://www.rba.gov.au/publications/smp/2026/feb/pdf/statement-on-monetary-policy-2026-02.pdf ; май 2026 (Outlook): https://www.rba.gov.au/publications/smp/2026/may/outlook.html</w:t>
      </w:r>
    </w:p>
    <w:p>
      <w:pPr>
        <w:pStyle w:val="ListBullet"/>
      </w:pPr>
      <w:r>
        <w:t>ECB, Economic Bulletin, врезка о фискальных мерах в энергетическом кризисе (февраль 2023): https://www.ecb.europa.eu/press/economic-bulletin/focus/2023/html/ecb.ebbox202302_09~37755e445d.en.html</w:t>
      </w:r>
    </w:p>
    <w:p>
      <w:pPr>
        <w:pStyle w:val="ListBullet"/>
      </w:pPr>
      <w:r>
        <w:t>RBI, региональные офисы: https://rbi.org.in/Scripts/RegionalOffices.aspx ; RBI Act, section 9: https://rbidocs.rbi.org.in/rdocs/Publications/PDFs/RBIA1934170510.pdf</w:t>
      </w:r>
    </w:p>
    <w:p>
      <w:pPr>
        <w:pStyle w:val="ListBullet"/>
      </w:pPr>
      <w:r>
        <w:t>Banco Central do Brasil, региональные представительства: https://www.bcb.gov.br/acessoinformacao/regionais</w:t>
      </w:r>
    </w:p>
    <w:p>
      <w:pPr>
        <w:pStyle w:val="ListBullet"/>
      </w:pPr>
      <w:r>
        <w:t>People's Daily, запуск филиалов НБК (19.08.2023): https://paper.people.com.cn/rmrbhwb/html/2023-08/19/content_26012188.htm ; Xinhua (18.08.2023): http://www.news.cn/fortune/2023-08/18/c_1129810276.htm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